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Aminoglycosides inhibit bacterial protein synthesis by binding to which ribosomal subunit?</w:t>
      </w:r>
    </w:p>
    <w:p>
      <w:r>
        <w:t>(a) 30S ribosomal subunit</w:t>
      </w:r>
    </w:p>
    <w:p>
      <w:r>
        <w:t>(b) 70S ribosomal subunit</w:t>
      </w:r>
    </w:p>
    <w:p>
      <w:r>
        <w:t>(c) 80S ribosomal subunit</w:t>
      </w:r>
    </w:p>
    <w:p>
      <w:r>
        <w:t>(d) 50S ribosomal subunit</w:t>
      </w:r>
    </w:p>
    <w:p>
      <w:r>
        <w:t>Answer: a</w:t>
      </w:r>
    </w:p>
    <w:p>
      <w:r>
        <w:t>Solution: Aminoglycosides specifically bind to the 30S ribosomal subunit, causing misreading of mRNA codons and inhibition of protein synthesis. Macrolides bind 50S; 70S is the complete prokaryotic ribosome; 80S is eukaryotic. Memory aid: 30S drugs include aminoglycosides (streptomycin, gentamicin); 50S includes macrolides (erythromycin, azithromycin). This distinction is fundamental to understanding their different clinical effects.</w:t>
      </w:r>
    </w:p>
    <w:p>
      <w:r>
        <w:t>Positive Marks: 1</w:t>
      </w:r>
    </w:p>
    <w:p>
      <w:r>
        <w:t>Negative Marks: 0</w:t>
      </w:r>
    </w:p>
    <w:p>
      <w:r>
        <w:t>Question: Which of the following is a macrolide antibiotic commonly used in nursing practice?</w:t>
      </w:r>
    </w:p>
    <w:p>
      <w:r>
        <w:t>(a) Gentamicin</w:t>
      </w:r>
    </w:p>
    <w:p>
      <w:r>
        <w:t>(b) Erythromycin</w:t>
      </w:r>
    </w:p>
    <w:p>
      <w:r>
        <w:t>(c) Streptomycin</w:t>
      </w:r>
    </w:p>
    <w:p>
      <w:r>
        <w:t>(d) Tobramycin</w:t>
      </w:r>
    </w:p>
    <w:p>
      <w:r>
        <w:t>Answer: b</w:t>
      </w:r>
    </w:p>
    <w:p>
      <w:r>
        <w:t>Solution: Erythromycin is a classic 14-membered ring macrolide antibiotic. Gentamicin, streptomycin, and tobramycin are all aminoglycosides. Macrolides are named for their characteristic large macrocyclic lactone ring structure. Erythromycin is used for atypical pneumonia, Chlamydia infections, and in patients with penicillin allergy despite modern alternatives like azithromycin and clarithromycin.</w:t>
      </w:r>
    </w:p>
    <w:p>
      <w:r>
        <w:t>Positive Marks: 1</w:t>
      </w:r>
    </w:p>
    <w:p>
      <w:r>
        <w:t>Negative Marks: 0</w:t>
      </w:r>
    </w:p>
    <w:p>
      <w:r>
        <w:t>Question: The route of administration for aminoglycosides is predominantly:</w:t>
      </w:r>
    </w:p>
    <w:p>
      <w:r>
        <w:t>(a) Intravenous or Intramuscular</w:t>
      </w:r>
    </w:p>
    <w:p>
      <w:r>
        <w:t>(b) Oral, due to rapid GI absorption</w:t>
      </w:r>
    </w:p>
    <w:p>
      <w:r>
        <w:t>(c) Transdermal patches</w:t>
      </w:r>
    </w:p>
    <w:p>
      <w:r>
        <w:t>(d) Inhalation for respiratory infections</w:t>
      </w:r>
    </w:p>
    <w:p>
      <w:r>
        <w:t>Answer: a</w:t>
      </w:r>
    </w:p>
    <w:p>
      <w:r>
        <w:t>Solution: Aminoglycosides are highly polar, hydrophilic molecules and are poorly absorbed from the gastrointestinal tract; therefore, they must be administered IV or IM to achieve therapeutic levels. Oral aminoglycosides (neomycin, paromomycin) are reserved for local gut effects in hepatic encephalopathy. In contrast, macrolides are well-absorbed orally and this is the preferred route. IV/IM administration ensures predictable bioavailability and peak levels essential for therapeutic monitoring.</w:t>
      </w:r>
    </w:p>
    <w:p>
      <w:r>
        <w:t>Positive Marks: 1</w:t>
      </w:r>
    </w:p>
    <w:p>
      <w:r>
        <w:t>Negative Marks: 0</w:t>
      </w:r>
    </w:p>
    <w:p>
      <w:r>
        <w:t>Question: Which adverse effects are most characteristic and concerning with aminoglycoside antibiotics?</w:t>
      </w:r>
    </w:p>
    <w:p>
      <w:r>
        <w:t>(a) Nephrotoxicity and ototoxicity</w:t>
      </w:r>
    </w:p>
    <w:p>
      <w:r>
        <w:t>(b) Hepatotoxicity and GI disturbances</w:t>
      </w:r>
    </w:p>
    <w:p>
      <w:r>
        <w:t>(c) Phototoxicity and skin reactions</w:t>
      </w:r>
    </w:p>
    <w:p>
      <w:r>
        <w:t>(d) Allergic reactions and angioedema</w:t>
      </w:r>
    </w:p>
    <w:p>
      <w:r>
        <w:t>Answer: a</w:t>
      </w:r>
    </w:p>
    <w:p>
      <w:r>
        <w:t>Solution: Nephrotoxicity and ototoxicity are the two major dose-related, reversible-to-irreversible toxicities of aminoglycosides. Nephrotoxicity occurs via proximal tubular damage; ototoxicity via inner ear hair cell destruction. Hepatotoxicity is associated with macrolides. GI upset is common with macrolides, not aminoglycosides. Phototoxicity occurs with tetracyclines. The 'double toxicity' of aminoglycosides (30S binders) is a critical clinical consideration requiring peak/trough monitoring.</w:t>
      </w:r>
    </w:p>
    <w:p>
      <w:r>
        <w:t>Positive Marks: 1</w:t>
      </w:r>
    </w:p>
    <w:p>
      <w:r>
        <w:t>Negative Marks: 0</w:t>
      </w:r>
    </w:p>
    <w:p>
      <w:r>
        <w:t>Question: A patient receiving gentamicin for gram-negative sepsis requires baseline monitoring and ongoing surveillance to prevent toxicity. Which parameters are essential?</w:t>
      </w:r>
    </w:p>
    <w:p>
      <w:r>
        <w:t>(a) Complete blood count and liver function tests only</w:t>
      </w:r>
    </w:p>
    <w:p>
      <w:r>
        <w:t>(b) Arterial blood gas analysis only</w:t>
      </w:r>
    </w:p>
    <w:p>
      <w:r>
        <w:t>(c) Cardiac enzymes and troponin levels</w:t>
      </w:r>
    </w:p>
    <w:p>
      <w:r>
        <w:t>(d) Serum creatinine, urine output, hearing assessment, and aminoglycoside levels</w:t>
      </w:r>
    </w:p>
    <w:p>
      <w:r>
        <w:t>Answer: d</w:t>
      </w:r>
    </w:p>
    <w:p>
      <w:r>
        <w:t>Solution: Nephrotoxicity monitoring requires serum creatinine and daily urine output (tubular damage indicator); ototoxicity requires audiometry or patient-reported hearing changes/tinnitus. Aminoglycoside peak (30 min post-IV) and trough (pre-dose) levels guide both efficacy and toxicity prevention. Target peak 5–10 mcg/mL, trough &lt;2 mcg/mL for once-daily dosing. CBC, LFTs, and cardiac markers are not primary aminoglycoside surveillance parameters. This comprehensive monitoring is non-negotiable for safe aminoglycoside use.</w:t>
      </w:r>
    </w:p>
    <w:p>
      <w:r>
        <w:t>Positive Marks: 1</w:t>
      </w:r>
    </w:p>
    <w:p>
      <w:r>
        <w:t>Negative Marks: 0</w:t>
      </w:r>
    </w:p>
    <w:p>
      <w:r>
        <w:t>Question: A 65-year-old patient on gentamicin therapy develops tinnitus, hearing loss, and vertigo. Which type of ototoxicity is indicated by this clinical presentation?</w:t>
      </w:r>
    </w:p>
    <w:p>
      <w:r>
        <w:t>(a) Conductive hearing loss from ossicular damage</w:t>
      </w:r>
    </w:p>
    <w:p>
      <w:r>
        <w:t>(b) Isolated cochlear damage affecting high frequencies only</w:t>
      </w:r>
    </w:p>
    <w:p>
      <w:r>
        <w:t>(c) Combined cochlear and vestibular damage affecting both auditory and vestibular functions</w:t>
      </w:r>
    </w:p>
    <w:p>
      <w:r>
        <w:t>(d) Isolated vestibular damage causing balance dysfunction</w:t>
      </w:r>
    </w:p>
    <w:p>
      <w:r>
        <w:t>Answer: c</w:t>
      </w:r>
    </w:p>
    <w:p>
      <w:r>
        <w:t>Solution: Tinnitus and hearing loss indicate cochlear damage; vertigo indicates vestibular dysfunction. The concurrent presentation of both auditory (tinnitus, hearing loss) and vestibular (vertigo, balance problems) symptoms indicates damage to both branches of CN VIII. Aminoglycoside-induced ototoxicity is dose-dependent, irreversible, and more likely with renal impairment and prolonged therapy. Conductive loss involves middle ear structures, not cochlear/vestibular toxicity from drugs.</w:t>
      </w:r>
    </w:p>
    <w:p>
      <w:r>
        <w:t>Positive Marks: 1</w:t>
      </w:r>
    </w:p>
    <w:p>
      <w:r>
        <w:t>Negative Marks: 0</w:t>
      </w:r>
    </w:p>
    <w:p>
      <w:r>
        <w:t>Question: Regarding central nervous system (CNS) penetration, aminoglycosides are characterized by:</w:t>
      </w:r>
    </w:p>
    <w:p>
      <w:r>
        <w:t>(a) Variable penetration depending on blood–brain barrier inflammation</w:t>
      </w:r>
    </w:p>
    <w:p>
      <w:r>
        <w:t>(b) Poor CSF penetration; intrathecal or intraventricular administration required for meningitis</w:t>
      </w:r>
    </w:p>
    <w:p>
      <w:r>
        <w:t>(c) Excellent CSF penetration, especially in meningitis</w:t>
      </w:r>
    </w:p>
    <w:p>
      <w:r>
        <w:t>(d) Moderate penetration adequate for routine CNS infections</w:t>
      </w:r>
    </w:p>
    <w:p>
      <w:r>
        <w:t>Answer: b</w:t>
      </w:r>
    </w:p>
    <w:p>
      <w:r>
        <w:t>Solution: Aminoglycosides are highly polar, charged molecules and have poor CSF penetration even with inflamed meninges. For bacterial meningitis caused by gram-negative organisms, direct intrathecal or intraventricular administration is necessary to achieve bactericidal levels. This is a key pharmacokinetic limitation. Macrolides achieve better CSF levels. Third-generation cephalosporins (e.g., ceftriaxone) are preferred for most bacterial meningitis due to superior CNS penetration.</w:t>
      </w:r>
    </w:p>
    <w:p>
      <w:r>
        <w:t>Positive Marks: 1</w:t>
      </w:r>
    </w:p>
    <w:p>
      <w:r>
        <w:t>Negative Marks: 0</w:t>
      </w:r>
    </w:p>
    <w:p>
      <w:r>
        <w:t>Question: The primary spectrum of activity of macrolide antibiotics includes:</w:t>
      </w:r>
    </w:p>
    <w:p>
      <w:r>
        <w:t>(a) Gram-positive obligate anaerobes</w:t>
      </w:r>
    </w:p>
    <w:p>
      <w:r>
        <w:t>(b) Gram-negative aerobic bacilli only</w:t>
      </w:r>
    </w:p>
    <w:p>
      <w:r>
        <w:t>(c) Fungi and parasites</w:t>
      </w:r>
    </w:p>
    <w:p>
      <w:r>
        <w:t>(d) Gram-positive cocci and atypical organisms (Mycoplasma, Chlamydia, Legionella)</w:t>
      </w:r>
    </w:p>
    <w:p>
      <w:r>
        <w:t>Answer: d</w:t>
      </w:r>
    </w:p>
    <w:p>
      <w:r>
        <w:t>Solution: Macrolides are highly effective against gram-positive cocci (Streptococcus, Staphylococcus, Clostridium) and atypical respiratory pathogens (Mycoplasma pneumoniae, Chlamydia trachomatis, Legionella pneumophila). They have poor or no activity against gram-negative aerobic bacteria, making them unsuitable for gram-negative sepsis. Aminoglycosides conversely excel against gram-negative bacteria. The 'MAC' mnemonic helps recall macrolides cover Mycoplasma, Atypicals, and Chlamydia.</w:t>
      </w:r>
    </w:p>
    <w:p>
      <w:r>
        <w:t>Positive Marks: 1</w:t>
      </w:r>
    </w:p>
    <w:p>
      <w:r>
        <w:t>Negative Marks: 0</w:t>
      </w:r>
    </w:p>
    <w:p>
      <w:r>
        <w:t>Question: Why is gentamicin (aminoglycoside) bactericidal while erythromycin (macrolide) is bacteriostatic?</w:t>
      </w:r>
    </w:p>
    <w:p>
      <w:r>
        <w:t>(a) Erythromycin activates immune mechanisms instead of directly killing bacteria</w:t>
      </w:r>
    </w:p>
    <w:p>
      <w:r>
        <w:t>(b) Aminoglycosides cause ribosomal misreading, resulting in aberrant proteins and cell death; macrolides reversibly inhibit synthesis without killing bacteria</w:t>
      </w:r>
    </w:p>
    <w:p>
      <w:r>
        <w:t>(c) Macrolides cause irreversible ribosomal binding</w:t>
      </w:r>
    </w:p>
    <w:p>
      <w:r>
        <w:t>(d) Bactericidal versus bacteriostatic effect depends on bacterial species, not the drug class</w:t>
      </w:r>
    </w:p>
    <w:p>
      <w:r>
        <w:t>Answer: b</w:t>
      </w:r>
    </w:p>
    <w:p>
      <w:r>
        <w:t>Solution: Aminoglycosides bind the 30S ribosome irreversibly, causing misreading of codons and production of faulty, toxic proteins leading to cell death (bactericidal). Macrolides bind 50S reversibly, merely halting protein synthesis without cell death (bacteriostatic). This fundamental difference has clinical implications: bactericidal agents (aminoglycosides, beta-lactams) preferred for serious infections; bacteriostatic agents (macrolides, tetracyclines) for less severe infections where immune system involvement is adequate.</w:t>
      </w:r>
    </w:p>
    <w:p>
      <w:r>
        <w:t>Positive Marks: 1</w:t>
      </w:r>
    </w:p>
    <w:p>
      <w:r>
        <w:t>Negative Marks: 0</w:t>
      </w:r>
    </w:p>
    <w:p>
      <w:r>
        <w:t>Question: Among macrolide antibiotics, which has the greatest potential to prolong the QT interval and cause torsades de pointes?</w:t>
      </w:r>
    </w:p>
    <w:p>
      <w:r>
        <w:t>(a) Erythromycin</w:t>
      </w:r>
    </w:p>
    <w:p>
      <w:r>
        <w:t>(b) Roxithromycin</w:t>
      </w:r>
    </w:p>
    <w:p>
      <w:r>
        <w:t>(c) Azithromycin</w:t>
      </w:r>
    </w:p>
    <w:p>
      <w:r>
        <w:t>(d) Clarithromycin</w:t>
      </w:r>
    </w:p>
    <w:p>
      <w:r>
        <w:t>Answer: a</w:t>
      </w:r>
    </w:p>
    <w:p>
      <w:r>
        <w:t>Solution: Erythromycin carries the highest QT-prolongation risk among macrolides due to potent cardiac potassium channel (hERG) inhibition. Clarithromycin poses moderate risk; azithromycin and roxithromycin are safer alternatives with minimal QT effects. Erythromycin is contraindicated in baseline QT prolongation and when combined with other QT-prolonging drugs (certain antivirals, antipsychotics). This is a critical drug interaction screening point in patient counseling and drug history assessment.</w:t>
      </w:r>
    </w:p>
    <w:p>
      <w:r>
        <w:t>Positive Marks: 1</w:t>
      </w:r>
    </w:p>
    <w:p>
      <w:r>
        <w:t>Negative Marks: 0</w:t>
      </w:r>
    </w:p>
    <w:p>
      <w:r>
        <w:t>Question: Aminoglycosides demonstrate excellent synergistic bactericidal activity when combined with which drug class?</w:t>
      </w:r>
    </w:p>
    <w:p>
      <w:r>
        <w:t>(a) Macrolides</w:t>
      </w:r>
    </w:p>
    <w:p>
      <w:r>
        <w:t>(b) Fluoroquinolones</w:t>
      </w:r>
    </w:p>
    <w:p>
      <w:r>
        <w:t>(c) Sulfonamides</w:t>
      </w:r>
    </w:p>
    <w:p>
      <w:r>
        <w:t>(d) Beta-lactam antibiotics (penicillins, cephalosporins)</w:t>
      </w:r>
    </w:p>
    <w:p>
      <w:r>
        <w:t>Answer: d</w:t>
      </w:r>
    </w:p>
    <w:p>
      <w:r>
        <w:t>Solution: Beta-lactams (penicillins, cephalosporins) synergize with aminoglycosides because beta-lactams disrupt bacterial cell wall synthesis, enhancing aminoglycoside penetration into the cell and access to ribosomes. This synergy is exploited clinically for serious gram-negative sepsis (e.g., gentamicin + piperacillin). Conversely, combination with macrolides is avoided due to antagonism or no benefit. Fluoroquinolones and sulfonamides show no synergy with aminoglycosides. This synergistic combination is a core principle in serious infection management.</w:t>
      </w:r>
    </w:p>
    <w:p>
      <w:r>
        <w:t>Positive Marks: 1</w:t>
      </w:r>
    </w:p>
    <w:p>
      <w:r>
        <w:t>Negative Marks: 0</w:t>
      </w:r>
    </w:p>
    <w:p>
      <w:r>
        <w:t>Question: Aminoglycosides are absolutely contraindicated in myasthenia gravis because they:</w:t>
      </w:r>
    </w:p>
    <w:p>
      <w:r>
        <w:t>(a) Enhance acetylcholine release at the neuromuscular junction</w:t>
      </w:r>
    </w:p>
    <w:p>
      <w:r>
        <w:t>(b) Possess neuromuscular blocking properties, reducing acetylcholine release and causing severe paralysis</w:t>
      </w:r>
    </w:p>
    <w:p>
      <w:r>
        <w:t>(c) Damage muscle fibers and induce rhabdomyolysis</w:t>
      </w:r>
    </w:p>
    <w:p>
      <w:r>
        <w:t>(d) Inhibit acetylcholinesterase, worsening myasthenic crisis</w:t>
      </w:r>
    </w:p>
    <w:p>
      <w:r>
        <w:t>Answer: b</w:t>
      </w:r>
    </w:p>
    <w:p>
      <w:r>
        <w:t>Solution: Aminoglycosides exhibit direct neuromuscular blocking effects independent of their antibiotic action, reducing acetylcholine release at the neuromuscular junction. In myasthenia gravis (already having compromised neuromuscular transmission), aminoglycosides can precipitate respiratory failure and myasthenic crisis. This is an absolute contraindication. Macrolides do not possess neuromuscular blocking properties. Alternative antibiotics must be selected for gram-negative infections in MG patients.</w:t>
      </w:r>
    </w:p>
    <w:p>
      <w:r>
        <w:t>Positive Marks: 1</w:t>
      </w:r>
    </w:p>
    <w:p>
      <w:r>
        <w:t>Negative Marks: 0</w:t>
      </w:r>
    </w:p>
    <w:p>
      <w:r>
        <w:t>Question: For empiric treatment of acute Chlamydia trachomatis urethritis in a patient with no drug allergies, which antibiotic is considered first-line?</w:t>
      </w:r>
    </w:p>
    <w:p>
      <w:r>
        <w:t>(a) Streptomycin intramuscularly</w:t>
      </w:r>
    </w:p>
    <w:p>
      <w:r>
        <w:t>(b) Neomycin topically</w:t>
      </w:r>
    </w:p>
    <w:p>
      <w:r>
        <w:t>(c) Gentamicin intravenously</w:t>
      </w:r>
    </w:p>
    <w:p>
      <w:r>
        <w:t>(d) Azithromycin orally</w:t>
      </w:r>
    </w:p>
    <w:p>
      <w:r>
        <w:t>Answer: d</w:t>
      </w:r>
    </w:p>
    <w:p>
      <w:r>
        <w:t>Solution: Azithromycin (macrolide) is first-line for Chlamydia trachomatis due to excellent urogenital tissue penetration, superior intracellular activity, and convenient single-dose or short-course regimens. Aminoglycosides (streptomycin, gentamicin, neomycin) have poor anti-Chlamydia activity because Chlamydia is an obligate intracellular pathogen requiring drugs with good intracellular penetration. Macrolides (erythromycin, clarithromycin, azithromycin) cover atypical organisms optimally. Compliance and efficacy favor azithromycin for STI management.</w:t>
      </w:r>
    </w:p>
    <w:p>
      <w:r>
        <w:t>Positive Marks: 1</w:t>
      </w:r>
    </w:p>
    <w:p>
      <w:r>
        <w:t>Negative Marks: 0</w:t>
      </w:r>
    </w:p>
    <w:p>
      <w:r>
        <w:t>Question: Aminoglycosides require oxygen-dependent active transport mechanisms for cellular uptake. This characteristic explains why they are ineffective against:</w:t>
      </w:r>
    </w:p>
    <w:p>
      <w:r>
        <w:t>(a) Staphylococcus aureus strains</w:t>
      </w:r>
    </w:p>
    <w:p>
      <w:r>
        <w:t>(b) Anaerobic bacteria and other obligate anaerobes</w:t>
      </w:r>
    </w:p>
    <w:p>
      <w:r>
        <w:t>(c) Streptococcus species</w:t>
      </w:r>
    </w:p>
    <w:p>
      <w:r>
        <w:t>(d) Pseudomonas aeruginosa and other gram-negative aerobes</w:t>
      </w:r>
    </w:p>
    <w:p>
      <w:r>
        <w:t>Answer: b</w:t>
      </w:r>
    </w:p>
    <w:p>
      <w:r>
        <w:t>Solution: Aminoglycosides use aerobic metabolism-dependent active transport to enter bacterial cells. Anaerobic bacteria (Bacteroides, Clostridium, Peptostreptococcus) lack oxidative metabolism, preventing aminoglycoside uptake and rendering these drugs ineffective. This is why aminoglycosides must be combined with anaerobic-covering agents (metronidazole, clindamycin, or beta-lactam/beta-lactamase inhibitors) in polymicrobial infections. Gram-negative aerobes (E. coli, Pseudomonas) are highly susceptible. This metabolic requirement is essential for understanding aminoglycoside spectrum limitations.</w:t>
      </w:r>
    </w:p>
    <w:p>
      <w:r>
        <w:t>Positive Marks: 1</w:t>
      </w:r>
    </w:p>
    <w:p>
      <w:r>
        <w:t>Negative Marks: 0</w:t>
      </w:r>
    </w:p>
    <w:p>
      <w:r>
        <w:t>Question: The mechanism of ototoxicity from aminoglycoside antibiotics involves which pathophysiologic process?</w:t>
      </w:r>
    </w:p>
    <w:p>
      <w:r>
        <w:t>(a) Direct viral infection of the inner ear</w:t>
      </w:r>
    </w:p>
    <w:p>
      <w:r>
        <w:t>(b) Increased intracranial pressure compressing CN VIII</w:t>
      </w:r>
    </w:p>
    <w:p>
      <w:r>
        <w:t>(c) Ossicular chain fixation and conductive loss</w:t>
      </w:r>
    </w:p>
    <w:p>
      <w:r>
        <w:t>(d) Accumulation in inner ear tissues causing oxidative stress, reactive oxygen species generation, and irreversible hair cell death</w:t>
      </w:r>
    </w:p>
    <w:p>
      <w:r>
        <w:t>Answer: d</w:t>
      </w:r>
    </w:p>
    <w:p>
      <w:r>
        <w:t>Solution: Aminoglycosides accumulate in cochlear and vestibular tissue, generating reactive oxygen species (ROS) through mitochondrial damage and electron transport chain disruption. ROS-induced oxidative stress triggers apoptosis of inner ear hair cells. This process is dose-dependent, irreversible, and exacerbated by renal impairment (prolonged drug exposure), high peak levels, and prolonged therapy. Genetic susceptibility (mitochondrial mutations) also increases risk. Risk mitigation requires judicious dosing, therapeutic drug monitoring, and baseline plus serial audiometry in high-risk patients.</w:t>
      </w:r>
    </w:p>
    <w:p>
      <w:r>
        <w:t>Positive Marks: 1</w:t>
      </w:r>
    </w:p>
    <w:p>
      <w:r>
        <w:t>Negative Marks: 0</w:t>
      </w:r>
    </w:p>
    <w:p>
      <w:r>
        <w:t>Question: A 58-year-old male with mild-to-moderate renal impairment (creatinine clearance 40 mL/min) is prescribed gentamicin 80 mg IV daily for urinary tract infection. What is the most appropriate dosing adjustment?</w:t>
      </w:r>
    </w:p>
    <w:p>
      <w:r>
        <w:t>(a) Continue standard dosing; renal impairment does not affect aminoglycoside clearance</w:t>
      </w:r>
    </w:p>
    <w:p>
      <w:r>
        <w:t>(b) Decrease the total dose and shorten the dosing interval (e.g., 40 mg every 8 hours)</w:t>
      </w:r>
    </w:p>
    <w:p>
      <w:r>
        <w:t>(c) Maintain the dose but extend the dosing interval based on renal function and aminoglycoside nomograms</w:t>
      </w:r>
    </w:p>
    <w:p>
      <w:r>
        <w:t>(d) Increase the dose by 50% to compensate for reduced renal clearance</w:t>
      </w:r>
    </w:p>
    <w:p>
      <w:r>
        <w:t>Answer: c</w:t>
      </w:r>
    </w:p>
    <w:p>
      <w:r>
        <w:t>Solution: Aminoglycosides are renally cleared (70–90% unchanged). In renal impairment, extended-interval dosing (increasing time between doses while maintaining individual dose) is preferred over dose reduction because it maintains peak levels (essential for efficacy and concentration-dependent killing) while allowing adequate renal clearance to prevent trough accumulation (reducing toxicity risk). Once-daily dosing of 5–7 mg/kg every 24–36 hours based on nomograms is standard. Decreasing both dose and interval or increasing dose would increase toxicity risk. Therapeutic drug monitoring guides interval adjustments.</w:t>
      </w:r>
    </w:p>
    <w:p>
      <w:r>
        <w:t>Positive Marks: 1</w:t>
      </w:r>
    </w:p>
    <w:p>
      <w:r>
        <w:t>Negative Marks: 0</w:t>
      </w:r>
    </w:p>
    <w:p>
      <w:r>
        <w:t>Question: Macrolide antibiotics such as clarithromycin and erythromycin are significant inhibitors of CYP3A4. The clinical consequence of this enzyme inhibition is:</w:t>
      </w:r>
    </w:p>
    <w:p>
      <w:r>
        <w:t>(a) Induction of other metabolic enzymes compensating for CYP3A4 inhibition</w:t>
      </w:r>
    </w:p>
    <w:p>
      <w:r>
        <w:t>(b) Enhanced renal excretion of co-administered drugs</w:t>
      </w:r>
    </w:p>
    <w:p>
      <w:r>
        <w:t>(c) Decreased hepatic metabolism, leading to drug accumulation, elevated serum concentrations, and increased toxicity risk for CYP3A4 substrates</w:t>
      </w:r>
    </w:p>
    <w:p>
      <w:r>
        <w:t>(d) Increased metabolism and reduced serum concentrations of CYP3A4 substrates</w:t>
      </w:r>
    </w:p>
    <w:p>
      <w:r>
        <w:t>Answer: c</w:t>
      </w:r>
    </w:p>
    <w:p>
      <w:r>
        <w:t>Solution: Macrolide inhibition of hepatic CYP3A4 slows metabolism of numerous drugs (statins, calcineurin inhibitors, certain beta-blockers, antivirals), causing accumulation and elevated serum levels. Classic example: clarithromycin + simvastatin → severe myopathy and rhabdomyolysis. Azithromycin has minimal CYP3A4 effects, making it a safer alternative in polypharmacy. This interaction is not compensatory—other mechanisms cannot adequately replace CYP3A4 function. Baseline drug interactions screening for CYP3A4 substrates is essential before prescribing macrolides.</w:t>
      </w:r>
    </w:p>
    <w:p>
      <w:r>
        <w:t>Positive Marks: 1</w:t>
      </w:r>
    </w:p>
    <w:p>
      <w:r>
        <w:t>Negative Marks: 0</w:t>
      </w:r>
    </w:p>
    <w:p>
      <w:r>
        <w:t>Question: For therapeutic drug monitoring of gentamicin, when should peak and trough levels be drawn?</w:t>
      </w:r>
    </w:p>
    <w:p>
      <w:r>
        <w:t>(a) Peak at 30 minutes post-IV or 60 minutes post-IM; trough immediately before the next dose</w:t>
      </w:r>
    </w:p>
    <w:p>
      <w:r>
        <w:t>(b) Peak and trough both at 24 hours post-dose</w:t>
      </w:r>
    </w:p>
    <w:p>
      <w:r>
        <w:t>(c) Random sampling at any time during the dosing interval</w:t>
      </w:r>
    </w:p>
    <w:p>
      <w:r>
        <w:t>(d) Peak at 15 minutes; trough at 4 hours post-dose</w:t>
      </w:r>
    </w:p>
    <w:p>
      <w:r>
        <w:t>Answer: a</w:t>
      </w:r>
    </w:p>
    <w:p>
      <w:r>
        <w:t>Solution: Peak levels (30 min post-IV or 60 min post-IM) represent maximum concentration and guide efficacy; target 5–10 mcg/mL for gram-negative infections. Trough levels (drawn pre-dose, just before next administration) represent minimum concentration and guide toxicity risk; target &lt;2 mcg/mL for once-daily dosing, &lt;1 mcg/mL for divided dosing to prevent accumulation. Both peaks and troughs are essential; sampling at incorrect times yields unreliable results and compromises therapeutic monitoring. These levels guide individualized dosing adjustments, especially in renal impairment.</w:t>
      </w:r>
    </w:p>
    <w:p>
      <w:r>
        <w:t>Positive Marks: 1</w:t>
      </w:r>
    </w:p>
    <w:p>
      <w:r>
        <w:t>Negative Marks: 0</w:t>
      </w:r>
    </w:p>
    <w:p>
      <w:r>
        <w:t>Question: A 72-year-old patient taking azithromycin for respiratory infection develops severe symptomatic bradycardia (HR 38 bpm) shortly after metoprolol is added. Which mechanism best explains this clinically significant drug interaction?</w:t>
      </w:r>
    </w:p>
    <w:p>
      <w:r>
        <w:t>(a) Azithromycin increases metoprolol absorption in the GI tract</w:t>
      </w:r>
    </w:p>
    <w:p>
      <w:r>
        <w:t>(b) Metoprolol competitively inhibits azithromycin metabolism</w:t>
      </w:r>
    </w:p>
    <w:p>
      <w:r>
        <w:t>(c) Azithromycin inhibits CYP3A4, reducing metoprolol hepatic metabolism and increasing blood levels, enhancing beta-blockade</w:t>
      </w:r>
    </w:p>
    <w:p>
      <w:r>
        <w:t>(d) Azithromycin causes direct myocardial depression independent of metoprolol</w:t>
      </w:r>
    </w:p>
    <w:p>
      <w:r>
        <w:t>Answer: c</w:t>
      </w:r>
    </w:p>
    <w:p>
      <w:r>
        <w:t>Solution: Macrolides (especially clarithromycin; azithromycin to a lesser degree) inhibit hepatic CYP3A4, slowing metoprolol metabolism. This increases metoprolol concentrations, exacerbating beta-blockade and causing severe bradycardia, hypotension, and potential heart block. Metoprolol is a CYP3A4 substrate. Risk mitigation: monitor heart rate closely, reduce metoprolol dose, or use alternative antibiotics with minimal CYP interactions (amoxicillin, azithromycin preferred over clarithromycin). This illustrates critical drug interaction assessment in polypharmacy.</w:t>
      </w:r>
    </w:p>
    <w:p>
      <w:r>
        <w:t>Positive Marks: 1</w:t>
      </w:r>
    </w:p>
    <w:p>
      <w:r>
        <w:t>Negative Marks: 0</w:t>
      </w:r>
    </w:p>
    <w:p>
      <w:r>
        <w:t>Question: Why do resistance mechanisms against aminoglycosides differ fundamentally from those against macrolides?</w:t>
      </w:r>
    </w:p>
    <w:p>
      <w:r>
        <w:t>(a) Resistance to both classes develops exclusively through increased protein synthesis by resistant ribosomes</w:t>
      </w:r>
    </w:p>
    <w:p>
      <w:r>
        <w:t>(b) Macrolide resistance is chromosomal only, while aminoglycoside resistance is exclusively plasmid-mediated</w:t>
      </w:r>
    </w:p>
    <w:p>
      <w:r>
        <w:t>(c) Aminoglycosides primarily develop resistance via enzymatic inactivation (aminoglycosidases); macrolides via ribosomal methylation (erm genes) and efflux pumps (mef genes)</w:t>
      </w:r>
    </w:p>
    <w:p>
      <w:r>
        <w:t>(d) Both aminoglycosides and macrolides develop resistance through identical ribosomal point mutations</w:t>
      </w:r>
    </w:p>
    <w:p>
      <w:r>
        <w:t>Answer: c</w:t>
      </w:r>
    </w:p>
    <w:p>
      <w:r>
        <w:t>Solution: Aminoglycoside resistance stems from acquired enzymatic inactivation: bacterial aminoglycosidases (acetylases, nucleotidylases, phosphotransferases) modify and inactivate aminoglycosides before ribosomal binding. Macrolide resistance develops via ribosomal target modification (erm-encoded methylase adds methyl groups to 23S rRNA, altering drug binding) or active efflux (mef-encoded pumps). These distinct mechanisms explain why cross-resistance between classes is limited and why susceptibility patterns differ clinically. Understanding resistance mechanisms guides empiric therapy and explains why combinations targeting different mechanisms may overcome resistance.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