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Confidential Memo: Strategic Case for QMA + FMV Structure</w:t>
      </w:r>
    </w:p>
    <w:p>
      <w:r>
        <w:t>Subject: Why Option A Outperforms Plain Vanilla PABs in Concurrent Greenfield Concession Bidding</w:t>
      </w:r>
    </w:p>
    <w:p>
      <w:pPr>
        <w:pStyle w:val="Heading2"/>
      </w:pPr>
      <w:r>
        <w:t>Executive Summary</w:t>
      </w:r>
    </w:p>
    <w:p>
      <w:r>
        <w:t>Two large greenfield toll road concessions are being bid concurrently, awarded on the basis of the highest upfront concession fee.</w:t>
        <w:br/>
        <w:br/>
        <w:t>The decisive factor is probability of winning. Option A (QMA + FMV, financed with governmental purpose bonds) delivers a structurally lower WACC, allowing us to bid materially higher concession fees. This translates directly into higher expected value (EV) compared to Option B (plain vanilla PAB concession).</w:t>
        <w:br/>
        <w:br/>
        <w:t>If we lose under Option A, it will not be because of cost of capital — it will be because another bidder had different traffic assumptions, risk appetite, or strategic considerations. In such a scenario, we would also have lost under Option B.</w:t>
        <w:br/>
        <w:br/>
        <w:t>We recommend Option A: it maximizes EV by raising the chance of securing both concessions simultaneously.</w:t>
      </w:r>
    </w:p>
    <w:p>
      <w:pPr>
        <w:pStyle w:val="Heading2"/>
      </w:pPr>
      <w:r>
        <w:t>Expected Value Logic (Two Concurrent Concessions)</w:t>
      </w:r>
    </w:p>
    <w:p>
      <w:r>
        <w:t>Assumptions:</w:t>
      </w:r>
    </w:p>
    <w:p>
      <w:r>
        <w:t>- Option A IRR if won: 9%</w:t>
        <w:br/>
        <w:t>- Option B IRR if won: 12%</w:t>
        <w:br/>
        <w:t>- Probability of winning one concession (independent): A = 70%, B = 30%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Scenario</w:t>
            </w:r>
          </w:p>
        </w:tc>
        <w:tc>
          <w:tcPr>
            <w:tcW w:type="dxa" w:w="2880"/>
          </w:tcPr>
          <w:p>
            <w:r>
              <w:t>Option A (QMA+FMV)</w:t>
            </w:r>
          </w:p>
        </w:tc>
        <w:tc>
          <w:tcPr>
            <w:tcW w:type="dxa" w:w="2880"/>
          </w:tcPr>
          <w:p>
            <w:r>
              <w:t>Option B (PAB)</w:t>
            </w:r>
          </w:p>
        </w:tc>
      </w:tr>
      <w:tr>
        <w:tc>
          <w:tcPr>
            <w:tcW w:type="dxa" w:w="2880"/>
          </w:tcPr>
          <w:p>
            <w:r>
              <w:t>Win both</w:t>
            </w:r>
          </w:p>
        </w:tc>
        <w:tc>
          <w:tcPr>
            <w:tcW w:type="dxa" w:w="2880"/>
          </w:tcPr>
          <w:p>
            <w:r>
              <w:t>4.41%</w:t>
            </w:r>
          </w:p>
        </w:tc>
        <w:tc>
          <w:tcPr>
            <w:tcW w:type="dxa" w:w="2880"/>
          </w:tcPr>
          <w:p>
            <w:r>
              <w:t>1.08%</w:t>
            </w:r>
          </w:p>
        </w:tc>
      </w:tr>
      <w:tr>
        <w:tc>
          <w:tcPr>
            <w:tcW w:type="dxa" w:w="2880"/>
          </w:tcPr>
          <w:p>
            <w:r>
              <w:t>Win one</w:t>
            </w:r>
          </w:p>
        </w:tc>
        <w:tc>
          <w:tcPr>
            <w:tcW w:type="dxa" w:w="2880"/>
          </w:tcPr>
          <w:p>
            <w:r>
              <w:t>3.78%</w:t>
            </w:r>
          </w:p>
        </w:tc>
        <w:tc>
          <w:tcPr>
            <w:tcW w:type="dxa" w:w="2880"/>
          </w:tcPr>
          <w:p>
            <w:r>
              <w:t>5.04%</w:t>
            </w:r>
          </w:p>
        </w:tc>
      </w:tr>
      <w:tr>
        <w:tc>
          <w:tcPr>
            <w:tcW w:type="dxa" w:w="2880"/>
          </w:tcPr>
          <w:p>
            <w:r>
              <w:t>Win none</w:t>
            </w:r>
          </w:p>
        </w:tc>
        <w:tc>
          <w:tcPr>
            <w:tcW w:type="dxa" w:w="2880"/>
          </w:tcPr>
          <w:p>
            <w:r>
              <w:t>0.00%</w:t>
            </w:r>
          </w:p>
        </w:tc>
        <w:tc>
          <w:tcPr>
            <w:tcW w:type="dxa" w:w="2880"/>
          </w:tcPr>
          <w:p>
            <w:r>
              <w:t>0.00%</w:t>
            </w:r>
          </w:p>
        </w:tc>
      </w:tr>
      <w:tr>
        <w:tc>
          <w:tcPr>
            <w:tcW w:type="dxa" w:w="2880"/>
          </w:tcPr>
          <w:p>
            <w:r>
              <w:t>Expected Value</w:t>
            </w:r>
          </w:p>
        </w:tc>
        <w:tc>
          <w:tcPr>
            <w:tcW w:type="dxa" w:w="2880"/>
          </w:tcPr>
          <w:p>
            <w:r>
              <w:t>8.19%</w:t>
            </w:r>
          </w:p>
        </w:tc>
        <w:tc>
          <w:tcPr>
            <w:tcW w:type="dxa" w:w="2880"/>
          </w:tcPr>
          <w:p>
            <w:r>
              <w:t>6.12%</w:t>
            </w:r>
          </w:p>
        </w:tc>
      </w:tr>
    </w:tbl>
    <w:p>
      <w:r>
        <w:br/>
        <w:t>Result: Even with a lower IRR per concession, Option A dominates on expected value because it dramatically raises the probability of winning one or both concessions.</w:t>
      </w:r>
    </w:p>
    <w:p>
      <w:pPr>
        <w:pStyle w:val="Heading2"/>
      </w:pPr>
      <w:r>
        <w:t>Option A (QMA + FMV Structure)</w:t>
      </w:r>
    </w:p>
    <w:p>
      <w:r>
        <w:t>- Bid Competitiveness: Lower WACC = materially higher concession fee capacity.</w:t>
        <w:br/>
        <w:t>- Win Probability: Significantly higher in a two-asset simultaneous auction.</w:t>
        <w:br/>
        <w:t>- Contractual Flexibility: At year 30, we may:</w:t>
        <w:br/>
        <w:t xml:space="preserve">  • Exercise the FMV option if return hurdles are met.</w:t>
        <w:br/>
        <w:t xml:space="preserve">  • Decline the option and renew the QMA with a new subordinate note if the asset is underperforming.</w:t>
        <w:br/>
        <w:t>- Portfolio Effect: Two roads become four concession exposures (two QMA periods, two FMV periods), with re-underwriting points at year 30.</w:t>
      </w:r>
    </w:p>
    <w:p>
      <w:pPr>
        <w:pStyle w:val="Heading2"/>
      </w:pPr>
      <w:r>
        <w:t>Option B (Plain Vanilla PAB Concession)</w:t>
      </w:r>
    </w:p>
    <w:p>
      <w:r>
        <w:t>- Strengths: Full upside from day one; ability to sell the concession mid-life.</w:t>
        <w:br/>
        <w:t>- Weaknesses:</w:t>
        <w:br/>
        <w:t xml:space="preserve">  • Higher cost of capital → weaker bid competitiveness.</w:t>
        <w:br/>
        <w:t xml:space="preserve">  • Lower probability of winning both concessions (9% vs. 49% for Option A).</w:t>
        <w:br/>
        <w:t xml:space="preserve">  • Dependent on PAB allocations; if unavailable, forced into taxable bonds, compressing IRR.</w:t>
        <w:br/>
        <w:t xml:space="preserve">  • Flexibility is market-driven (sale) rather than contractual (FMV option).</w:t>
      </w:r>
    </w:p>
    <w:p>
      <w:pPr>
        <w:pStyle w:val="Heading2"/>
      </w:pPr>
      <w:r>
        <w:t>Rebuttals &amp; Responses</w:t>
      </w:r>
    </w:p>
    <w:p>
      <w:pPr>
        <w:pStyle w:val="ListBullet"/>
      </w:pPr>
      <w:r>
        <w:t>Rebuttal 1: “Option A limits upside in the first 30 years.”</w:t>
      </w:r>
    </w:p>
    <w:p>
      <w:pPr>
        <w:pStyle w:val="ListBullet"/>
      </w:pPr>
      <w:r>
        <w:t>Response: True, synthetic returns cap near-term upside — but only if we win. Option B may offer more upside if won, but the lower chance of winning means the expected value is smaller. Securing the concession at all is the greater prize.</w:t>
      </w:r>
    </w:p>
    <w:p>
      <w:pPr>
        <w:pStyle w:val="ListBullet"/>
      </w:pPr>
      <w:r>
        <w:t>Rebuttal 2: “Option A forces us to pay twice at FMV.”</w:t>
      </w:r>
    </w:p>
    <w:p>
      <w:pPr>
        <w:pStyle w:val="ListBullet"/>
      </w:pPr>
      <w:r>
        <w:t>Response: FMV is not a penalty — it’s a new investment decision at market terms. If returns underwrite to our hurdle, we reinvest; if not, we walk away or renew the QMA. This is more flexible than being locked in for 50 years under Option B.</w:t>
      </w:r>
    </w:p>
    <w:p>
      <w:pPr>
        <w:pStyle w:val="ListBullet"/>
      </w:pPr>
      <w:r>
        <w:t>Rebuttal 3: “Option A introduces refinancing risk at year 30.”</w:t>
      </w:r>
    </w:p>
    <w:p>
      <w:pPr>
        <w:pStyle w:val="ListBullet"/>
      </w:pPr>
      <w:r>
        <w:t>Response: Yes, but refinancing risk comes with optionality. If markets are unfavorable, we can decline the FMV buyout and maintain synthetic exposure. Option B, by contrast, provides no such contractual protection.</w:t>
      </w:r>
    </w:p>
    <w:p>
      <w:pPr>
        <w:pStyle w:val="ListBullet"/>
      </w:pPr>
      <w:r>
        <w:t>Rebuttal 4: “Option A is too complex for investors.”</w:t>
      </w:r>
    </w:p>
    <w:p>
      <w:pPr>
        <w:pStyle w:val="ListBullet"/>
      </w:pPr>
      <w:r>
        <w:t>Response: Complexity is outweighed by bid competitiveness and certainty of execution. LPs ultimately want to win assets and deploy capital. A structure that consistently wins auctions is easier to explain than a higher-IRR structure that loses.</w:t>
      </w:r>
    </w:p>
    <w:p>
      <w:pPr>
        <w:pStyle w:val="ListBullet"/>
      </w:pPr>
      <w:r>
        <w:t>Rebuttal 5: “Option B has strategic flexibility via sale of concession.”</w:t>
      </w:r>
    </w:p>
    <w:p>
      <w:pPr>
        <w:pStyle w:val="ListBullet"/>
      </w:pPr>
      <w:r>
        <w:t>Response: Correct, but that flexibility is market-dependent (requires a buyer at the right time). Option A’s flexibility is contractual: we control the decision at year 30, not the market.</w:t>
      </w:r>
    </w:p>
    <w:p>
      <w:pPr>
        <w:pStyle w:val="Heading2"/>
      </w:pPr>
      <w:r>
        <w:t>Conclusion</w:t>
      </w:r>
    </w:p>
    <w:p>
      <w:r>
        <w:t>Option A is not without drawbacks, but the math is clear:</w:t>
        <w:br/>
        <w:t>- Option A EV = 8.2% vs. Option B EV = 6.1%.</w:t>
        <w:br/>
        <w:t>- Two concurrent bids magnify Option A’s advantage — 49% chance of winning both vs. 9% under Option B.</w:t>
        <w:br/>
        <w:t>- If we lose under Option A, we would have lost under Option B as well.</w:t>
        <w:br/>
        <w:br/>
        <w:t>In short: While Option B may offer higher upside in isolation, Option A wins more often. And in a concession auction, winning is paramount.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