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X78a3119623eb06b3bf662d6376b6e6ad26e7487"/>
    <w:p>
      <w:pPr>
        <w:pStyle w:val="Heading1"/>
      </w:pPr>
      <w:r>
        <w:t xml:space="preserve">🧾 Asset Transfer Term Sheet – Dulles Toll Road (VA-267)</w:t>
      </w:r>
    </w:p>
    <w:p>
      <w:r>
        <w:pict>
          <v:rect style="width:0;height:1.5pt" o:hralign="center" o:hrstd="t" o:hr="t"/>
        </w:pict>
      </w:r>
    </w:p>
    <w:bookmarkStart w:id="20" w:name="executive-summary"/>
    <w:p>
      <w:pPr>
        <w:pStyle w:val="Heading2"/>
      </w:pPr>
      <w:r>
        <w:t xml:space="preserve">📌 Executive Summary</w:t>
      </w:r>
    </w:p>
    <w:p>
      <w:pPr>
        <w:pStyle w:val="FirstParagraph"/>
      </w:pPr>
      <w:r>
        <w:t xml:space="preserve">This thesis outlines strategies for transferring operational control of the</w:t>
      </w:r>
      <w:r>
        <w:t xml:space="preserve"> </w:t>
      </w:r>
      <w:r>
        <w:rPr>
          <w:b/>
          <w:bCs/>
        </w:rPr>
        <w:t xml:space="preserve">Dulles Toll Road (VA‑267)</w:t>
      </w:r>
      <w:r>
        <w:t xml:space="preserve"> </w:t>
      </w:r>
      <w:r>
        <w:t xml:space="preserve">from the</w:t>
      </w:r>
      <w:r>
        <w:t xml:space="preserve"> </w:t>
      </w:r>
      <w:r>
        <w:rPr>
          <w:b/>
          <w:bCs/>
        </w:rPr>
        <w:t xml:space="preserve">Metropolitan Washington Airports Authority (MWAA)</w:t>
      </w:r>
      <w:r>
        <w:t xml:space="preserve"> </w:t>
      </w:r>
      <w:r>
        <w:t xml:space="preserve">to a more appropriate public or private entity. It integrates legal, financial, and credit analysis—including recent fiscal data, bond rating agency commentary, historical legal agreements, federal easement considerations, and the fallout from a pivotal 2005 privatization initiative.</w:t>
      </w:r>
    </w:p>
    <w:p>
      <w:r>
        <w:pict>
          <v:rect style="width:0;height:1.5pt" o:hralign="center" o:hrstd="t" o:hr="t"/>
        </w:pict>
      </w:r>
    </w:p>
    <w:bookmarkEnd w:id="20"/>
    <w:bookmarkStart w:id="21" w:name="historical-background"/>
    <w:p>
      <w:pPr>
        <w:pStyle w:val="Heading2"/>
      </w:pPr>
      <w:r>
        <w:t xml:space="preserve">🕰️ Historical Background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1962</w:t>
      </w:r>
      <w:r>
        <w:t xml:space="preserve">: Dulles Access Road opens on federal land around Dulles Airport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1984</w:t>
      </w:r>
      <w:r>
        <w:t xml:space="preserve">: VDOT constructs parallel Dulles Toll Road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2005</w:t>
      </w:r>
      <w:r>
        <w:t xml:space="preserve">: VDOT solicits privatization bids to leverage toll assets; MWAA counters with a public-sector plan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2006–2008</w:t>
      </w:r>
      <w:r>
        <w:t xml:space="preserve">: VDOT and MWAA enter the</w:t>
      </w:r>
      <w:r>
        <w:t xml:space="preserve"> </w:t>
      </w:r>
      <w:r>
        <w:rPr>
          <w:b/>
          <w:bCs/>
        </w:rPr>
        <w:t xml:space="preserve">Master Transfer Agreement (MTA)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Permit &amp; Operating Agreement</w:t>
      </w:r>
      <w:r>
        <w:t xml:space="preserve">, transferring operational control to MWAA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2009–2022</w:t>
      </w:r>
      <w:r>
        <w:t xml:space="preserve">: MWAA delivers Silver Line Rail Phases 1 &amp; 2, financed primarily by tolls</w:t>
      </w:r>
    </w:p>
    <w:p>
      <w:r>
        <w:pict>
          <v:rect style="width:0;height:1.5pt" o:hralign="center" o:hrstd="t" o:hr="t"/>
        </w:pict>
      </w:r>
    </w:p>
    <w:bookmarkEnd w:id="21"/>
    <w:bookmarkStart w:id="22" w:name="failed-2005-privatization-attempt"/>
    <w:p>
      <w:pPr>
        <w:pStyle w:val="Heading2"/>
      </w:pPr>
      <w:r>
        <w:t xml:space="preserve">💥 Failed 2005 Privatization Attempt</w:t>
      </w:r>
    </w:p>
    <w:p>
      <w:pPr>
        <w:pStyle w:val="FirstParagraph"/>
      </w:pPr>
      <w:r>
        <w:t xml:space="preserve">In 2005, several private-sector groups launched bids under Virginia’s PPTA to privatize the Dulles Toll Road: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“Dulles Express”</w:t>
      </w:r>
      <w:r>
        <w:rPr>
          <w:b/>
          <w:bCs/>
        </w:rPr>
        <w:t xml:space="preserve"> </w:t>
      </w:r>
      <w:r>
        <w:rPr>
          <w:b/>
          <w:bCs/>
        </w:rPr>
        <w:t xml:space="preserve">consortium</w:t>
      </w:r>
      <w:r>
        <w:t xml:space="preserve"> </w:t>
      </w:r>
      <w:r>
        <w:t xml:space="preserve">led by</w:t>
      </w:r>
      <w:r>
        <w:t xml:space="preserve"> </w:t>
      </w:r>
      <w:r>
        <w:rPr>
          <w:b/>
          <w:bCs/>
        </w:rPr>
        <w:t xml:space="preserve">Franklin L. Haney</w:t>
      </w:r>
      <w:r>
        <w:t xml:space="preserve">, partnering with</w:t>
      </w:r>
      <w:r>
        <w:t xml:space="preserve"> </w:t>
      </w:r>
      <w:r>
        <w:rPr>
          <w:b/>
          <w:bCs/>
        </w:rPr>
        <w:t xml:space="preserve">Merrill Lynch</w:t>
      </w:r>
      <w:r>
        <w:t xml:space="preserve">,</w:t>
      </w:r>
      <w:r>
        <w:t xml:space="preserve"> </w:t>
      </w:r>
      <w:r>
        <w:rPr>
          <w:b/>
          <w:bCs/>
        </w:rPr>
        <w:t xml:space="preserve">Clark Construction Group</w:t>
      </w:r>
      <w:r>
        <w:t xml:space="preserve">,</w:t>
      </w:r>
      <w:r>
        <w:t xml:space="preserve"> </w:t>
      </w:r>
      <w:r>
        <w:rPr>
          <w:b/>
          <w:bCs/>
        </w:rPr>
        <w:t xml:space="preserve">Shirley Contracting</w:t>
      </w:r>
      <w:r>
        <w:t xml:space="preserve">, and former governor</w:t>
      </w:r>
      <w:r>
        <w:t xml:space="preserve"> </w:t>
      </w:r>
      <w:r>
        <w:rPr>
          <w:b/>
          <w:bCs/>
        </w:rPr>
        <w:t xml:space="preserve">Gerald L. Baliles</w:t>
      </w:r>
      <w:r>
        <w:t xml:space="preserve">. Their proposed 50-year lease offered</w:t>
      </w:r>
      <w:r>
        <w:t xml:space="preserve"> </w:t>
      </w:r>
      <w:r>
        <w:rPr>
          <w:b/>
          <w:bCs/>
        </w:rPr>
        <w:t xml:space="preserve">$700 million in upfront payment</w:t>
      </w:r>
      <w:r>
        <w:t xml:space="preserve">, pledged</w:t>
      </w:r>
      <w:r>
        <w:t xml:space="preserve"> </w:t>
      </w:r>
      <w:r>
        <w:rPr>
          <w:b/>
          <w:bCs/>
        </w:rPr>
        <w:t xml:space="preserve">$717 million toward Metro rail</w:t>
      </w:r>
      <w:r>
        <w:t xml:space="preserve">, and included significant roadway improvements.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Entity representatives included</w:t>
      </w:r>
      <w:r>
        <w:t xml:space="preserve"> </w:t>
      </w:r>
      <w:r>
        <w:rPr>
          <w:b/>
          <w:bCs/>
        </w:rPr>
        <w:t xml:space="preserve">Curtis Coward</w:t>
      </w:r>
      <w:r>
        <w:t xml:space="preserve"> </w:t>
      </w:r>
      <w:r>
        <w:t xml:space="preserve">of Infrastructure Investment Group; the consortium claimed to rival Macquarie-led pitches, referencing comparable deals like the Chicago Skyway lease.</w:t>
      </w:r>
    </w:p>
    <w:p>
      <w:pPr>
        <w:pStyle w:val="FirstParagraph"/>
      </w:pPr>
      <w:r>
        <w:t xml:space="preserve">However, political resistance emerged regarding</w:t>
      </w:r>
      <w:r>
        <w:t xml:space="preserve"> </w:t>
      </w:r>
      <w:r>
        <w:t xml:space="preserve">“selling off”</w:t>
      </w:r>
      <w:r>
        <w:t xml:space="preserve"> </w:t>
      </w:r>
      <w:r>
        <w:t xml:space="preserve">a core public infrastructure asset. In March 2006, VDOT accepted MWAA’s public alternative, which ensured toll revenues would continue to fund Silver Line construction—marking a decisive shift from privatization to public stewardship.</w:t>
      </w:r>
    </w:p>
    <w:p>
      <w:r>
        <w:pict>
          <v:rect style="width:0;height:1.5pt" o:hralign="center" o:hrstd="t" o:hr="t"/>
        </w:pict>
      </w:r>
    </w:p>
    <w:bookmarkEnd w:id="22"/>
    <w:bookmarkStart w:id="25" w:name="summary-of-legal-agreements"/>
    <w:p>
      <w:pPr>
        <w:pStyle w:val="Heading2"/>
      </w:pPr>
      <w:r>
        <w:t xml:space="preserve">🤝 Summary of Legal Agreements</w:t>
      </w:r>
    </w:p>
    <w:bookmarkStart w:id="23" w:name="master-transfer-agreement-2006"/>
    <w:p>
      <w:pPr>
        <w:pStyle w:val="Heading3"/>
      </w:pPr>
      <w:r>
        <w:t xml:space="preserve">Master Transfer Agreement (2006)</w:t>
      </w:r>
    </w:p>
    <w:p>
      <w:pPr>
        <w:pStyle w:val="Compact"/>
        <w:numPr>
          <w:ilvl w:val="0"/>
          <w:numId w:val="1003"/>
        </w:numPr>
      </w:pPr>
      <w:r>
        <w:t xml:space="preserve">Grants MWAA</w:t>
      </w:r>
      <w:r>
        <w:t xml:space="preserve"> </w:t>
      </w:r>
      <w:r>
        <w:rPr>
          <w:b/>
          <w:bCs/>
        </w:rPr>
        <w:t xml:space="preserve">50-year operational control</w:t>
      </w:r>
      <w:r>
        <w:t xml:space="preserve"> </w:t>
      </w:r>
      <w:r>
        <w:t xml:space="preserve">of the Dulles Toll Road.</w:t>
      </w:r>
    </w:p>
    <w:p>
      <w:pPr>
        <w:pStyle w:val="Compact"/>
        <w:numPr>
          <w:ilvl w:val="0"/>
          <w:numId w:val="1003"/>
        </w:numPr>
      </w:pPr>
      <w:r>
        <w:t xml:space="preserve">MWAA assumes liabilities and control over toll-setting, maintenance, and improvements.</w:t>
      </w:r>
    </w:p>
    <w:p>
      <w:pPr>
        <w:pStyle w:val="Compact"/>
        <w:numPr>
          <w:ilvl w:val="0"/>
          <w:numId w:val="1003"/>
        </w:numPr>
      </w:pPr>
      <w:r>
        <w:t xml:space="preserve">Revenues restricted to toll operations, debt service, and corridor transit projects.</w:t>
      </w:r>
    </w:p>
    <w:p>
      <w:pPr>
        <w:pStyle w:val="Compact"/>
        <w:numPr>
          <w:ilvl w:val="0"/>
          <w:numId w:val="1003"/>
        </w:numPr>
      </w:pPr>
      <w:r>
        <w:t xml:space="preserve">VDOT retains limited oversight and reversion rights.</w:t>
      </w:r>
    </w:p>
    <w:bookmarkEnd w:id="23"/>
    <w:bookmarkStart w:id="24" w:name="permit-and-operating-agreement"/>
    <w:p>
      <w:pPr>
        <w:pStyle w:val="Heading3"/>
      </w:pPr>
      <w:r>
        <w:t xml:space="preserve">Permit and Operating Agreement</w:t>
      </w:r>
    </w:p>
    <w:p>
      <w:pPr>
        <w:pStyle w:val="Compact"/>
        <w:numPr>
          <w:ilvl w:val="0"/>
          <w:numId w:val="1004"/>
        </w:numPr>
      </w:pPr>
      <w:r>
        <w:t xml:space="preserve">MWAA receives a</w:t>
      </w:r>
      <w:r>
        <w:t xml:space="preserve"> </w:t>
      </w:r>
      <w:r>
        <w:rPr>
          <w:b/>
          <w:bCs/>
        </w:rPr>
        <w:t xml:space="preserve">revocable license</w:t>
      </w:r>
      <w:r>
        <w:t xml:space="preserve">, not title, to operate the facility.</w:t>
      </w:r>
    </w:p>
    <w:p>
      <w:pPr>
        <w:pStyle w:val="Compact"/>
        <w:numPr>
          <w:ilvl w:val="0"/>
          <w:numId w:val="1004"/>
        </w:numPr>
      </w:pPr>
      <w:r>
        <w:t xml:space="preserve">VDOT retains ownership of land and assets.</w:t>
      </w:r>
    </w:p>
    <w:p>
      <w:pPr>
        <w:pStyle w:val="Compact"/>
        <w:numPr>
          <w:ilvl w:val="0"/>
          <w:numId w:val="1004"/>
        </w:numPr>
      </w:pPr>
      <w:r>
        <w:t xml:space="preserve">MWAA must maintain and operate the facility and return it in good condition upon expiration.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federal-easement-summary"/>
    <w:p>
      <w:pPr>
        <w:pStyle w:val="Heading2"/>
      </w:pPr>
      <w:r>
        <w:t xml:space="preserve">🛣️ Federal Easement Summary</w:t>
      </w:r>
    </w:p>
    <w:p>
      <w:pPr>
        <w:pStyle w:val="Compact"/>
        <w:numPr>
          <w:ilvl w:val="0"/>
          <w:numId w:val="1005"/>
        </w:numPr>
      </w:pPr>
      <w:r>
        <w:t xml:space="preserve">The road corridor lies on</w:t>
      </w:r>
      <w:r>
        <w:t xml:space="preserve"> </w:t>
      </w:r>
      <w:r>
        <w:rPr>
          <w:b/>
          <w:bCs/>
        </w:rPr>
        <w:t xml:space="preserve">federally owned land</w:t>
      </w:r>
      <w:r>
        <w:t xml:space="preserve"> </w:t>
      </w:r>
      <w:r>
        <w:t xml:space="preserve">controlled by</w:t>
      </w:r>
      <w:r>
        <w:t xml:space="preserve"> </w:t>
      </w:r>
      <w:r>
        <w:rPr>
          <w:b/>
          <w:bCs/>
        </w:rPr>
        <w:t xml:space="preserve">USDOT/FAA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federal government granted Virginia a perpetual easement</w:t>
      </w:r>
      <w:r>
        <w:t xml:space="preserve"> </w:t>
      </w:r>
      <w:r>
        <w:t xml:space="preserve">for transportation purposes.</w:t>
      </w:r>
    </w:p>
    <w:p>
      <w:pPr>
        <w:pStyle w:val="Compact"/>
        <w:numPr>
          <w:ilvl w:val="0"/>
          <w:numId w:val="1005"/>
        </w:numPr>
      </w:pPr>
      <w:r>
        <w:t xml:space="preserve">MWAA’s rights under the MTA and Permit are contingent on this easement.</w:t>
      </w:r>
    </w:p>
    <w:p>
      <w:pPr>
        <w:pStyle w:val="Compact"/>
        <w:numPr>
          <w:ilvl w:val="0"/>
          <w:numId w:val="1005"/>
        </w:numPr>
      </w:pPr>
      <w:r>
        <w:t xml:space="preserve">Any transfer of rights, particularly to a private entity, must honor federal usage intent.</w:t>
      </w:r>
    </w:p>
    <w:p>
      <w:pPr>
        <w:pStyle w:val="Compact"/>
        <w:numPr>
          <w:ilvl w:val="0"/>
          <w:numId w:val="1005"/>
        </w:numPr>
      </w:pPr>
      <w:r>
        <w:t xml:space="preserve">Violations could trigger</w:t>
      </w:r>
      <w:r>
        <w:t xml:space="preserve"> </w:t>
      </w:r>
      <w:r>
        <w:rPr>
          <w:b/>
          <w:bCs/>
        </w:rPr>
        <w:t xml:space="preserve">federal enforcement or reversion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6"/>
    <w:bookmarkStart w:id="33" w:name="X6cb05e5dfccda14181b495c40b7c5627e0e3883"/>
    <w:p>
      <w:pPr>
        <w:pStyle w:val="Heading2"/>
      </w:pPr>
      <w:r>
        <w:t xml:space="preserve">💰 Financial Summary (2024 Annual Report + 2022 Rating Commentary)</w:t>
      </w:r>
    </w:p>
    <w:bookmarkStart w:id="27" w:name="revenues-cash-flow-2023-actuals"/>
    <w:p>
      <w:pPr>
        <w:pStyle w:val="Heading3"/>
      </w:pPr>
      <w:r>
        <w:t xml:space="preserve">Revenues &amp; Cash Flow (2023 Actuals)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Toll Revenue</w:t>
      </w:r>
      <w:r>
        <w:t xml:space="preserve">: $176.0M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O&amp;M Expenses</w:t>
      </w:r>
      <w:r>
        <w:t xml:space="preserve">: $38.6M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Net Operating Income</w:t>
      </w:r>
      <w:r>
        <w:t xml:space="preserve">: $137.4M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Senior Debt Service</w:t>
      </w:r>
      <w:r>
        <w:t xml:space="preserve">: $80.8M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Coverage Ratio (Senior Bonds)</w:t>
      </w:r>
      <w:r>
        <w:t xml:space="preserve">: 1.70x</w:t>
      </w:r>
    </w:p>
    <w:bookmarkEnd w:id="27"/>
    <w:bookmarkStart w:id="28" w:name="debt-profile"/>
    <w:p>
      <w:pPr>
        <w:pStyle w:val="Heading3"/>
      </w:pPr>
      <w:r>
        <w:t xml:space="preserve">Debt Profile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Outstanding Bonds</w:t>
      </w:r>
      <w:r>
        <w:t xml:space="preserve">: ~$3.38B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Mix of Capital Appreciation Bonds, Convertible CABs, and Taxable/Tax-Exempt Current Interest Bonds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Final Maturity</w:t>
      </w:r>
      <w:r>
        <w:t xml:space="preserve">: 2058</w:t>
      </w:r>
    </w:p>
    <w:p>
      <w:pPr>
        <w:pStyle w:val="Compact"/>
        <w:numPr>
          <w:ilvl w:val="0"/>
          <w:numId w:val="1007"/>
        </w:numPr>
      </w:pPr>
      <w:r>
        <w:t xml:space="preserve">Balloon payments begin after 2035; non-callable structure limits flexibility</w:t>
      </w:r>
    </w:p>
    <w:bookmarkEnd w:id="28"/>
    <w:bookmarkStart w:id="29" w:name="rating-agency-commentary-2022"/>
    <w:p>
      <w:pPr>
        <w:pStyle w:val="Heading3"/>
      </w:pPr>
      <w:r>
        <w:t xml:space="preserve">Rating Agency Commentary (2022)</w:t>
      </w:r>
    </w:p>
    <w:p>
      <w:pPr>
        <w:pStyle w:val="FirstParagraph"/>
      </w:pPr>
      <w:r>
        <w:rPr>
          <w:b/>
          <w:bCs/>
        </w:rPr>
        <w:t xml:space="preserve">Moody’s (A2, Stable)</w:t>
      </w:r>
      <w:r>
        <w:t xml:space="preserve">:</w:t>
      </w:r>
      <w:r>
        <w:t xml:space="preserve"> </w:t>
      </w:r>
      <w:r>
        <w:t xml:space="preserve">- Highlights regional essentiality, liquidity, and strong governance</w:t>
      </w:r>
      <w:r>
        <w:t xml:space="preserve"> </w:t>
      </w:r>
      <w:r>
        <w:t xml:space="preserve">- Concerns: single-asset risk, non-callable CABs, toll policy sensitivity</w:t>
      </w:r>
    </w:p>
    <w:p>
      <w:pPr>
        <w:pStyle w:val="BodyText"/>
      </w:pPr>
      <w:r>
        <w:rPr>
          <w:b/>
          <w:bCs/>
        </w:rPr>
        <w:t xml:space="preserve">Fitch (A, Stable)</w:t>
      </w:r>
      <w:r>
        <w:t xml:space="preserve">:</w:t>
      </w:r>
      <w:r>
        <w:t xml:space="preserve"> </w:t>
      </w:r>
      <w:r>
        <w:t xml:space="preserve">- Notes mature asset, rate-setting flexibility</w:t>
      </w:r>
      <w:r>
        <w:t xml:space="preserve"> </w:t>
      </w:r>
      <w:r>
        <w:t xml:space="preserve">- Risks: rising debt service, operating inflation, elasticity to toll hikes</w:t>
      </w:r>
    </w:p>
    <w:p>
      <w:pPr>
        <w:pStyle w:val="BodyText"/>
      </w:pPr>
      <w:r>
        <w:rPr>
          <w:b/>
          <w:bCs/>
        </w:rPr>
        <w:t xml:space="preserve">S&amp;P (A, Stable)</w:t>
      </w:r>
      <w:r>
        <w:t xml:space="preserve">:</w:t>
      </w:r>
      <w:r>
        <w:t xml:space="preserve"> </w:t>
      </w:r>
      <w:r>
        <w:t xml:space="preserve">- Adequate near-term flexibility, rigid long-term obligations</w:t>
      </w:r>
      <w:r>
        <w:t xml:space="preserve"> </w:t>
      </w:r>
      <w:r>
        <w:t xml:space="preserve">- Toll increases politically sensitive but supported by transit improvements</w:t>
      </w:r>
    </w:p>
    <w:bookmarkEnd w:id="29"/>
    <w:bookmarkStart w:id="30" w:name="debt-service-table-20242058"/>
    <w:p>
      <w:pPr>
        <w:pStyle w:val="Heading3"/>
      </w:pPr>
      <w:r>
        <w:t xml:space="preserve">Debt Service Table (2024–2058)</w:t>
      </w:r>
    </w:p>
    <w:p>
      <w:pPr>
        <w:pStyle w:val="FirstParagraph"/>
      </w:pPr>
      <w:r>
        <w:rPr>
          <w:i/>
          <w:iCs/>
        </w:rPr>
        <w:t xml:space="preserve">See attached table:</w:t>
      </w:r>
      <w:r>
        <w:rPr>
          <w:i/>
          <w:iCs/>
        </w:rPr>
        <w:t xml:space="preserve"> </w:t>
      </w:r>
      <w:r>
        <w:rPr>
          <w:i/>
          <w:iCs/>
        </w:rPr>
        <w:t xml:space="preserve">“Debt Service Schedule”</w:t>
      </w:r>
      <w:r>
        <w:rPr>
          <w:i/>
          <w:iCs/>
        </w:rPr>
        <w:t xml:space="preserve"> </w:t>
      </w:r>
      <w:r>
        <w:rPr>
          <w:i/>
          <w:iCs/>
        </w:rPr>
        <w:t xml:space="preserve">showing annual obligations for each instrument type (Current Interest Bonds, Capital Appreciation Bonds, Convertible CABs).</w:t>
      </w:r>
    </w:p>
    <w:bookmarkEnd w:id="30"/>
    <w:bookmarkStart w:id="31" w:name="debt-service-chart"/>
    <w:p>
      <w:pPr>
        <w:pStyle w:val="Heading3"/>
      </w:pPr>
      <w:r>
        <w:t xml:space="preserve">Debt Service Chart</w:t>
      </w:r>
    </w:p>
    <w:p>
      <w:pPr>
        <w:pStyle w:val="FirstParagraph"/>
      </w:pPr>
      <w:r>
        <w:rPr>
          <w:i/>
          <w:iCs/>
        </w:rPr>
        <w:t xml:space="preserve">See included chart:</w:t>
      </w:r>
      <w:r>
        <w:rPr>
          <w:i/>
          <w:iCs/>
        </w:rPr>
        <w:t xml:space="preserve"> </w:t>
      </w:r>
      <w:r>
        <w:rPr>
          <w:i/>
          <w:iCs/>
        </w:rPr>
        <w:t xml:space="preserve">“Dulles Toll Road Debt Service Schedule by Instrument (2024–2058)”</w:t>
      </w:r>
      <w:r>
        <w:rPr>
          <w:i/>
          <w:iCs/>
        </w:rPr>
        <w:t xml:space="preserve"> </w:t>
      </w:r>
      <w:r>
        <w:rPr>
          <w:i/>
          <w:iCs/>
        </w:rPr>
        <w:t xml:space="preserve">showing visual stackplot of annual debt obligations.</w:t>
      </w:r>
    </w:p>
    <w:bookmarkEnd w:id="31"/>
    <w:bookmarkStart w:id="32" w:name="transfer-implications"/>
    <w:p>
      <w:pPr>
        <w:pStyle w:val="Heading3"/>
      </w:pPr>
      <w:r>
        <w:t xml:space="preserve">Transfer Implications</w:t>
      </w:r>
    </w:p>
    <w:p>
      <w:pPr>
        <w:pStyle w:val="Compact"/>
        <w:numPr>
          <w:ilvl w:val="0"/>
          <w:numId w:val="1008"/>
        </w:numPr>
      </w:pPr>
      <w:r>
        <w:t xml:space="preserve">Public-to-public transfer could preserve rating and bond structure</w:t>
      </w:r>
    </w:p>
    <w:p>
      <w:pPr>
        <w:pStyle w:val="Compact"/>
        <w:numPr>
          <w:ilvl w:val="0"/>
          <w:numId w:val="1008"/>
        </w:numPr>
      </w:pPr>
      <w:r>
        <w:t xml:space="preserve">Private transfer would require full</w:t>
      </w:r>
      <w:r>
        <w:t xml:space="preserve"> </w:t>
      </w:r>
      <w:r>
        <w:rPr>
          <w:b/>
          <w:bCs/>
        </w:rPr>
        <w:t xml:space="preserve">defeasance of CABs</w:t>
      </w:r>
      <w:r>
        <w:t xml:space="preserve">, likely costly</w:t>
      </w:r>
    </w:p>
    <w:p>
      <w:pPr>
        <w:pStyle w:val="Compact"/>
        <w:numPr>
          <w:ilvl w:val="0"/>
          <w:numId w:val="1008"/>
        </w:numPr>
      </w:pPr>
      <w:r>
        <w:t xml:space="preserve">Enterprise fund and covenant compliance must be preserved by any successor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transfer-path-options"/>
    <w:p>
      <w:pPr>
        <w:pStyle w:val="Heading2"/>
      </w:pPr>
      <w:r>
        <w:t xml:space="preserve">🔄 Transfer Path Options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94"/>
        <w:gridCol w:w="2938"/>
        <w:gridCol w:w="348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Option</w:t>
            </w:r>
          </w:p>
        </w:tc>
        <w:tc>
          <w:tcPr/>
          <w:p>
            <w:pPr>
              <w:pStyle w:val="Compact"/>
            </w:pPr>
            <w:r>
              <w:t xml:space="preserve">Mechanism</w:t>
            </w:r>
          </w:p>
        </w:tc>
        <w:tc>
          <w:tcPr/>
          <w:p>
            <w:pPr>
              <w:pStyle w:val="Compact"/>
            </w:pPr>
            <w:r>
              <w:t xml:space="preserve">Strategic Notes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Agreement Termination</w:t>
            </w:r>
          </w:p>
        </w:tc>
        <w:tc>
          <w:tcPr/>
          <w:p>
            <w:pPr>
              <w:pStyle w:val="Compact"/>
            </w:pPr>
            <w:r>
              <w:t xml:space="preserve">MWAA exits; VDOT resumes control</w:t>
            </w:r>
          </w:p>
        </w:tc>
        <w:tc>
          <w:tcPr/>
          <w:p>
            <w:pPr>
              <w:pStyle w:val="Compact"/>
            </w:pPr>
            <w:r>
              <w:t xml:space="preserve">Cleanest and fastest, with little federal friction; needs political support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Public-to-Public Reassignment</w:t>
            </w:r>
          </w:p>
        </w:tc>
        <w:tc>
          <w:tcPr/>
          <w:p>
            <w:pPr>
              <w:pStyle w:val="Compact"/>
            </w:pPr>
            <w:r>
              <w:t xml:space="preserve">Transfer to regional authority (e.g., NVTA)</w:t>
            </w:r>
          </w:p>
        </w:tc>
        <w:tc>
          <w:tcPr/>
          <w:p>
            <w:pPr>
              <w:pStyle w:val="Compact"/>
            </w:pPr>
            <w:r>
              <w:t xml:space="preserve">Preserves bond structure, federal compliance, and financial stability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Public-to-Private Concession</w:t>
            </w:r>
          </w:p>
        </w:tc>
        <w:tc>
          <w:tcPr/>
          <w:p>
            <w:pPr>
              <w:pStyle w:val="Compact"/>
            </w:pPr>
            <w:r>
              <w:t xml:space="preserve">Long-term lease to private operator</w:t>
            </w:r>
          </w:p>
        </w:tc>
        <w:tc>
          <w:tcPr/>
          <w:p>
            <w:pPr>
              <w:pStyle w:val="Compact"/>
            </w:pPr>
            <w:r>
              <w:t xml:space="preserve">Requires CAB defeasance, federal review, and public consent; politically sensitive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4"/>
    <w:bookmarkStart w:id="35" w:name="constraints-and-considerations"/>
    <w:p>
      <w:pPr>
        <w:pStyle w:val="Heading2"/>
      </w:pPr>
      <w:r>
        <w:t xml:space="preserve">⚠️ Constraints and Considerations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01"/>
        <w:gridCol w:w="58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Constraint</w:t>
            </w:r>
          </w:p>
        </w:tc>
        <w:tc>
          <w:tcPr/>
          <w:p>
            <w:pPr>
              <w:pStyle w:val="Compact"/>
            </w:pPr>
            <w:r>
              <w:t xml:space="preserve">Impact</w:t>
            </w:r>
          </w:p>
        </w:tc>
      </w:tr>
      <w:tr>
        <w:tc>
          <w:tcPr/>
          <w:p>
            <w:pPr>
              <w:pStyle w:val="Compact"/>
            </w:pPr>
            <w:r>
              <w:t xml:space="preserve">MTA Use Restrictions</w:t>
            </w:r>
          </w:p>
        </w:tc>
        <w:tc>
          <w:tcPr/>
          <w:p>
            <w:pPr>
              <w:pStyle w:val="Compact"/>
            </w:pPr>
            <w:r>
              <w:t xml:space="preserve">Revenues limited to corridor-related uses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Permit Terms</w:t>
            </w:r>
          </w:p>
        </w:tc>
        <w:tc>
          <w:tcPr/>
          <w:p>
            <w:pPr>
              <w:pStyle w:val="Compact"/>
            </w:pPr>
            <w:r>
              <w:t xml:space="preserve">MWAA operates under revocable license, not ownership</w:t>
            </w:r>
          </w:p>
        </w:tc>
      </w:tr>
      <w:tr>
        <w:tc>
          <w:tcPr/>
          <w:p>
            <w:pPr>
              <w:pStyle w:val="Compact"/>
            </w:pPr>
            <w:r>
              <w:t xml:space="preserve">Federal Easement</w:t>
            </w:r>
          </w:p>
        </w:tc>
        <w:tc>
          <w:tcPr/>
          <w:p>
            <w:pPr>
              <w:pStyle w:val="Compact"/>
            </w:pPr>
            <w:r>
              <w:t xml:space="preserve">Usage must remain for surface transportation to airport corridor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Debt Structure</w:t>
            </w:r>
          </w:p>
        </w:tc>
        <w:tc>
          <w:tcPr/>
          <w:p>
            <w:pPr>
              <w:pStyle w:val="Compact"/>
            </w:pPr>
            <w:r>
              <w:t xml:space="preserve">CABs are long-dated, non-callable, creating major defeasance cost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Toll Setting Process</w:t>
            </w:r>
          </w:p>
        </w:tc>
        <w:tc>
          <w:tcPr/>
          <w:p>
            <w:pPr>
              <w:pStyle w:val="Compact"/>
            </w:pPr>
            <w:r>
              <w:t xml:space="preserve">Subject to MWAA board approval and public comment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5"/>
    <w:bookmarkStart w:id="36" w:name="updated-decision-matrix"/>
    <w:p>
      <w:pPr>
        <w:pStyle w:val="Heading2"/>
      </w:pPr>
      <w:r>
        <w:t xml:space="preserve">📊 Updated Decision Matrix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60"/>
        <w:gridCol w:w="830"/>
        <w:gridCol w:w="766"/>
        <w:gridCol w:w="1021"/>
        <w:gridCol w:w="1149"/>
        <w:gridCol w:w="1149"/>
        <w:gridCol w:w="134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Option</w:t>
            </w:r>
          </w:p>
        </w:tc>
        <w:tc>
          <w:tcPr/>
          <w:p>
            <w:pPr>
              <w:pStyle w:val="Compact"/>
            </w:pPr>
            <w:r>
              <w:t xml:space="preserve">Feasibility</w:t>
            </w:r>
          </w:p>
        </w:tc>
        <w:tc>
          <w:tcPr/>
          <w:p>
            <w:pPr>
              <w:pStyle w:val="Compact"/>
            </w:pPr>
            <w:r>
              <w:t xml:space="preserve">Cost</w:t>
            </w:r>
          </w:p>
        </w:tc>
        <w:tc>
          <w:tcPr/>
          <w:p>
            <w:pPr>
              <w:pStyle w:val="Compact"/>
            </w:pPr>
            <w:r>
              <w:t xml:space="preserve">Political Risk</w:t>
            </w:r>
          </w:p>
        </w:tc>
        <w:tc>
          <w:tcPr/>
          <w:p>
            <w:pPr>
              <w:pStyle w:val="Compact"/>
            </w:pPr>
            <w:r>
              <w:t xml:space="preserve">Tax Status</w:t>
            </w:r>
          </w:p>
        </w:tc>
        <w:tc>
          <w:tcPr/>
          <w:p>
            <w:pPr>
              <w:pStyle w:val="Compact"/>
            </w:pPr>
            <w:r>
              <w:t xml:space="preserve">Federal Risk</w:t>
            </w:r>
          </w:p>
        </w:tc>
        <w:tc>
          <w:tcPr/>
          <w:p>
            <w:pPr>
              <w:pStyle w:val="Compact"/>
            </w:pPr>
            <w:r>
              <w:t xml:space="preserve">Financial Impact</w:t>
            </w:r>
          </w:p>
        </w:tc>
      </w:tr>
      <w:tr>
        <w:tc>
          <w:tcPr/>
          <w:p>
            <w:pPr>
              <w:pStyle w:val="Compact"/>
            </w:pPr>
            <w:r>
              <w:t xml:space="preserve">Agreement Termination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Low–Medium</w:t>
            </w:r>
          </w:p>
        </w:tc>
        <w:tc>
          <w:tcPr/>
          <w:p>
            <w:pPr>
              <w:pStyle w:val="Compact"/>
            </w:pPr>
            <w:r>
              <w:t xml:space="preserve">TE preserved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Retains cash flow; no defeasance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Public Reassignment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Low–Medium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TE preserved</w:t>
            </w:r>
          </w:p>
        </w:tc>
        <w:tc>
          <w:tcPr/>
          <w:p>
            <w:pPr>
              <w:pStyle w:val="Compact"/>
            </w:pPr>
            <w:r>
              <w:t xml:space="preserve">Low–Medium</w:t>
            </w:r>
          </w:p>
        </w:tc>
        <w:tc>
          <w:tcPr/>
          <w:p>
            <w:pPr>
              <w:pStyle w:val="Compact"/>
            </w:pPr>
            <w:r>
              <w:t xml:space="preserve">Revenue continuity viable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Private Concession</w:t>
            </w:r>
          </w:p>
        </w:tc>
        <w:tc>
          <w:tcPr/>
          <w:p>
            <w:pPr>
              <w:pStyle w:val="Compact"/>
            </w:pPr>
            <w:r>
              <w:t xml:space="preserve">Medium–Low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TE defeased</w:t>
            </w:r>
          </w:p>
        </w:tc>
        <w:tc>
          <w:tcPr/>
          <w:p>
            <w:pPr>
              <w:pStyle w:val="Compact"/>
            </w:pPr>
            <w:r>
              <w:t xml:space="preserve">Medium–High</w:t>
            </w:r>
          </w:p>
        </w:tc>
        <w:tc>
          <w:tcPr/>
          <w:p>
            <w:pPr>
              <w:pStyle w:val="Compact"/>
            </w:pPr>
            <w:r>
              <w:t xml:space="preserve">Requires full defeasance/refinancing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6"/>
    <w:bookmarkStart w:id="37" w:name="next-steps"/>
    <w:p>
      <w:pPr>
        <w:pStyle w:val="Heading2"/>
      </w:pPr>
      <w:r>
        <w:t xml:space="preserve">📋 Next Steps</w:t>
      </w:r>
    </w:p>
    <w:p>
      <w:pPr>
        <w:pStyle w:val="Compact"/>
        <w:numPr>
          <w:ilvl w:val="0"/>
          <w:numId w:val="1009"/>
        </w:numPr>
      </w:pPr>
      <w:r>
        <w:t xml:space="preserve">Model</w:t>
      </w:r>
      <w:r>
        <w:t xml:space="preserve"> </w:t>
      </w:r>
      <w:r>
        <w:rPr>
          <w:b/>
          <w:bCs/>
        </w:rPr>
        <w:t xml:space="preserve">CAB defeasance cost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federal easement transferability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Review MTA/Permit assignment and termination clauses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Engage VDOT/FAA on public vs private transfer scenarios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Explore regional public-governance alternatives (NVTA etc.)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Develop stakeholder communications, emphasizing public benefit and Silver Line legacy</w:t>
      </w:r>
    </w:p>
    <w:p>
      <w:r>
        <w:pict>
          <v:rect style="width:0;height:1.5pt" o:hralign="center" o:hrstd="t" o:hr="t"/>
        </w:pict>
      </w:r>
    </w:p>
    <w:bookmarkEnd w:id="37"/>
    <w:bookmarkStart w:id="43" w:name="conclusion"/>
    <w:p>
      <w:pPr>
        <w:pStyle w:val="Heading2"/>
      </w:pPr>
      <w:r>
        <w:t xml:space="preserve">📌 Conclusion</w:t>
      </w:r>
    </w:p>
    <w:p>
      <w:pPr>
        <w:pStyle w:val="FirstParagraph"/>
      </w:pPr>
      <w:r>
        <w:t xml:space="preserve">The Dulles Toll Road remains a vital, cash-generative corridor with strong financial performance and public benefit alignment. However,</w:t>
      </w:r>
      <w:r>
        <w:t xml:space="preserve"> </w:t>
      </w:r>
      <w:r>
        <w:rPr>
          <w:b/>
          <w:bCs/>
        </w:rPr>
        <w:t xml:space="preserve">transfer complexity arises from its legal structure, long-term debt profile, and federal land status</w:t>
      </w:r>
      <w:r>
        <w:t xml:space="preserve">. MWAA’s exit is most viable through a</w:t>
      </w:r>
      <w:r>
        <w:t xml:space="preserve"> </w:t>
      </w:r>
      <w:r>
        <w:rPr>
          <w:b/>
          <w:bCs/>
        </w:rPr>
        <w:t xml:space="preserve">public-to-public solution</w:t>
      </w:r>
      <w:r>
        <w:t xml:space="preserve"> </w:t>
      </w:r>
      <w:r>
        <w:t xml:space="preserve">that maintains federal compliance, preserves tax-exempt debt, and supports long-term corridor management.</w:t>
      </w:r>
    </w:p>
    <w:p>
      <w:pPr>
        <w:pStyle w:val="BodyText"/>
      </w:pPr>
      <w:r>
        <w:t xml:space="preserve">A private concession may offer value, but would require costly defeasance and political capital. A successor must demonstrate capacity to maintain operational performance, honor existing covenants, and sustain Silver Line connectivity.</w:t>
      </w:r>
    </w:p>
    <w:p>
      <w:r>
        <w:pict>
          <v:rect style="width:0;height:1.5pt" o:hralign="center" o:hrstd="t" o:hr="t"/>
        </w:pict>
      </w:r>
    </w:p>
    <w:bookmarkStart w:id="42" w:name="key-links"/>
    <w:p>
      <w:pPr>
        <w:pStyle w:val="Heading3"/>
      </w:pPr>
      <w:r>
        <w:t xml:space="preserve">🔗 Key Links</w:t>
      </w:r>
    </w:p>
    <w:p>
      <w:pPr>
        <w:pStyle w:val="Compact"/>
        <w:numPr>
          <w:ilvl w:val="0"/>
          <w:numId w:val="1010"/>
        </w:numPr>
      </w:pPr>
      <w:hyperlink r:id="rId38">
        <w:r>
          <w:rPr>
            <w:rStyle w:val="Hyperlink"/>
          </w:rPr>
          <w:t xml:space="preserve">MWAA Credit Ratings &amp; Investor Relations</w:t>
        </w:r>
      </w:hyperlink>
    </w:p>
    <w:p>
      <w:pPr>
        <w:pStyle w:val="Compact"/>
        <w:numPr>
          <w:ilvl w:val="0"/>
          <w:numId w:val="1010"/>
        </w:numPr>
      </w:pPr>
      <w:hyperlink r:id="rId39">
        <w:r>
          <w:rPr>
            <w:rStyle w:val="Hyperlink"/>
          </w:rPr>
          <w:t xml:space="preserve">Fitch 2022 MWAA Report</w:t>
        </w:r>
      </w:hyperlink>
    </w:p>
    <w:p>
      <w:pPr>
        <w:pStyle w:val="Compact"/>
        <w:numPr>
          <w:ilvl w:val="0"/>
          <w:numId w:val="1010"/>
        </w:numPr>
      </w:pPr>
      <w:hyperlink r:id="rId40">
        <w:r>
          <w:rPr>
            <w:rStyle w:val="Hyperlink"/>
          </w:rPr>
          <w:t xml:space="preserve">Moody’s Report via MWAA</w:t>
        </w:r>
      </w:hyperlink>
    </w:p>
    <w:p>
      <w:pPr>
        <w:pStyle w:val="Compact"/>
        <w:numPr>
          <w:ilvl w:val="0"/>
          <w:numId w:val="1010"/>
        </w:numPr>
      </w:pPr>
      <w:hyperlink r:id="rId41">
        <w:r>
          <w:rPr>
            <w:rStyle w:val="Hyperlink"/>
          </w:rPr>
          <w:t xml:space="preserve">S&amp;P Report Snapshot</w:t>
        </w:r>
      </w:hyperlink>
    </w:p>
    <w:bookmarkEnd w:id="42"/>
    <w:bookmarkEnd w:id="43"/>
    <w:bookmarkEnd w:id="4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s://msa.maryland.gov/megafile/msa/speccol/sc5300/sc5339/000113/025700/025732/20230123e.pdf" TargetMode="External" /><Relationship Type="http://schemas.openxmlformats.org/officeDocument/2006/relationships/hyperlink" Id="rId39" Target="https://www.fitchratings.com/research/infrastructure-project-finance/fitch-rates-metro-washington-airports-auth-rev-bonds-aa-outlook-stable-21-05-2025" TargetMode="External" /><Relationship Type="http://schemas.openxmlformats.org/officeDocument/2006/relationships/hyperlink" Id="rId38" Target="https://www.mwaa.com/financial-statistics/investor-relations/credit-ratings" TargetMode="External" /><Relationship Type="http://schemas.openxmlformats.org/officeDocument/2006/relationships/hyperlink" Id="rId40" Target="https://www.mwaa.com/investor-relatio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msa.maryland.gov/megafile/msa/speccol/sc5300/sc5339/000113/025700/025732/20230123e.pdf" TargetMode="External" /><Relationship Type="http://schemas.openxmlformats.org/officeDocument/2006/relationships/hyperlink" Id="rId39" Target="https://www.fitchratings.com/research/infrastructure-project-finance/fitch-rates-metro-washington-airports-auth-rev-bonds-aa-outlook-stable-21-05-2025" TargetMode="External" /><Relationship Type="http://schemas.openxmlformats.org/officeDocument/2006/relationships/hyperlink" Id="rId38" Target="https://www.mwaa.com/financial-statistics/investor-relations/credit-ratings" TargetMode="External" /><Relationship Type="http://schemas.openxmlformats.org/officeDocument/2006/relationships/hyperlink" Id="rId40" Target="https://www.mwaa.com/investor-rela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2025-07-01T17:42:20Z</dcterms:created>
  <dcterms:modified xsi:type="dcterms:W3CDTF">2025-07-01T17:42:20Z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