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B4A32"/>
          <w:sz w:val="40"/>
          <w:szCs w:val="40"/>
        </w:rPr>
        <w:t xml:space="preserve">GREENROCK ENGINEERING AND DESIGN SERVICES</w:t>
      </w:r>
    </w:p>
    <w:p>
      <w:pPr>
        <w:spacing w:after="300"/>
        <w:jc w:val="center"/>
      </w:pPr>
      <w:r>
        <w:rPr>
          <w:color w:val="101A13"/>
          <w:sz w:val="30"/>
          <w:szCs w:val="30"/>
        </w:rPr>
        <w:t xml:space="preserve">Website Design Brief &amp; Copy Deck — v2</w:t>
      </w:r>
    </w:p>
    <w:p>
      <w:pPr>
        <w:spacing w:after="120"/>
        <w:jc w:val="center"/>
      </w:pPr>
      <w:r>
        <w:rPr>
          <w:i/>
          <w:iCs/>
          <w:color w:val="4A594F"/>
          <w:sz w:val="22"/>
          <w:szCs w:val="22"/>
        </w:rPr>
        <w:t xml:space="preserve">Prepared for the website design team</w:t>
      </w:r>
    </w:p>
    <w:p>
      <w:pPr>
        <w:jc w:val="center"/>
      </w:pPr>
      <w:r>
        <w:rPr>
          <w:color w:val="4A594F"/>
          <w:sz w:val="22"/>
          <w:szCs w:val="22"/>
        </w:rPr>
        <w:t xml:space="preserve">Domain: greenrockeng.com  |  July 2026</w:t>
      </w:r>
    </w:p>
    <w:p>
      <w:r>
        <w:br w:type="page"/>
      </w:r>
    </w:p>
    <w:p>
      <w:pPr>
        <w:pStyle w:val="Heading1"/>
        <w:spacing w:after="200" w:before="360"/>
      </w:pPr>
      <w:r>
        <w:rPr>
          <w:b/>
          <w:bCs/>
          <w:color w:val="1B4A32"/>
          <w:sz w:val="32"/>
          <w:szCs w:val="32"/>
        </w:rPr>
        <w:t xml:space="preserve">1. Project Overview</w:t>
      </w:r>
    </w:p>
    <w:p>
      <w:pPr>
        <w:spacing w:after="160" w:before="0"/>
      </w:pPr>
      <w:r>
        <w:rPr>
          <w:b w:val="false"/>
          <w:bCs w:val="false"/>
          <w:i w:val="false"/>
          <w:iCs w:val="false"/>
          <w:color w:val="101A13"/>
          <w:sz w:val="22"/>
          <w:szCs w:val="22"/>
        </w:rPr>
        <w:t xml:space="preserve">Greenrock Engineering and Design Services is an engineering and design consulting firm offering six integrated disciplines: architecture, civil engineering, structural engineering, electrical engineering, mechanical engineering, and design services. The firm serves general contractors, government and public agencies, developers, and commercial/private organizations, with a focus on complex facilities such as data centers, warehouses, industrial plants, healthcare buildings, laboratories, and commercial properties.</w:t>
      </w:r>
    </w:p>
    <w:p>
      <w:pPr>
        <w:spacing w:after="160" w:before="0"/>
      </w:pPr>
      <w:r>
        <w:rPr>
          <w:b w:val="false"/>
          <w:bCs w:val="false"/>
          <w:i w:val="false"/>
          <w:iCs w:val="false"/>
          <w:color w:val="101A13"/>
          <w:sz w:val="22"/>
          <w:szCs w:val="22"/>
        </w:rPr>
        <w:t xml:space="preserve">The website is a company-introduction site whose jobs are to (1) establish big-firm credibility from day one, (2) present the six disciplines as one integrated practice, (3) showcase the complex sectors the firm engineers, and (4) convert visitors into contact.</w:t>
      </w:r>
    </w:p>
    <w:p>
      <w:pPr>
        <w:pStyle w:val="Heading3"/>
        <w:spacing w:after="120" w:before="220"/>
      </w:pPr>
      <w:r>
        <w:rPr>
          <w:b/>
          <w:bCs/>
          <w:color w:val="101A13"/>
          <w:sz w:val="23"/>
          <w:szCs w:val="23"/>
        </w:rPr>
        <w:t xml:space="preserve">Design references</w:t>
      </w:r>
    </w:p>
    <w:p>
      <w:pPr>
        <w:spacing w:after="160" w:before="0"/>
      </w:pPr>
      <w:r>
        <w:rPr>
          <w:b w:val="false"/>
          <w:bCs w:val="false"/>
          <w:i w:val="false"/>
          <w:iCs w:val="false"/>
          <w:color w:val="101A13"/>
          <w:sz w:val="22"/>
          <w:szCs w:val="22"/>
        </w:rPr>
        <w:t xml:space="preserve">The site's look, structure, and tone are modeled on leading global engineering consultancies: WSP, Arup, Kimley-Horn, HDR, and Arcadis. The designer should study these sites. The specific patterns borrowed:</w:t>
      </w:r>
    </w:p>
    <w:p>
      <w:pPr>
        <w:pStyle w:val="ListParagraph"/>
        <w:numPr>
          <w:ilvl w:val="0"/>
          <w:numId w:val="2"/>
        </w:numPr>
        <w:spacing w:after="100"/>
      </w:pPr>
      <w:r>
        <w:rPr>
          <w:sz w:val="22"/>
          <w:szCs w:val="22"/>
        </w:rPr>
        <w:t xml:space="preserve">Full-bleed photographic hero with a short, purpose-driven headline and dark brand-color tint (WSP, Arup, HDR).</w:t>
      </w:r>
    </w:p>
    <w:p>
      <w:pPr>
        <w:pStyle w:val="ListParagraph"/>
        <w:numPr>
          <w:ilvl w:val="0"/>
          <w:numId w:val="2"/>
        </w:numPr>
        <w:spacing w:after="100"/>
      </w:pPr>
      <w:r>
        <w:rPr>
          <w:sz w:val="22"/>
          <w:szCs w:val="22"/>
        </w:rPr>
        <w:t xml:space="preserve">Large editorial 'purpose statement' section in oversized type rather than a small about blurb (Arup).</w:t>
      </w:r>
    </w:p>
    <w:p>
      <w:pPr>
        <w:pStyle w:val="ListParagraph"/>
        <w:numPr>
          <w:ilvl w:val="0"/>
          <w:numId w:val="2"/>
        </w:numPr>
        <w:spacing w:after="100"/>
      </w:pPr>
      <w:r>
        <w:rPr>
          <w:sz w:val="22"/>
          <w:szCs w:val="22"/>
        </w:rPr>
        <w:t xml:space="preserve">Expertise presented as a numbered full-width index list with hover interactions, not small cards (Arup).</w:t>
      </w:r>
    </w:p>
    <w:p>
      <w:pPr>
        <w:pStyle w:val="ListParagraph"/>
        <w:numPr>
          <w:ilvl w:val="0"/>
          <w:numId w:val="2"/>
        </w:numPr>
        <w:spacing w:after="100"/>
      </w:pPr>
      <w:r>
        <w:rPr>
          <w:sz w:val="22"/>
          <w:szCs w:val="22"/>
        </w:rPr>
        <w:t xml:space="preserve">Sectors presented as an image-forward grid of tall photo tiles (WSP, Arcadis).</w:t>
      </w:r>
    </w:p>
    <w:p>
      <w:pPr>
        <w:pStyle w:val="ListParagraph"/>
        <w:numPr>
          <w:ilvl w:val="0"/>
          <w:numId w:val="2"/>
        </w:numPr>
        <w:spacing w:after="100"/>
      </w:pPr>
      <w:r>
        <w:rPr>
          <w:sz w:val="22"/>
          <w:szCs w:val="22"/>
        </w:rPr>
        <w:t xml:space="preserve">A 'client's-eye view' responsiveness message (Kimley-Horn).</w:t>
      </w:r>
    </w:p>
    <w:p>
      <w:pPr>
        <w:pStyle w:val="ListParagraph"/>
        <w:numPr>
          <w:ilvl w:val="0"/>
          <w:numId w:val="2"/>
        </w:numPr>
        <w:spacing w:after="100"/>
      </w:pPr>
      <w:r>
        <w:rPr>
          <w:sz w:val="22"/>
          <w:szCs w:val="22"/>
        </w:rPr>
        <w:t xml:space="preserve">Stats band, dark sustainability manifesto, and substantial multi-column footer (HDR, Arcadis).</w:t>
      </w:r>
    </w:p>
    <w:p>
      <w:pPr>
        <w:pStyle w:val="Heading3"/>
        <w:spacing w:after="120" w:before="220"/>
      </w:pPr>
      <w:r>
        <w:rPr>
          <w:b/>
          <w:bCs/>
          <w:color w:val="101A13"/>
          <w:sz w:val="23"/>
          <w:szCs w:val="23"/>
        </w:rPr>
        <w:t xml:space="preserve">Brand positioning</w:t>
      </w:r>
    </w:p>
    <w:p>
      <w:pPr>
        <w:pStyle w:val="ListParagraph"/>
        <w:numPr>
          <w:ilvl w:val="0"/>
          <w:numId w:val="2"/>
        </w:numPr>
        <w:spacing w:after="100"/>
      </w:pPr>
      <w:r>
        <w:rPr>
          <w:sz w:val="22"/>
          <w:szCs w:val="22"/>
        </w:rPr>
        <w:t xml:space="preserve">Sustainability is the core differentiator — reflected in the all-green identity and woven through all copy, plus a dedicated manifesto section.</w:t>
      </w:r>
    </w:p>
    <w:p>
      <w:pPr>
        <w:pStyle w:val="ListParagraph"/>
        <w:numPr>
          <w:ilvl w:val="0"/>
          <w:numId w:val="2"/>
        </w:numPr>
        <w:spacing w:after="100"/>
      </w:pPr>
      <w:r>
        <w:rPr>
          <w:sz w:val="22"/>
          <w:szCs w:val="22"/>
        </w:rPr>
        <w:t xml:space="preserve">Integration is the second differentiator — six disciplines designing together, resolving conflicts on paper instead of on site.</w:t>
      </w:r>
    </w:p>
    <w:p>
      <w:pPr>
        <w:pStyle w:val="ListParagraph"/>
        <w:numPr>
          <w:ilvl w:val="0"/>
          <w:numId w:val="2"/>
        </w:numPr>
        <w:spacing w:after="100"/>
      </w:pPr>
      <w:r>
        <w:rPr>
          <w:sz w:val="22"/>
          <w:szCs w:val="22"/>
        </w:rPr>
        <w:t xml:space="preserve">Tone of voice: confident, editorial, plainspoken. Short declarative headlines. Benefit-led, never jargon-led.</w:t>
      </w:r>
    </w:p>
    <w:p>
      <w:pPr>
        <w:pStyle w:val="Heading3"/>
        <w:spacing w:after="120" w:before="220"/>
      </w:pPr>
      <w:r>
        <w:rPr>
          <w:b/>
          <w:bCs/>
          <w:color w:val="101A13"/>
          <w:sz w:val="23"/>
          <w:szCs w:val="23"/>
        </w:rPr>
        <w:t xml:space="preserve">Honesty constraint (important)</w:t>
      </w:r>
    </w:p>
    <w:p>
      <w:pPr>
        <w:spacing w:after="160" w:before="0"/>
      </w:pPr>
      <w:r>
        <w:rPr>
          <w:b w:val="false"/>
          <w:bCs w:val="false"/>
          <w:i w:val="false"/>
          <w:iCs w:val="false"/>
          <w:color w:val="101A13"/>
          <w:sz w:val="22"/>
          <w:szCs w:val="22"/>
        </w:rPr>
        <w:t xml:space="preserve">As a new firm, the site must NOT fabricate what the reference firms display: project case studies, client testimonials, office counts, staff numbers, or rankings. Stats used are structural facts (6 disciplines, 1 team, 100% of projects with sustainability targets). A Projects page and testimonials should be added only as real work completes.</w:t>
      </w:r>
    </w:p>
    <w:p>
      <w:pPr>
        <w:pStyle w:val="Heading3"/>
        <w:spacing w:after="120" w:before="220"/>
      </w:pPr>
      <w:r>
        <w:rPr>
          <w:b/>
          <w:bCs/>
          <w:color w:val="101A13"/>
          <w:sz w:val="23"/>
          <w:szCs w:val="23"/>
        </w:rPr>
        <w:t xml:space="preserve">Current state</w:t>
      </w:r>
    </w:p>
    <w:p>
      <w:pPr>
        <w:spacing w:after="160" w:before="0"/>
      </w:pPr>
      <w:r>
        <w:rPr>
          <w:b w:val="false"/>
          <w:bCs w:val="false"/>
          <w:i w:val="false"/>
          <w:iCs w:val="false"/>
          <w:color w:val="101A13"/>
          <w:sz w:val="22"/>
          <w:szCs w:val="22"/>
        </w:rPr>
        <w:t xml:space="preserve">A complete, coded single-page website exists (index.html) and is the source of truth for structure and copy. The designer may refine visuals or extend to multiple pages; the content architecture and copy in this document carry over.</w:t>
      </w:r>
    </w:p>
    <w:p>
      <w:r>
        <w:br w:type="page"/>
      </w:r>
    </w:p>
    <w:p>
      <w:pPr>
        <w:pStyle w:val="Heading1"/>
        <w:spacing w:after="200" w:before="360"/>
      </w:pPr>
      <w:r>
        <w:rPr>
          <w:b/>
          <w:bCs/>
          <w:color w:val="1B4A32"/>
          <w:sz w:val="32"/>
          <w:szCs w:val="32"/>
        </w:rPr>
        <w:t xml:space="preserve">2. Design System</w:t>
      </w:r>
    </w:p>
    <w:p>
      <w:pPr>
        <w:pStyle w:val="Heading3"/>
        <w:spacing w:after="120" w:before="220"/>
      </w:pPr>
      <w:r>
        <w:rPr>
          <w:b/>
          <w:bCs/>
          <w:color w:val="101A13"/>
          <w:sz w:val="23"/>
          <w:szCs w:val="23"/>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shd w:fill="1B4A32" w:val="clear"/>
            <w:tcMar>
              <w:top w:type="dxa" w:w="80"/>
              <w:left w:type="dxa" w:w="120"/>
              <w:bottom w:type="dxa" w:w="80"/>
              <w:right w:type="dxa" w:w="120"/>
            </w:tcMar>
          </w:tcPr>
          <w:p>
            <w:r>
              <w:rPr>
                <w:b/>
                <w:bCs/>
                <w:color w:val="FFFFFF"/>
                <w:sz w:val="20"/>
                <w:szCs w:val="20"/>
              </w:rPr>
              <w:t xml:space="preserve">Token</w:t>
            </w:r>
          </w:p>
        </w:tc>
        <w:tc>
          <w:tcPr>
            <w:tcW w:type="dxa" w:w="1800"/>
            <w:shd w:fill="1B4A32" w:val="clear"/>
            <w:tcMar>
              <w:top w:type="dxa" w:w="80"/>
              <w:left w:type="dxa" w:w="120"/>
              <w:bottom w:type="dxa" w:w="80"/>
              <w:right w:type="dxa" w:w="120"/>
            </w:tcMar>
          </w:tcPr>
          <w:p>
            <w:r>
              <w:rPr>
                <w:b/>
                <w:bCs/>
                <w:color w:val="FFFFFF"/>
                <w:sz w:val="20"/>
                <w:szCs w:val="20"/>
              </w:rPr>
              <w:t xml:space="preserve">Hex</w:t>
            </w:r>
          </w:p>
        </w:tc>
        <w:tc>
          <w:tcPr>
            <w:tcW w:type="dxa" w:w="4960"/>
            <w:shd w:fill="1B4A32" w:val="clear"/>
            <w:tcMar>
              <w:top w:type="dxa" w:w="80"/>
              <w:left w:type="dxa" w:w="120"/>
              <w:bottom w:type="dxa" w:w="80"/>
              <w:right w:type="dxa" w:w="120"/>
            </w:tcMar>
          </w:tcPr>
          <w:p>
            <w:r>
              <w:rPr>
                <w:b/>
                <w:bCs/>
                <w:color w:val="FFFFFF"/>
                <w:sz w:val="20"/>
                <w:szCs w:val="20"/>
              </w:rPr>
              <w:t xml:space="preserve">Usage</w:t>
            </w:r>
          </w:p>
        </w:tc>
      </w:tr>
      <w:tr>
        <w:tc>
          <w:tcPr>
            <w:tcW w:type="dxa" w:w="2600"/>
            <w:tcMar>
              <w:top w:type="dxa" w:w="80"/>
              <w:left w:type="dxa" w:w="120"/>
              <w:bottom w:type="dxa" w:w="80"/>
              <w:right w:type="dxa" w:w="120"/>
            </w:tcMar>
          </w:tcPr>
          <w:p>
            <w:r>
              <w:rPr>
                <w:b w:val="false"/>
                <w:bCs w:val="false"/>
                <w:color w:val="101A13"/>
                <w:sz w:val="20"/>
                <w:szCs w:val="20"/>
              </w:rPr>
              <w:t xml:space="preserve">Green 950 (darkest)</w:t>
            </w:r>
          </w:p>
        </w:tc>
        <w:tc>
          <w:tcPr>
            <w:tcW w:type="dxa" w:w="1800"/>
            <w:tcMar>
              <w:top w:type="dxa" w:w="80"/>
              <w:left w:type="dxa" w:w="120"/>
              <w:bottom w:type="dxa" w:w="80"/>
              <w:right w:type="dxa" w:w="120"/>
            </w:tcMar>
          </w:tcPr>
          <w:p>
            <w:r>
              <w:rPr>
                <w:b w:val="false"/>
                <w:bCs w:val="false"/>
                <w:color w:val="101A13"/>
                <w:sz w:val="20"/>
                <w:szCs w:val="20"/>
              </w:rPr>
              <w:t xml:space="preserve">#081E13</w:t>
            </w:r>
          </w:p>
        </w:tc>
        <w:tc>
          <w:tcPr>
            <w:tcW w:type="dxa" w:w="4960"/>
            <w:tcMar>
              <w:top w:type="dxa" w:w="80"/>
              <w:left w:type="dxa" w:w="120"/>
              <w:bottom w:type="dxa" w:w="80"/>
              <w:right w:type="dxa" w:w="120"/>
            </w:tcMar>
          </w:tcPr>
          <w:p>
            <w:r>
              <w:rPr>
                <w:b w:val="false"/>
                <w:bCs w:val="false"/>
                <w:color w:val="101A13"/>
                <w:sz w:val="20"/>
                <w:szCs w:val="20"/>
              </w:rPr>
              <w:t xml:space="preserve">Hero base, sustainability band, footer, top utility bar</w:t>
            </w:r>
          </w:p>
        </w:tc>
      </w:tr>
      <w:tr>
        <w:tc>
          <w:tcPr>
            <w:tcW w:type="dxa" w:w="2600"/>
            <w:tcMar>
              <w:top w:type="dxa" w:w="80"/>
              <w:left w:type="dxa" w:w="120"/>
              <w:bottom w:type="dxa" w:w="80"/>
              <w:right w:type="dxa" w:w="120"/>
            </w:tcMar>
          </w:tcPr>
          <w:p>
            <w:r>
              <w:rPr>
                <w:b w:val="false"/>
                <w:bCs w:val="false"/>
                <w:color w:val="101A13"/>
                <w:sz w:val="20"/>
                <w:szCs w:val="20"/>
              </w:rPr>
              <w:t xml:space="preserve">Green 900</w:t>
            </w:r>
          </w:p>
        </w:tc>
        <w:tc>
          <w:tcPr>
            <w:tcW w:type="dxa" w:w="1800"/>
            <w:tcMar>
              <w:top w:type="dxa" w:w="80"/>
              <w:left w:type="dxa" w:w="120"/>
              <w:bottom w:type="dxa" w:w="80"/>
              <w:right w:type="dxa" w:w="120"/>
            </w:tcMar>
          </w:tcPr>
          <w:p>
            <w:r>
              <w:rPr>
                <w:b w:val="false"/>
                <w:bCs w:val="false"/>
                <w:color w:val="101A13"/>
                <w:sz w:val="20"/>
                <w:szCs w:val="20"/>
              </w:rPr>
              <w:t xml:space="preserve">#0F2E1E</w:t>
            </w:r>
          </w:p>
        </w:tc>
        <w:tc>
          <w:tcPr>
            <w:tcW w:type="dxa" w:w="4960"/>
            <w:tcMar>
              <w:top w:type="dxa" w:w="80"/>
              <w:left w:type="dxa" w:w="120"/>
              <w:bottom w:type="dxa" w:w="80"/>
              <w:right w:type="dxa" w:w="120"/>
            </w:tcMar>
          </w:tcPr>
          <w:p>
            <w:r>
              <w:rPr>
                <w:b w:val="false"/>
                <w:bCs w:val="false"/>
                <w:color w:val="101A13"/>
                <w:sz w:val="20"/>
                <w:szCs w:val="20"/>
              </w:rPr>
              <w:t xml:space="preserve">Stats band, CTA band background</w:t>
            </w:r>
          </w:p>
        </w:tc>
      </w:tr>
      <w:tr>
        <w:tc>
          <w:tcPr>
            <w:tcW w:type="dxa" w:w="2600"/>
            <w:tcMar>
              <w:top w:type="dxa" w:w="80"/>
              <w:left w:type="dxa" w:w="120"/>
              <w:bottom w:type="dxa" w:w="80"/>
              <w:right w:type="dxa" w:w="120"/>
            </w:tcMar>
          </w:tcPr>
          <w:p>
            <w:r>
              <w:rPr>
                <w:b w:val="false"/>
                <w:bCs w:val="false"/>
                <w:color w:val="101A13"/>
                <w:sz w:val="20"/>
                <w:szCs w:val="20"/>
              </w:rPr>
              <w:t xml:space="preserve">Green 800</w:t>
            </w:r>
          </w:p>
        </w:tc>
        <w:tc>
          <w:tcPr>
            <w:tcW w:type="dxa" w:w="1800"/>
            <w:tcMar>
              <w:top w:type="dxa" w:w="80"/>
              <w:left w:type="dxa" w:w="120"/>
              <w:bottom w:type="dxa" w:w="80"/>
              <w:right w:type="dxa" w:w="120"/>
            </w:tcMar>
          </w:tcPr>
          <w:p>
            <w:r>
              <w:rPr>
                <w:b w:val="false"/>
                <w:bCs w:val="false"/>
                <w:color w:val="101A13"/>
                <w:sz w:val="20"/>
                <w:szCs w:val="20"/>
              </w:rPr>
              <w:t xml:space="preserve">#1B4A32</w:t>
            </w:r>
          </w:p>
        </w:tc>
        <w:tc>
          <w:tcPr>
            <w:tcW w:type="dxa" w:w="4960"/>
            <w:tcMar>
              <w:top w:type="dxa" w:w="80"/>
              <w:left w:type="dxa" w:w="120"/>
              <w:bottom w:type="dxa" w:w="80"/>
              <w:right w:type="dxa" w:w="120"/>
            </w:tcMar>
          </w:tcPr>
          <w:p>
            <w:r>
              <w:rPr>
                <w:b w:val="false"/>
                <w:bCs w:val="false"/>
                <w:color w:val="101A13"/>
                <w:sz w:val="20"/>
                <w:szCs w:val="20"/>
              </w:rPr>
              <w:t xml:space="preserve">Logo dark tone, deep accents</w:t>
            </w:r>
          </w:p>
        </w:tc>
      </w:tr>
      <w:tr>
        <w:tc>
          <w:tcPr>
            <w:tcW w:type="dxa" w:w="2600"/>
            <w:tcMar>
              <w:top w:type="dxa" w:w="80"/>
              <w:left w:type="dxa" w:w="120"/>
              <w:bottom w:type="dxa" w:w="80"/>
              <w:right w:type="dxa" w:w="120"/>
            </w:tcMar>
          </w:tcPr>
          <w:p>
            <w:r>
              <w:rPr>
                <w:b w:val="false"/>
                <w:bCs w:val="false"/>
                <w:color w:val="101A13"/>
                <w:sz w:val="20"/>
                <w:szCs w:val="20"/>
              </w:rPr>
              <w:t xml:space="preserve">Green 700</w:t>
            </w:r>
          </w:p>
        </w:tc>
        <w:tc>
          <w:tcPr>
            <w:tcW w:type="dxa" w:w="1800"/>
            <w:tcMar>
              <w:top w:type="dxa" w:w="80"/>
              <w:left w:type="dxa" w:w="120"/>
              <w:bottom w:type="dxa" w:w="80"/>
              <w:right w:type="dxa" w:w="120"/>
            </w:tcMar>
          </w:tcPr>
          <w:p>
            <w:r>
              <w:rPr>
                <w:b w:val="false"/>
                <w:bCs w:val="false"/>
                <w:color w:val="101A13"/>
                <w:sz w:val="20"/>
                <w:szCs w:val="20"/>
              </w:rPr>
              <w:t xml:space="preserve">#256844</w:t>
            </w:r>
          </w:p>
        </w:tc>
        <w:tc>
          <w:tcPr>
            <w:tcW w:type="dxa" w:w="4960"/>
            <w:tcMar>
              <w:top w:type="dxa" w:w="80"/>
              <w:left w:type="dxa" w:w="120"/>
              <w:bottom w:type="dxa" w:w="80"/>
              <w:right w:type="dxa" w:w="120"/>
            </w:tcMar>
          </w:tcPr>
          <w:p>
            <w:r>
              <w:rPr>
                <w:b w:val="false"/>
                <w:bCs w:val="false"/>
                <w:color w:val="101A13"/>
                <w:sz w:val="20"/>
                <w:szCs w:val="20"/>
              </w:rPr>
              <w:t xml:space="preserve">Primary buttons</w:t>
            </w:r>
          </w:p>
        </w:tc>
      </w:tr>
      <w:tr>
        <w:tc>
          <w:tcPr>
            <w:tcW w:type="dxa" w:w="2600"/>
            <w:tcMar>
              <w:top w:type="dxa" w:w="80"/>
              <w:left w:type="dxa" w:w="120"/>
              <w:bottom w:type="dxa" w:w="80"/>
              <w:right w:type="dxa" w:w="120"/>
            </w:tcMar>
          </w:tcPr>
          <w:p>
            <w:r>
              <w:rPr>
                <w:b w:val="false"/>
                <w:bCs w:val="false"/>
                <w:color w:val="101A13"/>
                <w:sz w:val="20"/>
                <w:szCs w:val="20"/>
              </w:rPr>
              <w:t xml:space="preserve">Green 600</w:t>
            </w:r>
          </w:p>
        </w:tc>
        <w:tc>
          <w:tcPr>
            <w:tcW w:type="dxa" w:w="1800"/>
            <w:tcMar>
              <w:top w:type="dxa" w:w="80"/>
              <w:left w:type="dxa" w:w="120"/>
              <w:bottom w:type="dxa" w:w="80"/>
              <w:right w:type="dxa" w:w="120"/>
            </w:tcMar>
          </w:tcPr>
          <w:p>
            <w:r>
              <w:rPr>
                <w:b w:val="false"/>
                <w:bCs w:val="false"/>
                <w:color w:val="101A13"/>
                <w:sz w:val="20"/>
                <w:szCs w:val="20"/>
              </w:rPr>
              <w:t xml:space="preserve">#2E8155</w:t>
            </w:r>
          </w:p>
        </w:tc>
        <w:tc>
          <w:tcPr>
            <w:tcW w:type="dxa" w:w="4960"/>
            <w:tcMar>
              <w:top w:type="dxa" w:w="80"/>
              <w:left w:type="dxa" w:w="120"/>
              <w:bottom w:type="dxa" w:w="80"/>
              <w:right w:type="dxa" w:w="120"/>
            </w:tcMar>
          </w:tcPr>
          <w:p>
            <w:r>
              <w:rPr>
                <w:b w:val="false"/>
                <w:bCs w:val="false"/>
                <w:color w:val="101A13"/>
                <w:sz w:val="20"/>
                <w:szCs w:val="20"/>
              </w:rPr>
              <w:t xml:space="preserve">Section labels, underline accents, list bullets</w:t>
            </w:r>
          </w:p>
        </w:tc>
      </w:tr>
      <w:tr>
        <w:tc>
          <w:tcPr>
            <w:tcW w:type="dxa" w:w="2600"/>
            <w:tcMar>
              <w:top w:type="dxa" w:w="80"/>
              <w:left w:type="dxa" w:w="120"/>
              <w:bottom w:type="dxa" w:w="80"/>
              <w:right w:type="dxa" w:w="120"/>
            </w:tcMar>
          </w:tcPr>
          <w:p>
            <w:r>
              <w:rPr>
                <w:b w:val="false"/>
                <w:bCs w:val="false"/>
                <w:color w:val="101A13"/>
                <w:sz w:val="20"/>
                <w:szCs w:val="20"/>
              </w:rPr>
              <w:t xml:space="preserve">Green 500</w:t>
            </w:r>
          </w:p>
        </w:tc>
        <w:tc>
          <w:tcPr>
            <w:tcW w:type="dxa" w:w="1800"/>
            <w:tcMar>
              <w:top w:type="dxa" w:w="80"/>
              <w:left w:type="dxa" w:w="120"/>
              <w:bottom w:type="dxa" w:w="80"/>
              <w:right w:type="dxa" w:w="120"/>
            </w:tcMar>
          </w:tcPr>
          <w:p>
            <w:r>
              <w:rPr>
                <w:b w:val="false"/>
                <w:bCs w:val="false"/>
                <w:color w:val="101A13"/>
                <w:sz w:val="20"/>
                <w:szCs w:val="20"/>
              </w:rPr>
              <w:t xml:space="preserve">#3D9A68</w:t>
            </w:r>
          </w:p>
        </w:tc>
        <w:tc>
          <w:tcPr>
            <w:tcW w:type="dxa" w:w="4960"/>
            <w:tcMar>
              <w:top w:type="dxa" w:w="80"/>
              <w:left w:type="dxa" w:w="120"/>
              <w:bottom w:type="dxa" w:w="80"/>
              <w:right w:type="dxa" w:w="120"/>
            </w:tcMar>
          </w:tcPr>
          <w:p>
            <w:r>
              <w:rPr>
                <w:b w:val="false"/>
                <w:bCs w:val="false"/>
                <w:color w:val="101A13"/>
                <w:sz w:val="20"/>
                <w:szCs w:val="20"/>
              </w:rPr>
              <w:t xml:space="preserve">Bright accents, numbered indexes, focus outlines</w:t>
            </w:r>
          </w:p>
        </w:tc>
      </w:tr>
      <w:tr>
        <w:tc>
          <w:tcPr>
            <w:tcW w:type="dxa" w:w="2600"/>
            <w:tcMar>
              <w:top w:type="dxa" w:w="80"/>
              <w:left w:type="dxa" w:w="120"/>
              <w:bottom w:type="dxa" w:w="80"/>
              <w:right w:type="dxa" w:w="120"/>
            </w:tcMar>
          </w:tcPr>
          <w:p>
            <w:r>
              <w:rPr>
                <w:b w:val="false"/>
                <w:bCs w:val="false"/>
                <w:color w:val="101A13"/>
                <w:sz w:val="20"/>
                <w:szCs w:val="20"/>
              </w:rPr>
              <w:t xml:space="preserve">Mint</w:t>
            </w:r>
          </w:p>
        </w:tc>
        <w:tc>
          <w:tcPr>
            <w:tcW w:type="dxa" w:w="1800"/>
            <w:tcMar>
              <w:top w:type="dxa" w:w="80"/>
              <w:left w:type="dxa" w:w="120"/>
              <w:bottom w:type="dxa" w:w="80"/>
              <w:right w:type="dxa" w:w="120"/>
            </w:tcMar>
          </w:tcPr>
          <w:p>
            <w:r>
              <w:rPr>
                <w:b w:val="false"/>
                <w:bCs w:val="false"/>
                <w:color w:val="101A13"/>
                <w:sz w:val="20"/>
                <w:szCs w:val="20"/>
              </w:rPr>
              <w:t xml:space="preserve">#8FD3AC</w:t>
            </w:r>
          </w:p>
        </w:tc>
        <w:tc>
          <w:tcPr>
            <w:tcW w:type="dxa" w:w="4960"/>
            <w:tcMar>
              <w:top w:type="dxa" w:w="80"/>
              <w:left w:type="dxa" w:w="120"/>
              <w:bottom w:type="dxa" w:w="80"/>
              <w:right w:type="dxa" w:w="120"/>
            </w:tcMar>
          </w:tcPr>
          <w:p>
            <w:r>
              <w:rPr>
                <w:b w:val="false"/>
                <w:bCs w:val="false"/>
                <w:color w:val="101A13"/>
                <w:sz w:val="20"/>
                <w:szCs w:val="20"/>
              </w:rPr>
              <w:t xml:space="preserve">Highlight word in hero headline, icons/labels on dark</w:t>
            </w:r>
          </w:p>
        </w:tc>
      </w:tr>
      <w:tr>
        <w:tc>
          <w:tcPr>
            <w:tcW w:type="dxa" w:w="2600"/>
            <w:tcMar>
              <w:top w:type="dxa" w:w="80"/>
              <w:left w:type="dxa" w:w="120"/>
              <w:bottom w:type="dxa" w:w="80"/>
              <w:right w:type="dxa" w:w="120"/>
            </w:tcMar>
          </w:tcPr>
          <w:p>
            <w:r>
              <w:rPr>
                <w:b w:val="false"/>
                <w:bCs w:val="false"/>
                <w:color w:val="101A13"/>
                <w:sz w:val="20"/>
                <w:szCs w:val="20"/>
              </w:rPr>
              <w:t xml:space="preserve">Green 100 / 50</w:t>
            </w:r>
          </w:p>
        </w:tc>
        <w:tc>
          <w:tcPr>
            <w:tcW w:type="dxa" w:w="1800"/>
            <w:tcMar>
              <w:top w:type="dxa" w:w="80"/>
              <w:left w:type="dxa" w:w="120"/>
              <w:bottom w:type="dxa" w:w="80"/>
              <w:right w:type="dxa" w:w="120"/>
            </w:tcMar>
          </w:tcPr>
          <w:p>
            <w:r>
              <w:rPr>
                <w:b w:val="false"/>
                <w:bCs w:val="false"/>
                <w:color w:val="101A13"/>
                <w:sz w:val="20"/>
                <w:szCs w:val="20"/>
              </w:rPr>
              <w:t xml:space="preserve">#DCEEE3 / #F0F6F2</w:t>
            </w:r>
          </w:p>
        </w:tc>
        <w:tc>
          <w:tcPr>
            <w:tcW w:type="dxa" w:w="4960"/>
            <w:tcMar>
              <w:top w:type="dxa" w:w="80"/>
              <w:left w:type="dxa" w:w="120"/>
              <w:bottom w:type="dxa" w:w="80"/>
              <w:right w:type="dxa" w:w="120"/>
            </w:tcMar>
          </w:tcPr>
          <w:p>
            <w:r>
              <w:rPr>
                <w:b w:val="false"/>
                <w:bCs w:val="false"/>
                <w:color w:val="101A13"/>
                <w:sz w:val="20"/>
                <w:szCs w:val="20"/>
              </w:rPr>
              <w:t xml:space="preserve">Light section backgrounds, outlined numerals</w:t>
            </w:r>
          </w:p>
        </w:tc>
      </w:tr>
      <w:tr>
        <w:tc>
          <w:tcPr>
            <w:tcW w:type="dxa" w:w="2600"/>
            <w:tcMar>
              <w:top w:type="dxa" w:w="80"/>
              <w:left w:type="dxa" w:w="120"/>
              <w:bottom w:type="dxa" w:w="80"/>
              <w:right w:type="dxa" w:w="120"/>
            </w:tcMar>
          </w:tcPr>
          <w:p>
            <w:r>
              <w:rPr>
                <w:b w:val="false"/>
                <w:bCs w:val="false"/>
                <w:color w:val="101A13"/>
                <w:sz w:val="20"/>
                <w:szCs w:val="20"/>
              </w:rPr>
              <w:t xml:space="preserve">Ink</w:t>
            </w:r>
          </w:p>
        </w:tc>
        <w:tc>
          <w:tcPr>
            <w:tcW w:type="dxa" w:w="1800"/>
            <w:tcMar>
              <w:top w:type="dxa" w:w="80"/>
              <w:left w:type="dxa" w:w="120"/>
              <w:bottom w:type="dxa" w:w="80"/>
              <w:right w:type="dxa" w:w="120"/>
            </w:tcMar>
          </w:tcPr>
          <w:p>
            <w:r>
              <w:rPr>
                <w:b w:val="false"/>
                <w:bCs w:val="false"/>
                <w:color w:val="101A13"/>
                <w:sz w:val="20"/>
                <w:szCs w:val="20"/>
              </w:rPr>
              <w:t xml:space="preserve">#101A13</w:t>
            </w:r>
          </w:p>
        </w:tc>
        <w:tc>
          <w:tcPr>
            <w:tcW w:type="dxa" w:w="4960"/>
            <w:tcMar>
              <w:top w:type="dxa" w:w="80"/>
              <w:left w:type="dxa" w:w="120"/>
              <w:bottom w:type="dxa" w:w="80"/>
              <w:right w:type="dxa" w:w="120"/>
            </w:tcMar>
          </w:tcPr>
          <w:p>
            <w:r>
              <w:rPr>
                <w:b w:val="false"/>
                <w:bCs w:val="false"/>
                <w:color w:val="101A13"/>
                <w:sz w:val="20"/>
                <w:szCs w:val="20"/>
              </w:rPr>
              <w:t xml:space="preserve">Headings and body on light backgrounds</w:t>
            </w:r>
          </w:p>
        </w:tc>
      </w:tr>
      <w:tr>
        <w:tc>
          <w:tcPr>
            <w:tcW w:type="dxa" w:w="2600"/>
            <w:tcMar>
              <w:top w:type="dxa" w:w="80"/>
              <w:left w:type="dxa" w:w="120"/>
              <w:bottom w:type="dxa" w:w="80"/>
              <w:right w:type="dxa" w:w="120"/>
            </w:tcMar>
          </w:tcPr>
          <w:p>
            <w:r>
              <w:rPr>
                <w:b w:val="false"/>
                <w:bCs w:val="false"/>
                <w:color w:val="101A13"/>
                <w:sz w:val="20"/>
                <w:szCs w:val="20"/>
              </w:rPr>
              <w:t xml:space="preserve">Ink soft</w:t>
            </w:r>
          </w:p>
        </w:tc>
        <w:tc>
          <w:tcPr>
            <w:tcW w:type="dxa" w:w="1800"/>
            <w:tcMar>
              <w:top w:type="dxa" w:w="80"/>
              <w:left w:type="dxa" w:w="120"/>
              <w:bottom w:type="dxa" w:w="80"/>
              <w:right w:type="dxa" w:w="120"/>
            </w:tcMar>
          </w:tcPr>
          <w:p>
            <w:r>
              <w:rPr>
                <w:b w:val="false"/>
                <w:bCs w:val="false"/>
                <w:color w:val="101A13"/>
                <w:sz w:val="20"/>
                <w:szCs w:val="20"/>
              </w:rPr>
              <w:t xml:space="preserve">#4A594F</w:t>
            </w:r>
          </w:p>
        </w:tc>
        <w:tc>
          <w:tcPr>
            <w:tcW w:type="dxa" w:w="4960"/>
            <w:tcMar>
              <w:top w:type="dxa" w:w="80"/>
              <w:left w:type="dxa" w:w="120"/>
              <w:bottom w:type="dxa" w:w="80"/>
              <w:right w:type="dxa" w:w="120"/>
            </w:tcMar>
          </w:tcPr>
          <w:p>
            <w:r>
              <w:rPr>
                <w:b w:val="false"/>
                <w:bCs w:val="false"/>
                <w:color w:val="101A13"/>
                <w:sz w:val="20"/>
                <w:szCs w:val="20"/>
              </w:rPr>
              <w:t xml:space="preserve">Secondary text</w:t>
            </w:r>
          </w:p>
        </w:tc>
      </w:tr>
      <w:tr>
        <w:tc>
          <w:tcPr>
            <w:tcW w:type="dxa" w:w="2600"/>
            <w:tcMar>
              <w:top w:type="dxa" w:w="80"/>
              <w:left w:type="dxa" w:w="120"/>
              <w:bottom w:type="dxa" w:w="80"/>
              <w:right w:type="dxa" w:w="120"/>
            </w:tcMar>
          </w:tcPr>
          <w:p>
            <w:r>
              <w:rPr>
                <w:b w:val="false"/>
                <w:bCs w:val="false"/>
                <w:color w:val="101A13"/>
                <w:sz w:val="20"/>
                <w:szCs w:val="20"/>
              </w:rPr>
              <w:t xml:space="preserve">Line</w:t>
            </w:r>
          </w:p>
        </w:tc>
        <w:tc>
          <w:tcPr>
            <w:tcW w:type="dxa" w:w="1800"/>
            <w:tcMar>
              <w:top w:type="dxa" w:w="80"/>
              <w:left w:type="dxa" w:w="120"/>
              <w:bottom w:type="dxa" w:w="80"/>
              <w:right w:type="dxa" w:w="120"/>
            </w:tcMar>
          </w:tcPr>
          <w:p>
            <w:r>
              <w:rPr>
                <w:b w:val="false"/>
                <w:bCs w:val="false"/>
                <w:color w:val="101A13"/>
                <w:sz w:val="20"/>
                <w:szCs w:val="20"/>
              </w:rPr>
              <w:t xml:space="preserve">#DCE5DF</w:t>
            </w:r>
          </w:p>
        </w:tc>
        <w:tc>
          <w:tcPr>
            <w:tcW w:type="dxa" w:w="4960"/>
            <w:tcMar>
              <w:top w:type="dxa" w:w="80"/>
              <w:left w:type="dxa" w:w="120"/>
              <w:bottom w:type="dxa" w:w="80"/>
              <w:right w:type="dxa" w:w="120"/>
            </w:tcMar>
          </w:tcPr>
          <w:p>
            <w:r>
              <w:rPr>
                <w:b w:val="false"/>
                <w:bCs w:val="false"/>
                <w:color w:val="101A13"/>
                <w:sz w:val="20"/>
                <w:szCs w:val="20"/>
              </w:rPr>
              <w:t xml:space="preserve">Hairline borders and dividers</w:t>
            </w:r>
          </w:p>
        </w:tc>
      </w:tr>
    </w:tbl>
    <w:p>
      <w:pPr>
        <w:pStyle w:val="Heading3"/>
        <w:spacing w:after="120" w:before="220"/>
      </w:pPr>
      <w:r>
        <w:rPr>
          <w:b/>
          <w:bCs/>
          <w:color w:val="101A13"/>
          <w:sz w:val="23"/>
          <w:szCs w:val="23"/>
        </w:rPr>
        <w:t xml:space="preserve">Typography</w:t>
      </w:r>
    </w:p>
    <w:p>
      <w:pPr>
        <w:pStyle w:val="ListParagraph"/>
        <w:numPr>
          <w:ilvl w:val="0"/>
          <w:numId w:val="2"/>
        </w:numPr>
        <w:spacing w:after="100"/>
      </w:pPr>
      <w:r>
        <w:rPr>
          <w:sz w:val="22"/>
          <w:szCs w:val="22"/>
        </w:rPr>
        <w:t xml:space="preserve">Headlines and UI: Archivo (bold grotesque, weights 700–800, tight -0.02em tracking) — the confident big-firm voice; hero headline scales up to ~5rem.</w:t>
      </w:r>
    </w:p>
    <w:p>
      <w:pPr>
        <w:pStyle w:val="ListParagraph"/>
        <w:numPr>
          <w:ilvl w:val="0"/>
          <w:numId w:val="2"/>
        </w:numPr>
        <w:spacing w:after="100"/>
      </w:pPr>
      <w:r>
        <w:rPr>
          <w:sz w:val="22"/>
          <w:szCs w:val="22"/>
        </w:rPr>
        <w:t xml:space="preserve">Body text: Inter (regular/medium).</w:t>
      </w:r>
    </w:p>
    <w:p>
      <w:pPr>
        <w:pStyle w:val="ListParagraph"/>
        <w:numPr>
          <w:ilvl w:val="0"/>
          <w:numId w:val="2"/>
        </w:numPr>
        <w:spacing w:after="100"/>
      </w:pPr>
      <w:r>
        <w:rPr>
          <w:sz w:val="22"/>
          <w:szCs w:val="22"/>
        </w:rPr>
        <w:t xml:space="preserve">Section labels: Archivo bold, all caps, 0.2em letter-spacing, preceded by a short horizontal rule.</w:t>
      </w:r>
    </w:p>
    <w:p>
      <w:pPr>
        <w:pStyle w:val="Heading3"/>
        <w:spacing w:after="120" w:before="220"/>
      </w:pPr>
      <w:r>
        <w:rPr>
          <w:b/>
          <w:bCs/>
          <w:color w:val="101A13"/>
          <w:sz w:val="23"/>
          <w:szCs w:val="23"/>
        </w:rPr>
        <w:t xml:space="preserve">Imagery</w:t>
      </w:r>
    </w:p>
    <w:p>
      <w:pPr>
        <w:pStyle w:val="ListParagraph"/>
        <w:numPr>
          <w:ilvl w:val="0"/>
          <w:numId w:val="2"/>
        </w:numPr>
        <w:spacing w:after="100"/>
      </w:pPr>
      <w:r>
        <w:rPr>
          <w:sz w:val="22"/>
          <w:szCs w:val="22"/>
        </w:rPr>
        <w:t xml:space="preserve">Real engineering subject matter: construction sites, engineers at work, data center interiors, warehouse interiors, healthcare corridors, laboratories, commercial facades.</w:t>
      </w:r>
    </w:p>
    <w:p>
      <w:pPr>
        <w:pStyle w:val="ListParagraph"/>
        <w:numPr>
          <w:ilvl w:val="0"/>
          <w:numId w:val="2"/>
        </w:numPr>
        <w:spacing w:after="100"/>
      </w:pPr>
      <w:r>
        <w:rPr>
          <w:sz w:val="22"/>
          <w:szCs w:val="22"/>
        </w:rPr>
        <w:t xml:space="preserve">All photography on dark sections sits under deep-green gradient tints (never black) to stay inside the brand palette.</w:t>
      </w:r>
    </w:p>
    <w:p>
      <w:pPr>
        <w:pStyle w:val="ListParagraph"/>
        <w:numPr>
          <w:ilvl w:val="0"/>
          <w:numId w:val="2"/>
        </w:numPr>
        <w:spacing w:after="100"/>
      </w:pPr>
      <w:r>
        <w:rPr>
          <w:sz w:val="22"/>
          <w:szCs w:val="22"/>
        </w:rPr>
        <w:t xml:space="preserve">Current build uses Unsplash placeholders (free commercial license); replace with company project photography as it becomes available.</w:t>
      </w:r>
    </w:p>
    <w:p>
      <w:pPr>
        <w:pStyle w:val="Heading3"/>
        <w:spacing w:after="120" w:before="220"/>
      </w:pPr>
      <w:r>
        <w:rPr>
          <w:b/>
          <w:bCs/>
          <w:color w:val="101A13"/>
          <w:sz w:val="23"/>
          <w:szCs w:val="23"/>
        </w:rPr>
        <w:t xml:space="preserve">Signature components</w:t>
      </w:r>
    </w:p>
    <w:p>
      <w:pPr>
        <w:pStyle w:val="ListParagraph"/>
        <w:numPr>
          <w:ilvl w:val="0"/>
          <w:numId w:val="2"/>
        </w:numPr>
        <w:spacing w:after="100"/>
      </w:pPr>
      <w:r>
        <w:rPr>
          <w:sz w:val="22"/>
          <w:szCs w:val="22"/>
        </w:rPr>
        <w:t xml:space="preserve">Numbered expertise rows: 110px number column, discipline title, one-line description, arrow; row highlights and indents on hover.</w:t>
      </w:r>
    </w:p>
    <w:p>
      <w:pPr>
        <w:pStyle w:val="ListParagraph"/>
        <w:numPr>
          <w:ilvl w:val="0"/>
          <w:numId w:val="2"/>
        </w:numPr>
        <w:spacing w:after="100"/>
      </w:pPr>
      <w:r>
        <w:rPr>
          <w:sz w:val="22"/>
          <w:szCs w:val="22"/>
        </w:rPr>
        <w:t xml:space="preserve">Sector tiles: 4:5 photo tiles with bottom gradient, category tag in mint caps, title, and a description that reveals on hover (always visible on mobile).</w:t>
      </w:r>
    </w:p>
    <w:p>
      <w:pPr>
        <w:pStyle w:val="ListParagraph"/>
        <w:numPr>
          <w:ilvl w:val="0"/>
          <w:numId w:val="2"/>
        </w:numPr>
        <w:spacing w:after="100"/>
      </w:pPr>
      <w:r>
        <w:rPr>
          <w:sz w:val="22"/>
          <w:szCs w:val="22"/>
        </w:rPr>
        <w:t xml:space="preserve">Buttons: square-cornered; solid green and outlined variants; arrow suffix; gap widens on hover.</w:t>
      </w:r>
    </w:p>
    <w:p>
      <w:pPr>
        <w:pStyle w:val="ListParagraph"/>
        <w:numPr>
          <w:ilvl w:val="0"/>
          <w:numId w:val="2"/>
        </w:numPr>
        <w:spacing w:after="100"/>
      </w:pPr>
      <w:r>
        <w:rPr>
          <w:sz w:val="22"/>
          <w:szCs w:val="22"/>
        </w:rPr>
        <w:t xml:space="preserve">Recurring faint leaf outline motif on dark bands.</w:t>
      </w:r>
    </w:p>
    <w:p>
      <w:pPr>
        <w:pStyle w:val="ListParagraph"/>
        <w:numPr>
          <w:ilvl w:val="0"/>
          <w:numId w:val="2"/>
        </w:numPr>
        <w:spacing w:after="100"/>
      </w:pPr>
      <w:r>
        <w:rPr>
          <w:sz w:val="22"/>
          <w:szCs w:val="22"/>
        </w:rPr>
        <w:t xml:space="preserve">Outlined oversized numerals (stroke-only) for process steps.</w:t>
      </w:r>
    </w:p>
    <w:p>
      <w:r>
        <w:br w:type="page"/>
      </w:r>
    </w:p>
    <w:p>
      <w:pPr>
        <w:pStyle w:val="Heading1"/>
        <w:spacing w:after="200" w:before="360"/>
      </w:pPr>
      <w:r>
        <w:rPr>
          <w:b/>
          <w:bCs/>
          <w:color w:val="1B4A32"/>
          <w:sz w:val="32"/>
          <w:szCs w:val="32"/>
        </w:rPr>
        <w:t xml:space="preserve">3. Site Architecture &amp; Functionality</w:t>
      </w:r>
    </w:p>
    <w:p>
      <w:pPr>
        <w:spacing w:after="160" w:before="0"/>
      </w:pPr>
      <w:r>
        <w:rPr>
          <w:b w:val="false"/>
          <w:bCs w:val="false"/>
          <w:i w:val="false"/>
          <w:iCs w:val="false"/>
          <w:color w:val="101A13"/>
          <w:sz w:val="22"/>
          <w:szCs w:val="22"/>
        </w:rPr>
        <w:t xml:space="preserve">One page with anchored sections, in this exact order. If extended to a multi-page site, each maps to its own page (About, Expertise, Sectors, Sustainability,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B4A32" w:val="clear"/>
            <w:tcMar>
              <w:top w:type="dxa" w:w="80"/>
              <w:left w:type="dxa" w:w="120"/>
              <w:bottom w:type="dxa" w:w="80"/>
              <w:right w:type="dxa" w:w="120"/>
            </w:tcMar>
          </w:tcPr>
          <w:p>
            <w:r>
              <w:rPr>
                <w:b/>
                <w:bCs/>
                <w:color w:val="FFFFFF"/>
                <w:sz w:val="20"/>
                <w:szCs w:val="20"/>
              </w:rPr>
              <w:t xml:space="preserve">Section (in order)</w:t>
            </w:r>
          </w:p>
        </w:tc>
        <w:tc>
          <w:tcPr>
            <w:tcW w:type="dxa" w:w="5760"/>
            <w:shd w:fill="1B4A32" w:val="clear"/>
            <w:tcMar>
              <w:top w:type="dxa" w:w="80"/>
              <w:left w:type="dxa" w:w="120"/>
              <w:bottom w:type="dxa" w:w="80"/>
              <w:right w:type="dxa" w:w="120"/>
            </w:tcMar>
          </w:tcPr>
          <w:p>
            <w:r>
              <w:rPr>
                <w:b/>
                <w:bCs/>
                <w:color w:val="FFFFFF"/>
                <w:sz w:val="20"/>
                <w:szCs w:val="20"/>
              </w:rPr>
              <w:t xml:space="preserve">Purpose &amp; layout</w:t>
            </w:r>
          </w:p>
        </w:tc>
      </w:tr>
      <w:tr>
        <w:tc>
          <w:tcPr>
            <w:tcW w:type="dxa" w:w="3600"/>
            <w:tcMar>
              <w:top w:type="dxa" w:w="80"/>
              <w:left w:type="dxa" w:w="120"/>
              <w:bottom w:type="dxa" w:w="80"/>
              <w:right w:type="dxa" w:w="120"/>
            </w:tcMar>
          </w:tcPr>
          <w:p>
            <w:r>
              <w:rPr>
                <w:b w:val="false"/>
                <w:bCs w:val="false"/>
                <w:color w:val="101A13"/>
                <w:sz w:val="20"/>
                <w:szCs w:val="20"/>
              </w:rPr>
              <w:t xml:space="preserve">0a. Top utility bar</w:t>
            </w:r>
          </w:p>
        </w:tc>
        <w:tc>
          <w:tcPr>
            <w:tcW w:type="dxa" w:w="5760"/>
            <w:tcMar>
              <w:top w:type="dxa" w:w="80"/>
              <w:left w:type="dxa" w:w="120"/>
              <w:bottom w:type="dxa" w:w="80"/>
              <w:right w:type="dxa" w:w="120"/>
            </w:tcMar>
          </w:tcPr>
          <w:p>
            <w:r>
              <w:rPr>
                <w:b w:val="false"/>
                <w:bCs w:val="false"/>
                <w:color w:val="101A13"/>
                <w:sz w:val="20"/>
                <w:szCs w:val="20"/>
              </w:rPr>
              <w:t xml:space="preserve">Slim dark strip, right-aligned email + phone links (hidden on mobile)</w:t>
            </w:r>
          </w:p>
        </w:tc>
      </w:tr>
      <w:tr>
        <w:tc>
          <w:tcPr>
            <w:tcW w:type="dxa" w:w="3600"/>
            <w:tcMar>
              <w:top w:type="dxa" w:w="80"/>
              <w:left w:type="dxa" w:w="120"/>
              <w:bottom w:type="dxa" w:w="80"/>
              <w:right w:type="dxa" w:w="120"/>
            </w:tcMar>
          </w:tcPr>
          <w:p>
            <w:r>
              <w:rPr>
                <w:b w:val="false"/>
                <w:bCs w:val="false"/>
                <w:color w:val="101A13"/>
                <w:sz w:val="20"/>
                <w:szCs w:val="20"/>
              </w:rPr>
              <w:t xml:space="preserve">0b. Sticky main nav</w:t>
            </w:r>
          </w:p>
        </w:tc>
        <w:tc>
          <w:tcPr>
            <w:tcW w:type="dxa" w:w="5760"/>
            <w:tcMar>
              <w:top w:type="dxa" w:w="80"/>
              <w:left w:type="dxa" w:w="120"/>
              <w:bottom w:type="dxa" w:w="80"/>
              <w:right w:type="dxa" w:w="120"/>
            </w:tcMar>
          </w:tcPr>
          <w:p>
            <w:r>
              <w:rPr>
                <w:b w:val="false"/>
                <w:bCs w:val="false"/>
                <w:color w:val="101A13"/>
                <w:sz w:val="20"/>
                <w:szCs w:val="20"/>
              </w:rPr>
              <w:t xml:space="preserve">Logo left; links: Who We Are, Expertise, Sectors, Sustainability; Contact Us button; hamburger on mobile</w:t>
            </w:r>
          </w:p>
        </w:tc>
      </w:tr>
      <w:tr>
        <w:tc>
          <w:tcPr>
            <w:tcW w:type="dxa" w:w="3600"/>
            <w:tcMar>
              <w:top w:type="dxa" w:w="80"/>
              <w:left w:type="dxa" w:w="120"/>
              <w:bottom w:type="dxa" w:w="80"/>
              <w:right w:type="dxa" w:w="120"/>
            </w:tcMar>
          </w:tcPr>
          <w:p>
            <w:r>
              <w:rPr>
                <w:b w:val="false"/>
                <w:bCs w:val="false"/>
                <w:color w:val="101A13"/>
                <w:sz w:val="20"/>
                <w:szCs w:val="20"/>
              </w:rPr>
              <w:t xml:space="preserve">1. Hero</w:t>
            </w:r>
          </w:p>
        </w:tc>
        <w:tc>
          <w:tcPr>
            <w:tcW w:type="dxa" w:w="5760"/>
            <w:tcMar>
              <w:top w:type="dxa" w:w="80"/>
              <w:left w:type="dxa" w:w="120"/>
              <w:bottom w:type="dxa" w:w="80"/>
              <w:right w:type="dxa" w:w="120"/>
            </w:tcMar>
          </w:tcPr>
          <w:p>
            <w:r>
              <w:rPr>
                <w:b w:val="false"/>
                <w:bCs w:val="false"/>
                <w:color w:val="101A13"/>
                <w:sz w:val="20"/>
                <w:szCs w:val="20"/>
              </w:rPr>
              <w:t xml:space="preserve">Full-bleed photo, ~88vh tall, dark green tint, label, oversized headline, subhead, two CTAs, vertical scroll cue</w:t>
            </w:r>
          </w:p>
        </w:tc>
      </w:tr>
      <w:tr>
        <w:tc>
          <w:tcPr>
            <w:tcW w:type="dxa" w:w="3600"/>
            <w:tcMar>
              <w:top w:type="dxa" w:w="80"/>
              <w:left w:type="dxa" w:w="120"/>
              <w:bottom w:type="dxa" w:w="80"/>
              <w:right w:type="dxa" w:w="120"/>
            </w:tcMar>
          </w:tcPr>
          <w:p>
            <w:r>
              <w:rPr>
                <w:b w:val="false"/>
                <w:bCs w:val="false"/>
                <w:color w:val="101A13"/>
                <w:sz w:val="20"/>
                <w:szCs w:val="20"/>
              </w:rPr>
              <w:t xml:space="preserve">2. Stats band</w:t>
            </w:r>
          </w:p>
        </w:tc>
        <w:tc>
          <w:tcPr>
            <w:tcW w:type="dxa" w:w="5760"/>
            <w:tcMar>
              <w:top w:type="dxa" w:w="80"/>
              <w:left w:type="dxa" w:w="120"/>
              <w:bottom w:type="dxa" w:w="80"/>
              <w:right w:type="dxa" w:w="120"/>
            </w:tcMar>
          </w:tcPr>
          <w:p>
            <w:r>
              <w:rPr>
                <w:b w:val="false"/>
                <w:bCs w:val="false"/>
                <w:color w:val="101A13"/>
                <w:sz w:val="20"/>
                <w:szCs w:val="20"/>
              </w:rPr>
              <w:t xml:space="preserve">Four structural facts in a dark green strip: 06 disciplines / 01 team / 100% sustainability targets / 360° coverage</w:t>
            </w:r>
          </w:p>
        </w:tc>
      </w:tr>
      <w:tr>
        <w:tc>
          <w:tcPr>
            <w:tcW w:type="dxa" w:w="3600"/>
            <w:tcMar>
              <w:top w:type="dxa" w:w="80"/>
              <w:left w:type="dxa" w:w="120"/>
              <w:bottom w:type="dxa" w:w="80"/>
              <w:right w:type="dxa" w:w="120"/>
            </w:tcMar>
          </w:tcPr>
          <w:p>
            <w:r>
              <w:rPr>
                <w:b w:val="false"/>
                <w:bCs w:val="false"/>
                <w:color w:val="101A13"/>
                <w:sz w:val="20"/>
                <w:szCs w:val="20"/>
              </w:rPr>
              <w:t xml:space="preserve">3. Purpose (Who We Are)</w:t>
            </w:r>
          </w:p>
        </w:tc>
        <w:tc>
          <w:tcPr>
            <w:tcW w:type="dxa" w:w="5760"/>
            <w:tcMar>
              <w:top w:type="dxa" w:w="80"/>
              <w:left w:type="dxa" w:w="120"/>
              <w:bottom w:type="dxa" w:w="80"/>
              <w:right w:type="dxa" w:w="120"/>
            </w:tcMar>
          </w:tcPr>
          <w:p>
            <w:r>
              <w:rPr>
                <w:b w:val="false"/>
                <w:bCs w:val="false"/>
                <w:color w:val="101A13"/>
                <w:sz w:val="20"/>
                <w:szCs w:val="20"/>
              </w:rPr>
              <w:t xml:space="preserve">Two columns: oversized editorial statement + two body paragraphs left; portrait photo with green edge accent right</w:t>
            </w:r>
          </w:p>
        </w:tc>
      </w:tr>
      <w:tr>
        <w:tc>
          <w:tcPr>
            <w:tcW w:type="dxa" w:w="3600"/>
            <w:tcMar>
              <w:top w:type="dxa" w:w="80"/>
              <w:left w:type="dxa" w:w="120"/>
              <w:bottom w:type="dxa" w:w="80"/>
              <w:right w:type="dxa" w:w="120"/>
            </w:tcMar>
          </w:tcPr>
          <w:p>
            <w:r>
              <w:rPr>
                <w:b w:val="false"/>
                <w:bCs w:val="false"/>
                <w:color w:val="101A13"/>
                <w:sz w:val="20"/>
                <w:szCs w:val="20"/>
              </w:rPr>
              <w:t xml:space="preserve">4. Expertise</w:t>
            </w:r>
          </w:p>
        </w:tc>
        <w:tc>
          <w:tcPr>
            <w:tcW w:type="dxa" w:w="5760"/>
            <w:tcMar>
              <w:top w:type="dxa" w:w="80"/>
              <w:left w:type="dxa" w:w="120"/>
              <w:bottom w:type="dxa" w:w="80"/>
              <w:right w:type="dxa" w:w="120"/>
            </w:tcMar>
          </w:tcPr>
          <w:p>
            <w:r>
              <w:rPr>
                <w:b w:val="false"/>
                <w:bCs w:val="false"/>
                <w:color w:val="101A13"/>
                <w:sz w:val="20"/>
                <w:szCs w:val="20"/>
              </w:rPr>
              <w:t xml:space="preserve">Numbered index list, six full-width rows (01–06), hover highlight + arrow</w:t>
            </w:r>
          </w:p>
        </w:tc>
      </w:tr>
      <w:tr>
        <w:tc>
          <w:tcPr>
            <w:tcW w:type="dxa" w:w="3600"/>
            <w:tcMar>
              <w:top w:type="dxa" w:w="80"/>
              <w:left w:type="dxa" w:w="120"/>
              <w:bottom w:type="dxa" w:w="80"/>
              <w:right w:type="dxa" w:w="120"/>
            </w:tcMar>
          </w:tcPr>
          <w:p>
            <w:r>
              <w:rPr>
                <w:b w:val="false"/>
                <w:bCs w:val="false"/>
                <w:color w:val="101A13"/>
                <w:sz w:val="20"/>
                <w:szCs w:val="20"/>
              </w:rPr>
              <w:t xml:space="preserve">5. Sectors</w:t>
            </w:r>
          </w:p>
        </w:tc>
        <w:tc>
          <w:tcPr>
            <w:tcW w:type="dxa" w:w="5760"/>
            <w:tcMar>
              <w:top w:type="dxa" w:w="80"/>
              <w:left w:type="dxa" w:w="120"/>
              <w:bottom w:type="dxa" w:w="80"/>
              <w:right w:type="dxa" w:w="120"/>
            </w:tcMar>
          </w:tcPr>
          <w:p>
            <w:r>
              <w:rPr>
                <w:b w:val="false"/>
                <w:bCs w:val="false"/>
                <w:color w:val="101A13"/>
                <w:sz w:val="20"/>
                <w:szCs w:val="20"/>
              </w:rPr>
              <w:t xml:space="preserve">Six tall photo tiles in a 3x2 grid; tag + title always visible, description on hover</w:t>
            </w:r>
          </w:p>
        </w:tc>
      </w:tr>
      <w:tr>
        <w:tc>
          <w:tcPr>
            <w:tcW w:type="dxa" w:w="3600"/>
            <w:tcMar>
              <w:top w:type="dxa" w:w="80"/>
              <w:left w:type="dxa" w:w="120"/>
              <w:bottom w:type="dxa" w:w="80"/>
              <w:right w:type="dxa" w:w="120"/>
            </w:tcMar>
          </w:tcPr>
          <w:p>
            <w:r>
              <w:rPr>
                <w:b w:val="false"/>
                <w:bCs w:val="false"/>
                <w:color w:val="101A13"/>
                <w:sz w:val="20"/>
                <w:szCs w:val="20"/>
              </w:rPr>
              <w:t xml:space="preserve">6. Sustainability</w:t>
            </w:r>
          </w:p>
        </w:tc>
        <w:tc>
          <w:tcPr>
            <w:tcW w:type="dxa" w:w="5760"/>
            <w:tcMar>
              <w:top w:type="dxa" w:w="80"/>
              <w:left w:type="dxa" w:w="120"/>
              <w:bottom w:type="dxa" w:w="80"/>
              <w:right w:type="dxa" w:w="120"/>
            </w:tcMar>
          </w:tcPr>
          <w:p>
            <w:r>
              <w:rPr>
                <w:b w:val="false"/>
                <w:bCs w:val="false"/>
                <w:color w:val="101A13"/>
                <w:sz w:val="20"/>
                <w:szCs w:val="20"/>
              </w:rPr>
              <w:t xml:space="preserve">Dark manifesto band: headline, paragraph, four numbered commitment cells in a hairline grid</w:t>
            </w:r>
          </w:p>
        </w:tc>
      </w:tr>
      <w:tr>
        <w:tc>
          <w:tcPr>
            <w:tcW w:type="dxa" w:w="3600"/>
            <w:tcMar>
              <w:top w:type="dxa" w:w="80"/>
              <w:left w:type="dxa" w:w="120"/>
              <w:bottom w:type="dxa" w:w="80"/>
              <w:right w:type="dxa" w:w="120"/>
            </w:tcMar>
          </w:tcPr>
          <w:p>
            <w:r>
              <w:rPr>
                <w:b w:val="false"/>
                <w:bCs w:val="false"/>
                <w:color w:val="101A13"/>
                <w:sz w:val="20"/>
                <w:szCs w:val="20"/>
              </w:rPr>
              <w:t xml:space="preserve">7. How We Deliver</w:t>
            </w:r>
          </w:p>
        </w:tc>
        <w:tc>
          <w:tcPr>
            <w:tcW w:type="dxa" w:w="5760"/>
            <w:tcMar>
              <w:top w:type="dxa" w:w="80"/>
              <w:left w:type="dxa" w:w="120"/>
              <w:bottom w:type="dxa" w:w="80"/>
              <w:right w:type="dxa" w:w="120"/>
            </w:tcMar>
          </w:tcPr>
          <w:p>
            <w:r>
              <w:rPr>
                <w:b w:val="false"/>
                <w:bCs w:val="false"/>
                <w:color w:val="101A13"/>
                <w:sz w:val="20"/>
                <w:szCs w:val="20"/>
              </w:rPr>
              <w:t xml:space="preserve">Four columns with outlined numerals and green tick marks along a shared hairline</w:t>
            </w:r>
          </w:p>
        </w:tc>
      </w:tr>
      <w:tr>
        <w:tc>
          <w:tcPr>
            <w:tcW w:type="dxa" w:w="3600"/>
            <w:tcMar>
              <w:top w:type="dxa" w:w="80"/>
              <w:left w:type="dxa" w:w="120"/>
              <w:bottom w:type="dxa" w:w="80"/>
              <w:right w:type="dxa" w:w="120"/>
            </w:tcMar>
          </w:tcPr>
          <w:p>
            <w:r>
              <w:rPr>
                <w:b w:val="false"/>
                <w:bCs w:val="false"/>
                <w:color w:val="101A13"/>
                <w:sz w:val="20"/>
                <w:szCs w:val="20"/>
              </w:rPr>
              <w:t xml:space="preserve">8. Who We Work With</w:t>
            </w:r>
          </w:p>
        </w:tc>
        <w:tc>
          <w:tcPr>
            <w:tcW w:type="dxa" w:w="5760"/>
            <w:tcMar>
              <w:top w:type="dxa" w:w="80"/>
              <w:left w:type="dxa" w:w="120"/>
              <w:bottom w:type="dxa" w:w="80"/>
              <w:right w:type="dxa" w:w="120"/>
            </w:tcMar>
          </w:tcPr>
          <w:p>
            <w:r>
              <w:rPr>
                <w:b w:val="false"/>
                <w:bCs w:val="false"/>
                <w:color w:val="101A13"/>
                <w:sz w:val="20"/>
                <w:szCs w:val="20"/>
              </w:rPr>
              <w:t xml:space="preserve">Two columns: Kimley-Horn-style client's-eye message + four client-type chips</w:t>
            </w:r>
          </w:p>
        </w:tc>
      </w:tr>
      <w:tr>
        <w:tc>
          <w:tcPr>
            <w:tcW w:type="dxa" w:w="3600"/>
            <w:tcMar>
              <w:top w:type="dxa" w:w="80"/>
              <w:left w:type="dxa" w:w="120"/>
              <w:bottom w:type="dxa" w:w="80"/>
              <w:right w:type="dxa" w:w="120"/>
            </w:tcMar>
          </w:tcPr>
          <w:p>
            <w:r>
              <w:rPr>
                <w:b w:val="false"/>
                <w:bCs w:val="false"/>
                <w:color w:val="101A13"/>
                <w:sz w:val="20"/>
                <w:szCs w:val="20"/>
              </w:rPr>
              <w:t xml:space="preserve">9. Contact CTA</w:t>
            </w:r>
          </w:p>
        </w:tc>
        <w:tc>
          <w:tcPr>
            <w:tcW w:type="dxa" w:w="5760"/>
            <w:tcMar>
              <w:top w:type="dxa" w:w="80"/>
              <w:left w:type="dxa" w:w="120"/>
              <w:bottom w:type="dxa" w:w="80"/>
              <w:right w:type="dxa" w:w="120"/>
            </w:tcMar>
          </w:tcPr>
          <w:p>
            <w:r>
              <w:rPr>
                <w:b w:val="false"/>
                <w:bCs w:val="false"/>
                <w:color w:val="101A13"/>
                <w:sz w:val="20"/>
                <w:szCs w:val="20"/>
              </w:rPr>
              <w:t xml:space="preserve">Dark band with faint photo; headline + email button left; white contact card (email/phone/web/proposals) right</w:t>
            </w:r>
          </w:p>
        </w:tc>
      </w:tr>
      <w:tr>
        <w:tc>
          <w:tcPr>
            <w:tcW w:type="dxa" w:w="3600"/>
            <w:tcMar>
              <w:top w:type="dxa" w:w="80"/>
              <w:left w:type="dxa" w:w="120"/>
              <w:bottom w:type="dxa" w:w="80"/>
              <w:right w:type="dxa" w:w="120"/>
            </w:tcMar>
          </w:tcPr>
          <w:p>
            <w:r>
              <w:rPr>
                <w:b w:val="false"/>
                <w:bCs w:val="false"/>
                <w:color w:val="101A13"/>
                <w:sz w:val="20"/>
                <w:szCs w:val="20"/>
              </w:rPr>
              <w:t xml:space="preserve">10. Footer</w:t>
            </w:r>
          </w:p>
        </w:tc>
        <w:tc>
          <w:tcPr>
            <w:tcW w:type="dxa" w:w="5760"/>
            <w:tcMar>
              <w:top w:type="dxa" w:w="80"/>
              <w:left w:type="dxa" w:w="120"/>
              <w:bottom w:type="dxa" w:w="80"/>
              <w:right w:type="dxa" w:w="120"/>
            </w:tcMar>
          </w:tcPr>
          <w:p>
            <w:r>
              <w:rPr>
                <w:b w:val="false"/>
                <w:bCs w:val="false"/>
                <w:color w:val="101A13"/>
                <w:sz w:val="20"/>
                <w:szCs w:val="20"/>
              </w:rPr>
              <w:t xml:space="preserve">Four columns: brand + blurb, Expertise links, Sectors links, Contact; bottom bar with copyright and tagline</w:t>
            </w:r>
          </w:p>
        </w:tc>
      </w:tr>
    </w:tbl>
    <w:p>
      <w:pPr>
        <w:pStyle w:val="Heading3"/>
        <w:spacing w:after="120" w:before="220"/>
      </w:pPr>
      <w:r>
        <w:rPr>
          <w:b/>
          <w:bCs/>
          <w:color w:val="101A13"/>
          <w:sz w:val="23"/>
          <w:szCs w:val="23"/>
        </w:rPr>
        <w:t xml:space="preserve">Functional requirements</w:t>
      </w:r>
    </w:p>
    <w:p>
      <w:pPr>
        <w:pStyle w:val="ListParagraph"/>
        <w:numPr>
          <w:ilvl w:val="0"/>
          <w:numId w:val="2"/>
        </w:numPr>
        <w:spacing w:after="100"/>
      </w:pPr>
      <w:r>
        <w:rPr>
          <w:sz w:val="22"/>
          <w:szCs w:val="22"/>
        </w:rPr>
        <w:t xml:space="preserve">Sticky navigation with translucent blur; smooth scrolling to anchors; animated link underlines on hover; mobile hamburger menu that closes on link tap (with aria-expanded state).</w:t>
      </w:r>
    </w:p>
    <w:p>
      <w:pPr>
        <w:pStyle w:val="ListParagraph"/>
        <w:numPr>
          <w:ilvl w:val="0"/>
          <w:numId w:val="2"/>
        </w:numPr>
        <w:spacing w:after="100"/>
      </w:pPr>
      <w:r>
        <w:rPr>
          <w:sz w:val="22"/>
          <w:szCs w:val="22"/>
        </w:rPr>
        <w:t xml:space="preserve">Hover behaviors: expertise rows highlight/indent with arrow shift; sector images zoom ~6% with description reveal; button icon gap widens.</w:t>
      </w:r>
    </w:p>
    <w:p>
      <w:pPr>
        <w:pStyle w:val="ListParagraph"/>
        <w:numPr>
          <w:ilvl w:val="0"/>
          <w:numId w:val="2"/>
        </w:numPr>
        <w:spacing w:after="100"/>
      </w:pPr>
      <w:r>
        <w:rPr>
          <w:sz w:val="22"/>
          <w:szCs w:val="22"/>
        </w:rPr>
        <w:t xml:space="preserve">Responsive breakpoints: sector grid 3 → 2 → 1 columns; stats 4 → 2 → 1; expertise rows drop the description column on tablet; utility bar and scroll cue hidden on mobile; sector descriptions always visible on mobile (no hover on touch).</w:t>
      </w:r>
    </w:p>
    <w:p>
      <w:pPr>
        <w:pStyle w:val="ListParagraph"/>
        <w:numPr>
          <w:ilvl w:val="0"/>
          <w:numId w:val="2"/>
        </w:numPr>
        <w:spacing w:after="100"/>
      </w:pPr>
      <w:r>
        <w:rPr>
          <w:sz w:val="22"/>
          <w:szCs w:val="22"/>
        </w:rPr>
        <w:t xml:space="preserve">Contact actions: mailto to info@greenrockeng.com and tap-to-call tel link for (949) 771-4943; both also in the top utility bar.</w:t>
      </w:r>
    </w:p>
    <w:p>
      <w:pPr>
        <w:pStyle w:val="ListParagraph"/>
        <w:numPr>
          <w:ilvl w:val="0"/>
          <w:numId w:val="2"/>
        </w:numPr>
        <w:spacing w:after="100"/>
      </w:pPr>
      <w:r>
        <w:rPr>
          <w:sz w:val="22"/>
          <w:szCs w:val="22"/>
        </w:rPr>
        <w:t xml:space="preserve">Images lazy-load and fail gracefully (a failed image hides its tile rather than breaking layout).</w:t>
      </w:r>
    </w:p>
    <w:p>
      <w:pPr>
        <w:pStyle w:val="ListParagraph"/>
        <w:numPr>
          <w:ilvl w:val="0"/>
          <w:numId w:val="2"/>
        </w:numPr>
        <w:spacing w:after="100"/>
      </w:pPr>
      <w:r>
        <w:rPr>
          <w:sz w:val="22"/>
          <w:szCs w:val="22"/>
        </w:rPr>
        <w:t xml:space="preserve">Accessibility: visible keyboard focus outlines, alt text on all content photos, decorative graphics aria-hidden, prefers-reduced-motion respected.</w:t>
      </w:r>
    </w:p>
    <w:p>
      <w:pPr>
        <w:pStyle w:val="ListParagraph"/>
        <w:numPr>
          <w:ilvl w:val="0"/>
          <w:numId w:val="2"/>
        </w:numPr>
        <w:spacing w:after="100"/>
      </w:pPr>
      <w:r>
        <w:rPr>
          <w:sz w:val="22"/>
          <w:szCs w:val="22"/>
        </w:rPr>
        <w:t xml:space="preserve">Footer year updates automatically. No backend or forms yet — a contact form is a recommended phase-two addition.</w:t>
      </w:r>
    </w:p>
    <w:p>
      <w:pPr>
        <w:pStyle w:val="Heading3"/>
        <w:spacing w:after="120" w:before="220"/>
      </w:pPr>
      <w:r>
        <w:rPr>
          <w:b/>
          <w:bCs/>
          <w:color w:val="101A13"/>
          <w:sz w:val="23"/>
          <w:szCs w:val="23"/>
        </w:rPr>
        <w:t xml:space="preserve">Hosting &amp; technical context</w:t>
      </w:r>
    </w:p>
    <w:p>
      <w:pPr>
        <w:pStyle w:val="ListParagraph"/>
        <w:numPr>
          <w:ilvl w:val="0"/>
          <w:numId w:val="2"/>
        </w:numPr>
        <w:spacing w:after="100"/>
      </w:pPr>
      <w:r>
        <w:rPr>
          <w:sz w:val="22"/>
          <w:szCs w:val="22"/>
        </w:rPr>
        <w:t xml:space="preserve">Static single-file site (index.html) hosted on Netlify; domain greenrockeng.com registered at GoDaddy with nameservers pointed to Netlify DNS; HTTPS auto-provisioned by Netlify; email on the domain handled by a separate mail provider via MX records in Netlify DNS.</w:t>
      </w:r>
    </w:p>
    <w:p>
      <w:pPr>
        <w:pStyle w:val="Heading3"/>
        <w:spacing w:after="120" w:before="220"/>
      </w:pPr>
      <w:r>
        <w:rPr>
          <w:b/>
          <w:bCs/>
          <w:color w:val="101A13"/>
          <w:sz w:val="23"/>
          <w:szCs w:val="23"/>
        </w:rPr>
        <w:t xml:space="preserve">SEO</w:t>
      </w:r>
    </w:p>
    <w:p>
      <w:pPr>
        <w:pStyle w:val="ListParagraph"/>
        <w:numPr>
          <w:ilvl w:val="0"/>
          <w:numId w:val="2"/>
        </w:numPr>
        <w:spacing w:after="100"/>
      </w:pPr>
      <w:r>
        <w:rPr>
          <w:sz w:val="22"/>
          <w:szCs w:val="22"/>
        </w:rPr>
        <w:t xml:space="preserve">Title: "Greenrock Engineering and Design Services — Sustainable Engineering &amp; Design Consulting"</w:t>
      </w:r>
    </w:p>
    <w:p>
      <w:pPr>
        <w:pStyle w:val="ListParagraph"/>
        <w:numPr>
          <w:ilvl w:val="0"/>
          <w:numId w:val="2"/>
        </w:numPr>
        <w:spacing w:after="100"/>
      </w:pPr>
      <w:r>
        <w:rPr>
          <w:sz w:val="22"/>
          <w:szCs w:val="22"/>
        </w:rPr>
        <w:t xml:space="preserve">Meta description: "Greenrock Engineering and Design Services delivers architecture, civil, structural, electrical, and mechanical engineering, plus integrated design services — engineered for sustainability."</w:t>
      </w:r>
    </w:p>
    <w:p>
      <w:r>
        <w:br w:type="page"/>
      </w:r>
    </w:p>
    <w:p>
      <w:pPr>
        <w:pStyle w:val="Heading1"/>
        <w:spacing w:after="200" w:before="360"/>
      </w:pPr>
      <w:r>
        <w:rPr>
          <w:b/>
          <w:bCs/>
          <w:color w:val="1B4A32"/>
          <w:sz w:val="32"/>
          <w:szCs w:val="32"/>
        </w:rPr>
        <w:t xml:space="preserve">4. Copy Deck — All Website Text</w:t>
      </w:r>
    </w:p>
    <w:p>
      <w:pPr>
        <w:spacing w:after="160" w:before="0"/>
      </w:pPr>
      <w:r>
        <w:rPr>
          <w:b w:val="false"/>
          <w:bCs w:val="false"/>
          <w:i/>
          <w:iCs/>
          <w:color w:val="101A13"/>
          <w:sz w:val="22"/>
          <w:szCs w:val="22"/>
        </w:rPr>
        <w:t xml:space="preserve">Copy below is final and approved unless marked otherwise. Shaded blocks are verbatim on-page text.</w:t>
      </w:r>
    </w:p>
    <w:p>
      <w:pPr>
        <w:pStyle w:val="Heading2"/>
        <w:spacing w:after="160" w:before="280"/>
      </w:pPr>
      <w:r>
        <w:rPr>
          <w:b/>
          <w:bCs/>
          <w:color w:val="1B4A32"/>
          <w:sz w:val="26"/>
          <w:szCs w:val="26"/>
        </w:rPr>
        <w:t xml:space="preserve">4.0 Top Bar &amp; Navigation</w:t>
      </w:r>
    </w:p>
    <w:p>
      <w:pPr>
        <w:spacing w:after="40" w:before="160"/>
      </w:pPr>
      <w:r>
        <w:rPr>
          <w:b/>
          <w:bCs/>
          <w:caps/>
          <w:color w:val="4A594F"/>
          <w:sz w:val="18"/>
          <w:szCs w:val="18"/>
        </w:rPr>
        <w:t xml:space="preserve">Utility bar</w:t>
      </w:r>
    </w:p>
    <w:p>
      <w:pPr>
        <w:pBdr>
          <w:left w:val="single" w:color="1B4A32" w:sz="12"/>
        </w:pBdr>
        <w:shd w:fill="F0F6F2" w:val="clear"/>
        <w:spacing w:after="140"/>
        <w:ind w:left="240" w:right="240"/>
      </w:pPr>
      <w:r>
        <w:rPr>
          <w:color w:val="101A13"/>
          <w:sz w:val="22"/>
          <w:szCs w:val="22"/>
        </w:rPr>
        <w:t xml:space="preserve">info@greenrockeng.com  |  (949) 771-4943</w:t>
      </w:r>
    </w:p>
    <w:p>
      <w:pPr>
        <w:spacing w:after="40" w:before="160"/>
      </w:pPr>
      <w:r>
        <w:rPr>
          <w:b/>
          <w:bCs/>
          <w:caps/>
          <w:color w:val="4A594F"/>
          <w:sz w:val="18"/>
          <w:szCs w:val="18"/>
        </w:rPr>
        <w:t xml:space="preserve">Brand lockup</w:t>
      </w:r>
    </w:p>
    <w:p>
      <w:pPr>
        <w:pBdr>
          <w:left w:val="single" w:color="1B4A32" w:sz="12"/>
        </w:pBdr>
        <w:shd w:fill="F0F6F2" w:val="clear"/>
        <w:spacing w:after="140"/>
        <w:ind w:left="240" w:right="240"/>
      </w:pPr>
      <w:r>
        <w:rPr>
          <w:color w:val="101A13"/>
          <w:sz w:val="22"/>
          <w:szCs w:val="22"/>
        </w:rPr>
        <w:t xml:space="preserve">Greenrock — Engineering &amp; Design Services</w:t>
      </w:r>
    </w:p>
    <w:p>
      <w:pPr>
        <w:spacing w:after="40" w:before="160"/>
      </w:pPr>
      <w:r>
        <w:rPr>
          <w:b/>
          <w:bCs/>
          <w:caps/>
          <w:color w:val="4A594F"/>
          <w:sz w:val="18"/>
          <w:szCs w:val="18"/>
        </w:rPr>
        <w:t xml:space="preserve">Nav links</w:t>
      </w:r>
    </w:p>
    <w:p>
      <w:pPr>
        <w:pBdr>
          <w:left w:val="single" w:color="1B4A32" w:sz="12"/>
        </w:pBdr>
        <w:shd w:fill="F0F6F2" w:val="clear"/>
        <w:spacing w:after="140"/>
        <w:ind w:left="240" w:right="240"/>
      </w:pPr>
      <w:r>
        <w:rPr>
          <w:color w:val="101A13"/>
          <w:sz w:val="22"/>
          <w:szCs w:val="22"/>
        </w:rPr>
        <w:t xml:space="preserve">Who We Are  |  Expertise  |  Sectors  |  Sustainability  |  Contact Us (button)</w:t>
      </w:r>
    </w:p>
    <w:p>
      <w:pPr>
        <w:pStyle w:val="Heading2"/>
        <w:spacing w:after="160" w:before="280"/>
      </w:pPr>
      <w:r>
        <w:rPr>
          <w:b/>
          <w:bCs/>
          <w:color w:val="1B4A32"/>
          <w:sz w:val="26"/>
          <w:szCs w:val="26"/>
        </w:rPr>
        <w:t xml:space="preserve">4.1 Hero</w:t>
      </w:r>
    </w:p>
    <w:p>
      <w:pPr>
        <w:spacing w:after="40" w:before="160"/>
      </w:pPr>
      <w:r>
        <w:rPr>
          <w:b/>
          <w:bCs/>
          <w:caps/>
          <w:color w:val="4A594F"/>
          <w:sz w:val="18"/>
          <w:szCs w:val="18"/>
        </w:rPr>
        <w:t xml:space="preserve">Label</w:t>
      </w:r>
    </w:p>
    <w:p>
      <w:pPr>
        <w:pBdr>
          <w:left w:val="single" w:color="1B4A32" w:sz="12"/>
        </w:pBdr>
        <w:shd w:fill="F0F6F2" w:val="clear"/>
        <w:spacing w:after="140"/>
        <w:ind w:left="240" w:right="240"/>
      </w:pPr>
      <w:r>
        <w:rPr>
          <w:color w:val="101A13"/>
          <w:sz w:val="22"/>
          <w:szCs w:val="22"/>
        </w:rPr>
        <w:t xml:space="preserve">ENGINEERING &amp; DESIGN CONSULTANCY</w:t>
      </w:r>
    </w:p>
    <w:p>
      <w:pPr>
        <w:spacing w:after="40" w:before="160"/>
      </w:pPr>
      <w:r>
        <w:rPr>
          <w:b/>
          <w:bCs/>
          <w:caps/>
          <w:color w:val="4A594F"/>
          <w:sz w:val="18"/>
          <w:szCs w:val="18"/>
        </w:rPr>
        <w:t xml:space="preserve">Headline</w:t>
      </w:r>
    </w:p>
    <w:p>
      <w:pPr>
        <w:pBdr>
          <w:left w:val="single" w:color="1B4A32" w:sz="12"/>
        </w:pBdr>
        <w:shd w:fill="F0F6F2" w:val="clear"/>
        <w:spacing w:after="140"/>
        <w:ind w:left="240" w:right="240"/>
      </w:pPr>
      <w:r>
        <w:rPr>
          <w:color w:val="101A13"/>
          <w:sz w:val="22"/>
          <w:szCs w:val="22"/>
        </w:rPr>
        <w:t xml:space="preserve">Designing what comes next, sustainably. ("sustainably" rendered in mint green)</w:t>
      </w:r>
    </w:p>
    <w:p>
      <w:pPr>
        <w:spacing w:after="40" w:before="160"/>
      </w:pPr>
      <w:r>
        <w:rPr>
          <w:b/>
          <w:bCs/>
          <w:caps/>
          <w:color w:val="4A594F"/>
          <w:sz w:val="18"/>
          <w:szCs w:val="18"/>
        </w:rPr>
        <w:t xml:space="preserve">Subheadline</w:t>
      </w:r>
    </w:p>
    <w:p>
      <w:pPr>
        <w:pBdr>
          <w:left w:val="single" w:color="1B4A32" w:sz="12"/>
        </w:pBdr>
        <w:shd w:fill="F0F6F2" w:val="clear"/>
        <w:spacing w:after="140"/>
        <w:ind w:left="240" w:right="240"/>
      </w:pPr>
      <w:r>
        <w:rPr>
          <w:color w:val="101A13"/>
          <w:sz w:val="22"/>
          <w:szCs w:val="22"/>
        </w:rPr>
        <w:t xml:space="preserve">Greenrock Engineering and Design Services unites architecture, civil, structural, electrical, and mechanical engineering with integrated design — delivering complex facilities that perform better, cost less to run, and stand the test of time.</w:t>
      </w:r>
    </w:p>
    <w:p>
      <w:pPr>
        <w:spacing w:after="40" w:before="160"/>
      </w:pPr>
      <w:r>
        <w:rPr>
          <w:b/>
          <w:bCs/>
          <w:caps/>
          <w:color w:val="4A594F"/>
          <w:sz w:val="18"/>
          <w:szCs w:val="18"/>
        </w:rPr>
        <w:t xml:space="preserve">CTAs</w:t>
      </w:r>
    </w:p>
    <w:p>
      <w:pPr>
        <w:pBdr>
          <w:left w:val="single" w:color="1B4A32" w:sz="12"/>
        </w:pBdr>
        <w:shd w:fill="F0F6F2" w:val="clear"/>
        <w:spacing w:after="140"/>
        <w:ind w:left="240" w:right="240"/>
      </w:pPr>
      <w:r>
        <w:rPr>
          <w:color w:val="101A13"/>
          <w:sz w:val="22"/>
          <w:szCs w:val="22"/>
        </w:rPr>
        <w:t xml:space="preserve">Explore our expertise (primary)  •  Work with us (outline)</w:t>
      </w:r>
    </w:p>
    <w:p>
      <w:pPr>
        <w:spacing w:after="40" w:before="160"/>
      </w:pPr>
      <w:r>
        <w:rPr>
          <w:b/>
          <w:bCs/>
          <w:caps/>
          <w:color w:val="4A594F"/>
          <w:sz w:val="18"/>
          <w:szCs w:val="18"/>
        </w:rPr>
        <w:t xml:space="preserve">Scroll cue</w:t>
      </w:r>
    </w:p>
    <w:p>
      <w:pPr>
        <w:pBdr>
          <w:left w:val="single" w:color="1B4A32" w:sz="12"/>
        </w:pBdr>
        <w:shd w:fill="F0F6F2" w:val="clear"/>
        <w:spacing w:after="140"/>
        <w:ind w:left="240" w:right="240"/>
      </w:pPr>
      <w:r>
        <w:rPr>
          <w:color w:val="101A13"/>
          <w:sz w:val="22"/>
          <w:szCs w:val="22"/>
        </w:rPr>
        <w:t xml:space="preserve">SCROLL ↓</w:t>
      </w:r>
    </w:p>
    <w:p>
      <w:pPr>
        <w:pStyle w:val="Heading2"/>
        <w:spacing w:after="160" w:before="280"/>
      </w:pPr>
      <w:r>
        <w:rPr>
          <w:b/>
          <w:bCs/>
          <w:color w:val="1B4A32"/>
          <w:sz w:val="26"/>
          <w:szCs w:val="26"/>
        </w:rPr>
        <w:t xml:space="preserve">4.2 Stats Band</w:t>
      </w:r>
    </w:p>
    <w:p>
      <w:pPr>
        <w:spacing w:after="40" w:before="160"/>
      </w:pPr>
      <w:r>
        <w:rPr>
          <w:b/>
          <w:bCs/>
          <w:caps/>
          <w:color w:val="4A594F"/>
          <w:sz w:val="18"/>
          <w:szCs w:val="18"/>
        </w:rPr>
        <w:t xml:space="preserve">Four stats</w:t>
      </w:r>
    </w:p>
    <w:p>
      <w:pPr>
        <w:pBdr>
          <w:left w:val="single" w:color="1B4A32" w:sz="12"/>
        </w:pBdr>
        <w:shd w:fill="F0F6F2" w:val="clear"/>
        <w:spacing w:after="140"/>
        <w:ind w:left="240" w:right="240"/>
      </w:pPr>
      <w:r>
        <w:rPr>
          <w:color w:val="101A13"/>
          <w:sz w:val="22"/>
          <w:szCs w:val="22"/>
        </w:rPr>
        <w:t xml:space="preserve">06 — Engineering &amp; design disciplines, integrated  •  01 — Accountable team from concept to closeout  •  100% — Of projects designed with sustainability targets  •  360° — Coverage: design, documentation, and delivery support</w:t>
      </w:r>
    </w:p>
    <w:p>
      <w:pPr>
        <w:pStyle w:val="Heading2"/>
        <w:spacing w:after="160" w:before="280"/>
      </w:pPr>
      <w:r>
        <w:rPr>
          <w:b/>
          <w:bCs/>
          <w:color w:val="1B4A32"/>
          <w:sz w:val="26"/>
          <w:szCs w:val="26"/>
        </w:rPr>
        <w:t xml:space="preserve">4.3 Purpose / Who We Are</w:t>
      </w:r>
    </w:p>
    <w:p>
      <w:pPr>
        <w:spacing w:after="40" w:before="160"/>
      </w:pPr>
      <w:r>
        <w:rPr>
          <w:b/>
          <w:bCs/>
          <w:caps/>
          <w:color w:val="4A594F"/>
          <w:sz w:val="18"/>
          <w:szCs w:val="18"/>
        </w:rPr>
        <w:t xml:space="preserve">Label</w:t>
      </w:r>
    </w:p>
    <w:p>
      <w:pPr>
        <w:pBdr>
          <w:left w:val="single" w:color="1B4A32" w:sz="12"/>
        </w:pBdr>
        <w:shd w:fill="F0F6F2" w:val="clear"/>
        <w:spacing w:after="140"/>
        <w:ind w:left="240" w:right="240"/>
      </w:pPr>
      <w:r>
        <w:rPr>
          <w:color w:val="101A13"/>
          <w:sz w:val="22"/>
          <w:szCs w:val="22"/>
        </w:rPr>
        <w:t xml:space="preserve">WHO WE ARE</w:t>
      </w:r>
    </w:p>
    <w:p>
      <w:pPr>
        <w:spacing w:after="40" w:before="160"/>
      </w:pPr>
      <w:r>
        <w:rPr>
          <w:b/>
          <w:bCs/>
          <w:caps/>
          <w:color w:val="4A594F"/>
          <w:sz w:val="18"/>
          <w:szCs w:val="18"/>
        </w:rPr>
        <w:t xml:space="preserve">Editorial statement (oversized type)</w:t>
      </w:r>
    </w:p>
    <w:p>
      <w:pPr>
        <w:pBdr>
          <w:left w:val="single" w:color="1B4A32" w:sz="12"/>
        </w:pBdr>
        <w:shd w:fill="F0F6F2" w:val="clear"/>
        <w:spacing w:after="140"/>
        <w:ind w:left="240" w:right="240"/>
      </w:pPr>
      <w:r>
        <w:rPr>
          <w:color w:val="101A13"/>
          <w:sz w:val="22"/>
          <w:szCs w:val="22"/>
        </w:rPr>
        <w:t xml:space="preserve">The built environment is changing. We help our clients stay ahead of it — with engineering that answers to people, performance, and the planet. ("stay ahead of it" in green)</w:t>
      </w:r>
    </w:p>
    <w:p>
      <w:pPr>
        <w:spacing w:after="40" w:before="160"/>
      </w:pPr>
      <w:r>
        <w:rPr>
          <w:b/>
          <w:bCs/>
          <w:caps/>
          <w:color w:val="4A594F"/>
          <w:sz w:val="18"/>
          <w:szCs w:val="18"/>
        </w:rPr>
        <w:t xml:space="preserve">Body paragraph 1</w:t>
      </w:r>
    </w:p>
    <w:p>
      <w:pPr>
        <w:pBdr>
          <w:left w:val="single" w:color="1B4A32" w:sz="12"/>
        </w:pBdr>
        <w:shd w:fill="F0F6F2" w:val="clear"/>
        <w:spacing w:after="140"/>
        <w:ind w:left="240" w:right="240"/>
      </w:pPr>
      <w:r>
        <w:rPr>
          <w:color w:val="101A13"/>
          <w:sz w:val="22"/>
          <w:szCs w:val="22"/>
        </w:rPr>
        <w:t xml:space="preserve">Greenrock Engineering and Design Services was founded on a simple conviction: the best projects come from disciplines that design together. Our engineers, architects, and designers work as one team — resolving conflicts on paper instead of on site, engineering out waste before it's built in, and treating sustainability as a starting condition, not a certificate.</w:t>
      </w:r>
    </w:p>
    <w:p>
      <w:pPr>
        <w:spacing w:after="40" w:before="160"/>
      </w:pPr>
      <w:r>
        <w:rPr>
          <w:b/>
          <w:bCs/>
          <w:caps/>
          <w:color w:val="4A594F"/>
          <w:sz w:val="18"/>
          <w:szCs w:val="18"/>
        </w:rPr>
        <w:t xml:space="preserve">Body paragraph 2</w:t>
      </w:r>
    </w:p>
    <w:p>
      <w:pPr>
        <w:pBdr>
          <w:left w:val="single" w:color="1B4A32" w:sz="12"/>
        </w:pBdr>
        <w:shd w:fill="F0F6F2" w:val="clear"/>
        <w:spacing w:after="140"/>
        <w:ind w:left="240" w:right="240"/>
      </w:pPr>
      <w:r>
        <w:rPr>
          <w:color w:val="101A13"/>
          <w:sz w:val="22"/>
          <w:szCs w:val="22"/>
        </w:rPr>
        <w:t xml:space="preserve">We bring a client's-eye view to every engagement — responsive, direct, and accountable for outcomes, not just drawings.</w:t>
      </w:r>
    </w:p>
    <w:p>
      <w:pPr>
        <w:pStyle w:val="Heading2"/>
        <w:spacing w:after="160" w:before="280"/>
      </w:pPr>
      <w:r>
        <w:rPr>
          <w:b/>
          <w:bCs/>
          <w:color w:val="1B4A32"/>
          <w:sz w:val="26"/>
          <w:szCs w:val="26"/>
        </w:rPr>
        <w:t xml:space="preserve">4.4 Expertise (numbered index, six rows)</w:t>
      </w:r>
    </w:p>
    <w:p>
      <w:pPr>
        <w:spacing w:after="40" w:before="160"/>
      </w:pPr>
      <w:r>
        <w:rPr>
          <w:b/>
          <w:bCs/>
          <w:caps/>
          <w:color w:val="4A594F"/>
          <w:sz w:val="18"/>
          <w:szCs w:val="18"/>
        </w:rPr>
        <w:t xml:space="preserve">Label</w:t>
      </w:r>
    </w:p>
    <w:p>
      <w:pPr>
        <w:pBdr>
          <w:left w:val="single" w:color="1B4A32" w:sz="12"/>
        </w:pBdr>
        <w:shd w:fill="F0F6F2" w:val="clear"/>
        <w:spacing w:after="140"/>
        <w:ind w:left="240" w:right="240"/>
      </w:pPr>
      <w:r>
        <w:rPr>
          <w:color w:val="101A13"/>
          <w:sz w:val="22"/>
          <w:szCs w:val="22"/>
        </w:rPr>
        <w:t xml:space="preserve">OUR EXPERTISE</w:t>
      </w:r>
    </w:p>
    <w:p>
      <w:pPr>
        <w:spacing w:after="40" w:before="160"/>
      </w:pPr>
      <w:r>
        <w:rPr>
          <w:b/>
          <w:bCs/>
          <w:caps/>
          <w:color w:val="4A594F"/>
          <w:sz w:val="18"/>
          <w:szCs w:val="18"/>
        </w:rPr>
        <w:t xml:space="preserve">Headline</w:t>
      </w:r>
    </w:p>
    <w:p>
      <w:pPr>
        <w:pBdr>
          <w:left w:val="single" w:color="1B4A32" w:sz="12"/>
        </w:pBdr>
        <w:shd w:fill="F0F6F2" w:val="clear"/>
        <w:spacing w:after="140"/>
        <w:ind w:left="240" w:right="240"/>
      </w:pPr>
      <w:r>
        <w:rPr>
          <w:color w:val="101A13"/>
          <w:sz w:val="22"/>
          <w:szCs w:val="22"/>
        </w:rPr>
        <w:t xml:space="preserve">Six disciplines. One integrated practice.</w:t>
      </w:r>
    </w:p>
    <w:p>
      <w:pPr>
        <w:spacing w:after="40" w:before="160"/>
      </w:pPr>
      <w:r>
        <w:rPr>
          <w:b/>
          <w:bCs/>
          <w:caps/>
          <w:color w:val="4A594F"/>
          <w:sz w:val="18"/>
          <w:szCs w:val="18"/>
        </w:rPr>
        <w:t xml:space="preserve">Intro</w:t>
      </w:r>
    </w:p>
    <w:p>
      <w:pPr>
        <w:pBdr>
          <w:left w:val="single" w:color="1B4A32" w:sz="12"/>
        </w:pBdr>
        <w:shd w:fill="F0F6F2" w:val="clear"/>
        <w:spacing w:after="140"/>
        <w:ind w:left="240" w:right="240"/>
      </w:pPr>
      <w:r>
        <w:rPr>
          <w:color w:val="101A13"/>
          <w:sz w:val="22"/>
          <w:szCs w:val="22"/>
        </w:rPr>
        <w:t xml:space="preserve">Every discipline informs the others from day one — so structure supports architecture, systems fit the structure, and the whole design moves through review the first time.</w:t>
      </w:r>
    </w:p>
    <w:p>
      <w:pPr>
        <w:spacing w:after="40" w:before="160"/>
      </w:pPr>
      <w:r>
        <w:rPr>
          <w:b/>
          <w:bCs/>
          <w:caps/>
          <w:color w:val="4A594F"/>
          <w:sz w:val="18"/>
          <w:szCs w:val="18"/>
        </w:rPr>
        <w:t xml:space="preserve">01 — Architecture</w:t>
      </w:r>
    </w:p>
    <w:p>
      <w:pPr>
        <w:pBdr>
          <w:left w:val="single" w:color="1B4A32" w:sz="12"/>
        </w:pBdr>
        <w:shd w:fill="F0F6F2" w:val="clear"/>
        <w:spacing w:after="140"/>
        <w:ind w:left="240" w:right="240"/>
      </w:pPr>
      <w:r>
        <w:rPr>
          <w:color w:val="101A13"/>
          <w:sz w:val="22"/>
          <w:szCs w:val="22"/>
        </w:rPr>
        <w:t xml:space="preserve">Human-centered, energy-conscious building design — spaces that work beautifully for the people inside them and tread lightly on everything outside.</w:t>
      </w:r>
    </w:p>
    <w:p>
      <w:pPr>
        <w:spacing w:after="40" w:before="160"/>
      </w:pPr>
      <w:r>
        <w:rPr>
          <w:b/>
          <w:bCs/>
          <w:caps/>
          <w:color w:val="4A594F"/>
          <w:sz w:val="18"/>
          <w:szCs w:val="18"/>
        </w:rPr>
        <w:t xml:space="preserve">02 — Civil Engineering</w:t>
      </w:r>
    </w:p>
    <w:p>
      <w:pPr>
        <w:pBdr>
          <w:left w:val="single" w:color="1B4A32" w:sz="12"/>
        </w:pBdr>
        <w:shd w:fill="F0F6F2" w:val="clear"/>
        <w:spacing w:after="140"/>
        <w:ind w:left="240" w:right="240"/>
      </w:pPr>
      <w:r>
        <w:rPr>
          <w:color w:val="101A13"/>
          <w:sz w:val="22"/>
          <w:szCs w:val="22"/>
        </w:rPr>
        <w:t xml:space="preserve">Site development, grading, drainage, and infrastructure that manage water wisely, protect the land, and support resilient communities.</w:t>
      </w:r>
    </w:p>
    <w:p>
      <w:pPr>
        <w:spacing w:after="40" w:before="160"/>
      </w:pPr>
      <w:r>
        <w:rPr>
          <w:b/>
          <w:bCs/>
          <w:caps/>
          <w:color w:val="4A594F"/>
          <w:sz w:val="18"/>
          <w:szCs w:val="18"/>
        </w:rPr>
        <w:t xml:space="preserve">03 — Structural Engineering</w:t>
      </w:r>
    </w:p>
    <w:p>
      <w:pPr>
        <w:pBdr>
          <w:left w:val="single" w:color="1B4A32" w:sz="12"/>
        </w:pBdr>
        <w:shd w:fill="F0F6F2" w:val="clear"/>
        <w:spacing w:after="140"/>
        <w:ind w:left="240" w:right="240"/>
      </w:pPr>
      <w:r>
        <w:rPr>
          <w:color w:val="101A13"/>
          <w:sz w:val="22"/>
          <w:szCs w:val="22"/>
        </w:rPr>
        <w:t xml:space="preserve">Safe, efficient structural systems that use material intelligently — cutting embodied carbon without compromising strength or code compliance.</w:t>
      </w:r>
    </w:p>
    <w:p>
      <w:pPr>
        <w:spacing w:after="40" w:before="160"/>
      </w:pPr>
      <w:r>
        <w:rPr>
          <w:b/>
          <w:bCs/>
          <w:caps/>
          <w:color w:val="4A594F"/>
          <w:sz w:val="18"/>
          <w:szCs w:val="18"/>
        </w:rPr>
        <w:t xml:space="preserve">04 — Electrical Engineering</w:t>
      </w:r>
    </w:p>
    <w:p>
      <w:pPr>
        <w:pBdr>
          <w:left w:val="single" w:color="1B4A32" w:sz="12"/>
        </w:pBdr>
        <w:shd w:fill="F0F6F2" w:val="clear"/>
        <w:spacing w:after="140"/>
        <w:ind w:left="240" w:right="240"/>
      </w:pPr>
      <w:r>
        <w:rPr>
          <w:color w:val="101A13"/>
          <w:sz w:val="22"/>
          <w:szCs w:val="22"/>
        </w:rPr>
        <w:t xml:space="preserve">Power distribution, lighting, and low-voltage systems engineered for efficiency — including renewable-ready designs that cut energy use and cost.</w:t>
      </w:r>
    </w:p>
    <w:p>
      <w:pPr>
        <w:spacing w:after="40" w:before="160"/>
      </w:pPr>
      <w:r>
        <w:rPr>
          <w:b/>
          <w:bCs/>
          <w:caps/>
          <w:color w:val="4A594F"/>
          <w:sz w:val="18"/>
          <w:szCs w:val="18"/>
        </w:rPr>
        <w:t xml:space="preserve">05 — Mechanical Engineering</w:t>
      </w:r>
    </w:p>
    <w:p>
      <w:pPr>
        <w:pBdr>
          <w:left w:val="single" w:color="1B4A32" w:sz="12"/>
        </w:pBdr>
        <w:shd w:fill="F0F6F2" w:val="clear"/>
        <w:spacing w:after="140"/>
        <w:ind w:left="240" w:right="240"/>
      </w:pPr>
      <w:r>
        <w:rPr>
          <w:color w:val="101A13"/>
          <w:sz w:val="22"/>
          <w:szCs w:val="22"/>
        </w:rPr>
        <w:t xml:space="preserve">HVAC, plumbing, and building systems designed around comfort and conservation — lowering emissions and lifecycle cost from the first calculation.</w:t>
      </w:r>
    </w:p>
    <w:p>
      <w:pPr>
        <w:spacing w:after="40" w:before="160"/>
      </w:pPr>
      <w:r>
        <w:rPr>
          <w:b/>
          <w:bCs/>
          <w:caps/>
          <w:color w:val="4A594F"/>
          <w:sz w:val="18"/>
          <w:szCs w:val="18"/>
        </w:rPr>
        <w:t xml:space="preserve">06 — Design Services</w:t>
      </w:r>
    </w:p>
    <w:p>
      <w:pPr>
        <w:pBdr>
          <w:left w:val="single" w:color="1B4A32" w:sz="12"/>
        </w:pBdr>
        <w:shd w:fill="F0F6F2" w:val="clear"/>
        <w:spacing w:after="140"/>
        <w:ind w:left="240" w:right="240"/>
      </w:pPr>
      <w:r>
        <w:rPr>
          <w:color w:val="101A13"/>
          <w:sz w:val="22"/>
          <w:szCs w:val="22"/>
        </w:rPr>
        <w:t xml:space="preserve">Concept development, planning, and complete design documentation — turning project vision into clear, buildable, sustainable plans.</w:t>
      </w:r>
    </w:p>
    <w:p>
      <w:pPr>
        <w:pStyle w:val="Heading2"/>
        <w:spacing w:after="160" w:before="280"/>
      </w:pPr>
      <w:r>
        <w:rPr>
          <w:b/>
          <w:bCs/>
          <w:color w:val="1B4A32"/>
          <w:sz w:val="26"/>
          <w:szCs w:val="26"/>
        </w:rPr>
        <w:t xml:space="preserve">4.5 Sectors (six photo tiles, in this order)</w:t>
      </w:r>
    </w:p>
    <w:p>
      <w:pPr>
        <w:spacing w:after="40" w:before="160"/>
      </w:pPr>
      <w:r>
        <w:rPr>
          <w:b/>
          <w:bCs/>
          <w:caps/>
          <w:color w:val="4A594F"/>
          <w:sz w:val="18"/>
          <w:szCs w:val="18"/>
        </w:rPr>
        <w:t xml:space="preserve">Label</w:t>
      </w:r>
    </w:p>
    <w:p>
      <w:pPr>
        <w:pBdr>
          <w:left w:val="single" w:color="1B4A32" w:sz="12"/>
        </w:pBdr>
        <w:shd w:fill="F0F6F2" w:val="clear"/>
        <w:spacing w:after="140"/>
        <w:ind w:left="240" w:right="240"/>
      </w:pPr>
      <w:r>
        <w:rPr>
          <w:color w:val="101A13"/>
          <w:sz w:val="22"/>
          <w:szCs w:val="22"/>
        </w:rPr>
        <w:t xml:space="preserve">SECTORS WE SERVE</w:t>
      </w:r>
    </w:p>
    <w:p>
      <w:pPr>
        <w:spacing w:after="40" w:before="160"/>
      </w:pPr>
      <w:r>
        <w:rPr>
          <w:b/>
          <w:bCs/>
          <w:caps/>
          <w:color w:val="4A594F"/>
          <w:sz w:val="18"/>
          <w:szCs w:val="18"/>
        </w:rPr>
        <w:t xml:space="preserve">Headline</w:t>
      </w:r>
    </w:p>
    <w:p>
      <w:pPr>
        <w:pBdr>
          <w:left w:val="single" w:color="1B4A32" w:sz="12"/>
        </w:pBdr>
        <w:shd w:fill="F0F6F2" w:val="clear"/>
        <w:spacing w:after="140"/>
        <w:ind w:left="240" w:right="240"/>
      </w:pPr>
      <w:r>
        <w:rPr>
          <w:color w:val="101A13"/>
          <w:sz w:val="22"/>
          <w:szCs w:val="22"/>
        </w:rPr>
        <w:t xml:space="preserve">Complex facilities are where integration pays off.</w:t>
      </w:r>
    </w:p>
    <w:p>
      <w:pPr>
        <w:spacing w:after="40" w:before="160"/>
      </w:pPr>
      <w:r>
        <w:rPr>
          <w:b/>
          <w:bCs/>
          <w:caps/>
          <w:color w:val="4A594F"/>
          <w:sz w:val="18"/>
          <w:szCs w:val="18"/>
        </w:rPr>
        <w:t xml:space="preserve">Intro</w:t>
      </w:r>
    </w:p>
    <w:p>
      <w:pPr>
        <w:pBdr>
          <w:left w:val="single" w:color="1B4A32" w:sz="12"/>
        </w:pBdr>
        <w:shd w:fill="F0F6F2" w:val="clear"/>
        <w:spacing w:after="140"/>
        <w:ind w:left="240" w:right="240"/>
      </w:pPr>
      <w:r>
        <w:rPr>
          <w:color w:val="101A13"/>
          <w:sz w:val="22"/>
          <w:szCs w:val="22"/>
        </w:rPr>
        <w:t xml:space="preserve">Data centers, warehouses, and mission-critical properties demand every discipline working in lockstep — exactly how Greenrock is built.</w:t>
      </w:r>
    </w:p>
    <w:p>
      <w:pPr>
        <w:spacing w:after="40" w:before="160"/>
      </w:pPr>
      <w:r>
        <w:rPr>
          <w:b/>
          <w:bCs/>
          <w:caps/>
          <w:color w:val="4A594F"/>
          <w:sz w:val="18"/>
          <w:szCs w:val="18"/>
        </w:rPr>
        <w:t xml:space="preserve">Tile 1 — tag: MISSION-CRITICAL — Data Centers</w:t>
      </w:r>
    </w:p>
    <w:p>
      <w:pPr>
        <w:pBdr>
          <w:left w:val="single" w:color="1B4A32" w:sz="12"/>
        </w:pBdr>
        <w:shd w:fill="F0F6F2" w:val="clear"/>
        <w:spacing w:after="140"/>
        <w:ind w:left="240" w:right="240"/>
      </w:pPr>
      <w:r>
        <w:rPr>
          <w:color w:val="101A13"/>
          <w:sz w:val="22"/>
          <w:szCs w:val="22"/>
        </w:rPr>
        <w:t xml:space="preserve">Redundant power, precision cooling, and resilient structures — where electrical and mechanical engineering carry the highest stakes.</w:t>
      </w:r>
    </w:p>
    <w:p>
      <w:pPr>
        <w:spacing w:after="40" w:before="160"/>
      </w:pPr>
      <w:r>
        <w:rPr>
          <w:b/>
          <w:bCs/>
          <w:caps/>
          <w:color w:val="4A594F"/>
          <w:sz w:val="18"/>
          <w:szCs w:val="18"/>
        </w:rPr>
        <w:t xml:space="preserve">Tile 2 — tag: LOGISTICS — Warehouses &amp; Distribution</w:t>
      </w:r>
    </w:p>
    <w:p>
      <w:pPr>
        <w:pBdr>
          <w:left w:val="single" w:color="1B4A32" w:sz="12"/>
        </w:pBdr>
        <w:shd w:fill="F0F6F2" w:val="clear"/>
        <w:spacing w:after="140"/>
        <w:ind w:left="240" w:right="240"/>
      </w:pPr>
      <w:r>
        <w:rPr>
          <w:color w:val="101A13"/>
          <w:sz w:val="22"/>
          <w:szCs w:val="22"/>
        </w:rPr>
        <w:t xml:space="preserve">Long-span structures, efficient site logistics, and high-performance lighting and HVAC — engineered for throughput and low operating cost.</w:t>
      </w:r>
    </w:p>
    <w:p>
      <w:pPr>
        <w:spacing w:after="40" w:before="160"/>
      </w:pPr>
      <w:r>
        <w:rPr>
          <w:b/>
          <w:bCs/>
          <w:caps/>
          <w:color w:val="4A594F"/>
          <w:sz w:val="18"/>
          <w:szCs w:val="18"/>
        </w:rPr>
        <w:t xml:space="preserve">Tile 3 — tag: INDUSTRY — Industrial &amp; Manufacturing</w:t>
      </w:r>
    </w:p>
    <w:p>
      <w:pPr>
        <w:pBdr>
          <w:left w:val="single" w:color="1B4A32" w:sz="12"/>
        </w:pBdr>
        <w:shd w:fill="F0F6F2" w:val="clear"/>
        <w:spacing w:after="140"/>
        <w:ind w:left="240" w:right="240"/>
      </w:pPr>
      <w:r>
        <w:rPr>
          <w:color w:val="101A13"/>
          <w:sz w:val="22"/>
          <w:szCs w:val="22"/>
        </w:rPr>
        <w:t xml:space="preserve">Process-driven layouts, heavy structural systems, and utility infrastructure designed for safety and uptime.</w:t>
      </w:r>
    </w:p>
    <w:p>
      <w:pPr>
        <w:spacing w:after="40" w:before="160"/>
      </w:pPr>
      <w:r>
        <w:rPr>
          <w:b/>
          <w:bCs/>
          <w:caps/>
          <w:color w:val="4A594F"/>
          <w:sz w:val="18"/>
          <w:szCs w:val="18"/>
        </w:rPr>
        <w:t xml:space="preserve">Tile 4 — tag: HEALTH — Healthcare Facilities</w:t>
      </w:r>
    </w:p>
    <w:p>
      <w:pPr>
        <w:pBdr>
          <w:left w:val="single" w:color="1B4A32" w:sz="12"/>
        </w:pBdr>
        <w:shd w:fill="F0F6F2" w:val="clear"/>
        <w:spacing w:after="140"/>
        <w:ind w:left="240" w:right="240"/>
      </w:pPr>
      <w:r>
        <w:rPr>
          <w:color w:val="101A13"/>
          <w:sz w:val="22"/>
          <w:szCs w:val="22"/>
        </w:rPr>
        <w:t xml:space="preserve">Life-safety systems, medical gas, ventilation, and code-intensive design where reliability is non-negotiable.</w:t>
      </w:r>
    </w:p>
    <w:p>
      <w:pPr>
        <w:spacing w:after="40" w:before="160"/>
      </w:pPr>
      <w:r>
        <w:rPr>
          <w:b/>
          <w:bCs/>
          <w:caps/>
          <w:color w:val="4A594F"/>
          <w:sz w:val="18"/>
          <w:szCs w:val="18"/>
        </w:rPr>
        <w:t xml:space="preserve">Tile 5 — tag: SCIENCE — Laboratories &amp; R&amp;D</w:t>
      </w:r>
    </w:p>
    <w:p>
      <w:pPr>
        <w:pBdr>
          <w:left w:val="single" w:color="1B4A32" w:sz="12"/>
        </w:pBdr>
        <w:shd w:fill="F0F6F2" w:val="clear"/>
        <w:spacing w:after="140"/>
        <w:ind w:left="240" w:right="240"/>
      </w:pPr>
      <w:r>
        <w:rPr>
          <w:color w:val="101A13"/>
          <w:sz w:val="22"/>
          <w:szCs w:val="22"/>
        </w:rPr>
        <w:t xml:space="preserve">Precise environmental controls, specialized exhaust and power, and flexible layouts built for evolving research.</w:t>
      </w:r>
    </w:p>
    <w:p>
      <w:pPr>
        <w:spacing w:after="40" w:before="160"/>
      </w:pPr>
      <w:r>
        <w:rPr>
          <w:b/>
          <w:bCs/>
          <w:caps/>
          <w:color w:val="4A594F"/>
          <w:sz w:val="18"/>
          <w:szCs w:val="18"/>
        </w:rPr>
        <w:t xml:space="preserve">Tile 6 — tag: PROPERTY — Commercial &amp; Office</w:t>
      </w:r>
    </w:p>
    <w:p>
      <w:pPr>
        <w:pBdr>
          <w:left w:val="single" w:color="1B4A32" w:sz="12"/>
        </w:pBdr>
        <w:shd w:fill="F0F6F2" w:val="clear"/>
        <w:spacing w:after="140"/>
        <w:ind w:left="240" w:right="240"/>
      </w:pPr>
      <w:r>
        <w:rPr>
          <w:color w:val="101A13"/>
          <w:sz w:val="22"/>
          <w:szCs w:val="22"/>
        </w:rPr>
        <w:t xml:space="preserve">Integrated building design balancing tenant comfort, energy efficiency, and long-term asset value.</w:t>
      </w:r>
    </w:p>
    <w:p>
      <w:pPr>
        <w:pStyle w:val="Heading2"/>
        <w:spacing w:after="160" w:before="280"/>
      </w:pPr>
      <w:r>
        <w:rPr>
          <w:b/>
          <w:bCs/>
          <w:color w:val="1B4A32"/>
          <w:sz w:val="26"/>
          <w:szCs w:val="26"/>
        </w:rPr>
        <w:t xml:space="preserve">4.6 Sustainability Manifesto (dark band)</w:t>
      </w:r>
    </w:p>
    <w:p>
      <w:pPr>
        <w:spacing w:after="40" w:before="160"/>
      </w:pPr>
      <w:r>
        <w:rPr>
          <w:b/>
          <w:bCs/>
          <w:caps/>
          <w:color w:val="4A594F"/>
          <w:sz w:val="18"/>
          <w:szCs w:val="18"/>
        </w:rPr>
        <w:t xml:space="preserve">Label</w:t>
      </w:r>
    </w:p>
    <w:p>
      <w:pPr>
        <w:pBdr>
          <w:left w:val="single" w:color="1B4A32" w:sz="12"/>
        </w:pBdr>
        <w:shd w:fill="F0F6F2" w:val="clear"/>
        <w:spacing w:after="140"/>
        <w:ind w:left="240" w:right="240"/>
      </w:pPr>
      <w:r>
        <w:rPr>
          <w:color w:val="101A13"/>
          <w:sz w:val="22"/>
          <w:szCs w:val="22"/>
        </w:rPr>
        <w:t xml:space="preserve">SUSTAINABILITY</w:t>
      </w:r>
    </w:p>
    <w:p>
      <w:pPr>
        <w:spacing w:after="40" w:before="160"/>
      </w:pPr>
      <w:r>
        <w:rPr>
          <w:b/>
          <w:bCs/>
          <w:caps/>
          <w:color w:val="4A594F"/>
          <w:sz w:val="18"/>
          <w:szCs w:val="18"/>
        </w:rPr>
        <w:t xml:space="preserve">Headline</w:t>
      </w:r>
    </w:p>
    <w:p>
      <w:pPr>
        <w:pBdr>
          <w:left w:val="single" w:color="1B4A32" w:sz="12"/>
        </w:pBdr>
        <w:shd w:fill="F0F6F2" w:val="clear"/>
        <w:spacing w:after="140"/>
        <w:ind w:left="240" w:right="240"/>
      </w:pPr>
      <w:r>
        <w:rPr>
          <w:color w:val="101A13"/>
          <w:sz w:val="22"/>
          <w:szCs w:val="22"/>
        </w:rPr>
        <w:t xml:space="preserve">Green isn't a feature of our work. It's the foundation.</w:t>
      </w:r>
    </w:p>
    <w:p>
      <w:pPr>
        <w:spacing w:after="40" w:before="160"/>
      </w:pPr>
      <w:r>
        <w:rPr>
          <w:b/>
          <w:bCs/>
          <w:caps/>
          <w:color w:val="4A594F"/>
          <w:sz w:val="18"/>
          <w:szCs w:val="18"/>
        </w:rPr>
        <w:t xml:space="preserve">Body</w:t>
      </w:r>
    </w:p>
    <w:p>
      <w:pPr>
        <w:pBdr>
          <w:left w:val="single" w:color="1B4A32" w:sz="12"/>
        </w:pBdr>
        <w:shd w:fill="F0F6F2" w:val="clear"/>
        <w:spacing w:after="140"/>
        <w:ind w:left="240" w:right="240"/>
      </w:pPr>
      <w:r>
        <w:rPr>
          <w:color w:val="101A13"/>
          <w:sz w:val="22"/>
          <w:szCs w:val="22"/>
        </w:rPr>
        <w:t xml:space="preserve">Sustainability shapes every decision we make — the materials we specify, the systems we size, the sites we shape. It's how we deliver projects that cost less to operate, meet tomorrow's standards today, and leave the places we build in better shape than we found them.</w:t>
      </w:r>
    </w:p>
    <w:p>
      <w:pPr>
        <w:spacing w:after="40" w:before="160"/>
      </w:pPr>
      <w:r>
        <w:rPr>
          <w:b/>
          <w:bCs/>
          <w:caps/>
          <w:color w:val="4A594F"/>
          <w:sz w:val="18"/>
          <w:szCs w:val="18"/>
        </w:rPr>
        <w:t xml:space="preserve">Commitment 01 — Energy-efficient design</w:t>
      </w:r>
    </w:p>
    <w:p>
      <w:pPr>
        <w:pBdr>
          <w:left w:val="single" w:color="1B4A32" w:sz="12"/>
        </w:pBdr>
        <w:shd w:fill="F0F6F2" w:val="clear"/>
        <w:spacing w:after="140"/>
        <w:ind w:left="240" w:right="240"/>
      </w:pPr>
      <w:r>
        <w:rPr>
          <w:color w:val="101A13"/>
          <w:sz w:val="22"/>
          <w:szCs w:val="22"/>
        </w:rPr>
        <w:t xml:space="preserve">Envelopes, systems, and lighting engineered to minimize energy demand from day one.</w:t>
      </w:r>
    </w:p>
    <w:p>
      <w:pPr>
        <w:spacing w:after="40" w:before="160"/>
      </w:pPr>
      <w:r>
        <w:rPr>
          <w:b/>
          <w:bCs/>
          <w:caps/>
          <w:color w:val="4A594F"/>
          <w:sz w:val="18"/>
          <w:szCs w:val="18"/>
        </w:rPr>
        <w:t xml:space="preserve">Commitment 02 — Water &amp; site stewardship</w:t>
      </w:r>
    </w:p>
    <w:p>
      <w:pPr>
        <w:pBdr>
          <w:left w:val="single" w:color="1B4A32" w:sz="12"/>
        </w:pBdr>
        <w:shd w:fill="F0F6F2" w:val="clear"/>
        <w:spacing w:after="140"/>
        <w:ind w:left="240" w:right="240"/>
      </w:pPr>
      <w:r>
        <w:rPr>
          <w:color w:val="101A13"/>
          <w:sz w:val="22"/>
          <w:szCs w:val="22"/>
        </w:rPr>
        <w:t xml:space="preserve">Smart drainage, stormwater management, and site design that protect natural resources.</w:t>
      </w:r>
    </w:p>
    <w:p>
      <w:pPr>
        <w:spacing w:after="40" w:before="160"/>
      </w:pPr>
      <w:r>
        <w:rPr>
          <w:b/>
          <w:bCs/>
          <w:caps/>
          <w:color w:val="4A594F"/>
          <w:sz w:val="18"/>
          <w:szCs w:val="18"/>
        </w:rPr>
        <w:t xml:space="preserve">Commitment 03 — Lower lifecycle cost</w:t>
      </w:r>
    </w:p>
    <w:p>
      <w:pPr>
        <w:pBdr>
          <w:left w:val="single" w:color="1B4A32" w:sz="12"/>
        </w:pBdr>
        <w:shd w:fill="F0F6F2" w:val="clear"/>
        <w:spacing w:after="140"/>
        <w:ind w:left="240" w:right="240"/>
      </w:pPr>
      <w:r>
        <w:rPr>
          <w:color w:val="101A13"/>
          <w:sz w:val="22"/>
          <w:szCs w:val="22"/>
        </w:rPr>
        <w:t xml:space="preserve">Material and system choices that reduce waste, emissions, and long-term operating expense.</w:t>
      </w:r>
    </w:p>
    <w:p>
      <w:pPr>
        <w:spacing w:after="40" w:before="160"/>
      </w:pPr>
      <w:r>
        <w:rPr>
          <w:b/>
          <w:bCs/>
          <w:caps/>
          <w:color w:val="4A594F"/>
          <w:sz w:val="18"/>
          <w:szCs w:val="18"/>
        </w:rPr>
        <w:t xml:space="preserve">Commitment 04 — Future-ready compliance</w:t>
      </w:r>
    </w:p>
    <w:p>
      <w:pPr>
        <w:pBdr>
          <w:left w:val="single" w:color="1B4A32" w:sz="12"/>
        </w:pBdr>
        <w:shd w:fill="F0F6F2" w:val="clear"/>
        <w:spacing w:after="140"/>
        <w:ind w:left="240" w:right="240"/>
      </w:pPr>
      <w:r>
        <w:rPr>
          <w:color w:val="101A13"/>
          <w:sz w:val="22"/>
          <w:szCs w:val="22"/>
        </w:rPr>
        <w:t xml:space="preserve">Designs that meet today's codes and anticipate tomorrow's environmental standards.</w:t>
      </w:r>
    </w:p>
    <w:p>
      <w:pPr>
        <w:pStyle w:val="Heading2"/>
        <w:spacing w:after="160" w:before="280"/>
      </w:pPr>
      <w:r>
        <w:rPr>
          <w:b/>
          <w:bCs/>
          <w:color w:val="1B4A32"/>
          <w:sz w:val="26"/>
          <w:szCs w:val="26"/>
        </w:rPr>
        <w:t xml:space="preserve">4.7 How We Deliver (four steps)</w:t>
      </w:r>
    </w:p>
    <w:p>
      <w:pPr>
        <w:spacing w:after="40" w:before="160"/>
      </w:pPr>
      <w:r>
        <w:rPr>
          <w:b/>
          <w:bCs/>
          <w:caps/>
          <w:color w:val="4A594F"/>
          <w:sz w:val="18"/>
          <w:szCs w:val="18"/>
        </w:rPr>
        <w:t xml:space="preserve">Label</w:t>
      </w:r>
    </w:p>
    <w:p>
      <w:pPr>
        <w:pBdr>
          <w:left w:val="single" w:color="1B4A32" w:sz="12"/>
        </w:pBdr>
        <w:shd w:fill="F0F6F2" w:val="clear"/>
        <w:spacing w:after="140"/>
        <w:ind w:left="240" w:right="240"/>
      </w:pPr>
      <w:r>
        <w:rPr>
          <w:color w:val="101A13"/>
          <w:sz w:val="22"/>
          <w:szCs w:val="22"/>
        </w:rPr>
        <w:t xml:space="preserve">HOW WE DELIVER</w:t>
      </w:r>
    </w:p>
    <w:p>
      <w:pPr>
        <w:spacing w:after="40" w:before="160"/>
      </w:pPr>
      <w:r>
        <w:rPr>
          <w:b/>
          <w:bCs/>
          <w:caps/>
          <w:color w:val="4A594F"/>
          <w:sz w:val="18"/>
          <w:szCs w:val="18"/>
        </w:rPr>
        <w:t xml:space="preserve">Headline</w:t>
      </w:r>
    </w:p>
    <w:p>
      <w:pPr>
        <w:pBdr>
          <w:left w:val="single" w:color="1B4A32" w:sz="12"/>
        </w:pBdr>
        <w:shd w:fill="F0F6F2" w:val="clear"/>
        <w:spacing w:after="140"/>
        <w:ind w:left="240" w:right="240"/>
      </w:pPr>
      <w:r>
        <w:rPr>
          <w:color w:val="101A13"/>
          <w:sz w:val="22"/>
          <w:szCs w:val="22"/>
        </w:rPr>
        <w:t xml:space="preserve">A clear path from vision to reality.</w:t>
      </w:r>
    </w:p>
    <w:p>
      <w:pPr>
        <w:spacing w:after="40" w:before="160"/>
      </w:pPr>
      <w:r>
        <w:rPr>
          <w:b/>
          <w:bCs/>
          <w:caps/>
          <w:color w:val="4A594F"/>
          <w:sz w:val="18"/>
          <w:szCs w:val="18"/>
        </w:rPr>
        <w:t xml:space="preserve">Step 01 — Listen &amp; define</w:t>
      </w:r>
    </w:p>
    <w:p>
      <w:pPr>
        <w:pBdr>
          <w:left w:val="single" w:color="1B4A32" w:sz="12"/>
        </w:pBdr>
        <w:shd w:fill="F0F6F2" w:val="clear"/>
        <w:spacing w:after="140"/>
        <w:ind w:left="240" w:right="240"/>
      </w:pPr>
      <w:r>
        <w:rPr>
          <w:color w:val="101A13"/>
          <w:sz w:val="22"/>
          <w:szCs w:val="22"/>
        </w:rPr>
        <w:t xml:space="preserve">We start with your goals, site, and budget — and define what success looks like, including sustainability targets.</w:t>
      </w:r>
    </w:p>
    <w:p>
      <w:pPr>
        <w:spacing w:after="40" w:before="160"/>
      </w:pPr>
      <w:r>
        <w:rPr>
          <w:b/>
          <w:bCs/>
          <w:caps/>
          <w:color w:val="4A594F"/>
          <w:sz w:val="18"/>
          <w:szCs w:val="18"/>
        </w:rPr>
        <w:t xml:space="preserve">Step 02 — Design &amp; integrate</w:t>
      </w:r>
    </w:p>
    <w:p>
      <w:pPr>
        <w:pBdr>
          <w:left w:val="single" w:color="1B4A32" w:sz="12"/>
        </w:pBdr>
        <w:shd w:fill="F0F6F2" w:val="clear"/>
        <w:spacing w:after="140"/>
        <w:ind w:left="240" w:right="240"/>
      </w:pPr>
      <w:r>
        <w:rPr>
          <w:color w:val="101A13"/>
          <w:sz w:val="22"/>
          <w:szCs w:val="22"/>
        </w:rPr>
        <w:t xml:space="preserve">Our disciplines design together, resolving conflicts early and optimizing for performance and cost.</w:t>
      </w:r>
    </w:p>
    <w:p>
      <w:pPr>
        <w:spacing w:after="40" w:before="160"/>
      </w:pPr>
      <w:r>
        <w:rPr>
          <w:b/>
          <w:bCs/>
          <w:caps/>
          <w:color w:val="4A594F"/>
          <w:sz w:val="18"/>
          <w:szCs w:val="18"/>
        </w:rPr>
        <w:t xml:space="preserve">Step 03 — Document &amp; approve</w:t>
      </w:r>
    </w:p>
    <w:p>
      <w:pPr>
        <w:pBdr>
          <w:left w:val="single" w:color="1B4A32" w:sz="12"/>
        </w:pBdr>
        <w:shd w:fill="F0F6F2" w:val="clear"/>
        <w:spacing w:after="140"/>
        <w:ind w:left="240" w:right="240"/>
      </w:pPr>
      <w:r>
        <w:rPr>
          <w:color w:val="101A13"/>
          <w:sz w:val="22"/>
          <w:szCs w:val="22"/>
        </w:rPr>
        <w:t xml:space="preserve">Complete, code-compliant drawings and specifications, ready for permitting and construction.</w:t>
      </w:r>
    </w:p>
    <w:p>
      <w:pPr>
        <w:spacing w:after="40" w:before="160"/>
      </w:pPr>
      <w:r>
        <w:rPr>
          <w:b/>
          <w:bCs/>
          <w:caps/>
          <w:color w:val="4A594F"/>
          <w:sz w:val="18"/>
          <w:szCs w:val="18"/>
        </w:rPr>
        <w:t xml:space="preserve">Step 04 — Support &amp; deliver</w:t>
      </w:r>
    </w:p>
    <w:p>
      <w:pPr>
        <w:pBdr>
          <w:left w:val="single" w:color="1B4A32" w:sz="12"/>
        </w:pBdr>
        <w:shd w:fill="F0F6F2" w:val="clear"/>
        <w:spacing w:after="140"/>
        <w:ind w:left="240" w:right="240"/>
      </w:pPr>
      <w:r>
        <w:rPr>
          <w:color w:val="101A13"/>
          <w:sz w:val="22"/>
          <w:szCs w:val="22"/>
        </w:rPr>
        <w:t xml:space="preserve">We stay engaged through construction — answering questions and protecting design intent to closeout.</w:t>
      </w:r>
    </w:p>
    <w:p>
      <w:pPr>
        <w:pStyle w:val="Heading2"/>
        <w:spacing w:after="160" w:before="280"/>
      </w:pPr>
      <w:r>
        <w:rPr>
          <w:b/>
          <w:bCs/>
          <w:color w:val="1B4A32"/>
          <w:sz w:val="26"/>
          <w:szCs w:val="26"/>
        </w:rPr>
        <w:t xml:space="preserve">4.8 Who We Work With</w:t>
      </w:r>
    </w:p>
    <w:p>
      <w:pPr>
        <w:spacing w:after="40" w:before="160"/>
      </w:pPr>
      <w:r>
        <w:rPr>
          <w:b/>
          <w:bCs/>
          <w:caps/>
          <w:color w:val="4A594F"/>
          <w:sz w:val="18"/>
          <w:szCs w:val="18"/>
        </w:rPr>
        <w:t xml:space="preserve">Label</w:t>
      </w:r>
    </w:p>
    <w:p>
      <w:pPr>
        <w:pBdr>
          <w:left w:val="single" w:color="1B4A32" w:sz="12"/>
        </w:pBdr>
        <w:shd w:fill="F0F6F2" w:val="clear"/>
        <w:spacing w:after="140"/>
        <w:ind w:left="240" w:right="240"/>
      </w:pPr>
      <w:r>
        <w:rPr>
          <w:color w:val="101A13"/>
          <w:sz w:val="22"/>
          <w:szCs w:val="22"/>
        </w:rPr>
        <w:t xml:space="preserve">WHO WE WORK WITH</w:t>
      </w:r>
    </w:p>
    <w:p>
      <w:pPr>
        <w:spacing w:after="40" w:before="160"/>
      </w:pPr>
      <w:r>
        <w:rPr>
          <w:b/>
          <w:bCs/>
          <w:caps/>
          <w:color w:val="4A594F"/>
          <w:sz w:val="18"/>
          <w:szCs w:val="18"/>
        </w:rPr>
        <w:t xml:space="preserve">Headline</w:t>
      </w:r>
    </w:p>
    <w:p>
      <w:pPr>
        <w:pBdr>
          <w:left w:val="single" w:color="1B4A32" w:sz="12"/>
        </w:pBdr>
        <w:shd w:fill="F0F6F2" w:val="clear"/>
        <w:spacing w:after="140"/>
        <w:ind w:left="240" w:right="240"/>
      </w:pPr>
      <w:r>
        <w:rPr>
          <w:color w:val="101A13"/>
          <w:sz w:val="22"/>
          <w:szCs w:val="22"/>
        </w:rPr>
        <w:t xml:space="preserve">A client's-eye view of every project.</w:t>
      </w:r>
    </w:p>
    <w:p>
      <w:pPr>
        <w:spacing w:after="40" w:before="160"/>
      </w:pPr>
      <w:r>
        <w:rPr>
          <w:b/>
          <w:bCs/>
          <w:caps/>
          <w:color w:val="4A594F"/>
          <w:sz w:val="18"/>
          <w:szCs w:val="18"/>
        </w:rPr>
        <w:t xml:space="preserve">Body</w:t>
      </w:r>
    </w:p>
    <w:p>
      <w:pPr>
        <w:pBdr>
          <w:left w:val="single" w:color="1B4A32" w:sz="12"/>
        </w:pBdr>
        <w:shd w:fill="F0F6F2" w:val="clear"/>
        <w:spacing w:after="140"/>
        <w:ind w:left="240" w:right="240"/>
      </w:pPr>
      <w:r>
        <w:rPr>
          <w:color w:val="101A13"/>
          <w:sz w:val="22"/>
          <w:szCs w:val="22"/>
        </w:rPr>
        <w:t xml:space="preserve">We plan and design around your goals — with the responsiveness and urgency of a firm that treats your schedule as its own.</w:t>
      </w:r>
    </w:p>
    <w:p>
      <w:pPr>
        <w:spacing w:after="40" w:before="160"/>
      </w:pPr>
      <w:r>
        <w:rPr>
          <w:b/>
          <w:bCs/>
          <w:caps/>
          <w:color w:val="4A594F"/>
          <w:sz w:val="18"/>
          <w:szCs w:val="18"/>
        </w:rPr>
        <w:t xml:space="preserve">Client chips (four)</w:t>
      </w:r>
    </w:p>
    <w:p>
      <w:pPr>
        <w:pBdr>
          <w:left w:val="single" w:color="1B4A32" w:sz="12"/>
        </w:pBdr>
        <w:shd w:fill="F0F6F2" w:val="clear"/>
        <w:spacing w:after="140"/>
        <w:ind w:left="240" w:right="240"/>
      </w:pPr>
      <w:r>
        <w:rPr>
          <w:color w:val="101A13"/>
          <w:sz w:val="22"/>
          <w:szCs w:val="22"/>
        </w:rPr>
        <w:t xml:space="preserve">General Contractors  •  Government &amp; Public Agencies  •  Developers  •  Commercial &amp; Private Organizations</w:t>
      </w:r>
    </w:p>
    <w:p>
      <w:pPr>
        <w:pStyle w:val="Heading2"/>
        <w:spacing w:after="160" w:before="280"/>
      </w:pPr>
      <w:r>
        <w:rPr>
          <w:b/>
          <w:bCs/>
          <w:color w:val="1B4A32"/>
          <w:sz w:val="26"/>
          <w:szCs w:val="26"/>
        </w:rPr>
        <w:t xml:space="preserve">4.9 Contact CTA</w:t>
      </w:r>
    </w:p>
    <w:p>
      <w:pPr>
        <w:spacing w:after="40" w:before="160"/>
      </w:pPr>
      <w:r>
        <w:rPr>
          <w:b/>
          <w:bCs/>
          <w:caps/>
          <w:color w:val="4A594F"/>
          <w:sz w:val="18"/>
          <w:szCs w:val="18"/>
        </w:rPr>
        <w:t xml:space="preserve">Label</w:t>
      </w:r>
    </w:p>
    <w:p>
      <w:pPr>
        <w:pBdr>
          <w:left w:val="single" w:color="1B4A32" w:sz="12"/>
        </w:pBdr>
        <w:shd w:fill="F0F6F2" w:val="clear"/>
        <w:spacing w:after="140"/>
        <w:ind w:left="240" w:right="240"/>
      </w:pPr>
      <w:r>
        <w:rPr>
          <w:color w:val="101A13"/>
          <w:sz w:val="22"/>
          <w:szCs w:val="22"/>
        </w:rPr>
        <w:t xml:space="preserve">START THE CONVERSATION</w:t>
      </w:r>
    </w:p>
    <w:p>
      <w:pPr>
        <w:spacing w:after="40" w:before="160"/>
      </w:pPr>
      <w:r>
        <w:rPr>
          <w:b/>
          <w:bCs/>
          <w:caps/>
          <w:color w:val="4A594F"/>
          <w:sz w:val="18"/>
          <w:szCs w:val="18"/>
        </w:rPr>
        <w:t xml:space="preserve">Headline</w:t>
      </w:r>
    </w:p>
    <w:p>
      <w:pPr>
        <w:pBdr>
          <w:left w:val="single" w:color="1B4A32" w:sz="12"/>
        </w:pBdr>
        <w:shd w:fill="F0F6F2" w:val="clear"/>
        <w:spacing w:after="140"/>
        <w:ind w:left="240" w:right="240"/>
      </w:pPr>
      <w:r>
        <w:rPr>
          <w:color w:val="101A13"/>
          <w:sz w:val="22"/>
          <w:szCs w:val="22"/>
        </w:rPr>
        <w:t xml:space="preserve">Let's engineer your next project — the sustainable way.</w:t>
      </w:r>
    </w:p>
    <w:p>
      <w:pPr>
        <w:spacing w:after="40" w:before="160"/>
      </w:pPr>
      <w:r>
        <w:rPr>
          <w:b/>
          <w:bCs/>
          <w:caps/>
          <w:color w:val="4A594F"/>
          <w:sz w:val="18"/>
          <w:szCs w:val="18"/>
        </w:rPr>
        <w:t xml:space="preserve">Body</w:t>
      </w:r>
    </w:p>
    <w:p>
      <w:pPr>
        <w:pBdr>
          <w:left w:val="single" w:color="1B4A32" w:sz="12"/>
        </w:pBdr>
        <w:shd w:fill="F0F6F2" w:val="clear"/>
        <w:spacing w:after="140"/>
        <w:ind w:left="240" w:right="240"/>
      </w:pPr>
      <w:r>
        <w:rPr>
          <w:color w:val="101A13"/>
          <w:sz w:val="22"/>
          <w:szCs w:val="22"/>
        </w:rPr>
        <w:t xml:space="preserve">Tell us about the scope, the site, and the schedule. We'll bring the integrated team and a plan to deliver it right the first time.</w:t>
      </w:r>
    </w:p>
    <w:p>
      <w:pPr>
        <w:spacing w:after="40" w:before="160"/>
      </w:pPr>
      <w:r>
        <w:rPr>
          <w:b/>
          <w:bCs/>
          <w:caps/>
          <w:color w:val="4A594F"/>
          <w:sz w:val="18"/>
          <w:szCs w:val="18"/>
        </w:rPr>
        <w:t xml:space="preserve">CTA button</w:t>
      </w:r>
    </w:p>
    <w:p>
      <w:pPr>
        <w:pBdr>
          <w:left w:val="single" w:color="1B4A32" w:sz="12"/>
        </w:pBdr>
        <w:shd w:fill="F0F6F2" w:val="clear"/>
        <w:spacing w:after="140"/>
        <w:ind w:left="240" w:right="240"/>
      </w:pPr>
      <w:r>
        <w:rPr>
          <w:color w:val="101A13"/>
          <w:sz w:val="22"/>
          <w:szCs w:val="22"/>
        </w:rPr>
        <w:t xml:space="preserve">Email us → (opens mailto: info@greenrockeng.com)</w:t>
      </w:r>
    </w:p>
    <w:p>
      <w:pPr>
        <w:spacing w:after="40" w:before="160"/>
      </w:pPr>
      <w:r>
        <w:rPr>
          <w:b/>
          <w:bCs/>
          <w:caps/>
          <w:color w:val="4A594F"/>
          <w:sz w:val="18"/>
          <w:szCs w:val="18"/>
        </w:rPr>
        <w:t xml:space="preserve">Contact card</w:t>
      </w:r>
    </w:p>
    <w:p>
      <w:pPr>
        <w:pBdr>
          <w:left w:val="single" w:color="1B4A32" w:sz="12"/>
        </w:pBdr>
        <w:shd w:fill="F0F6F2" w:val="clear"/>
        <w:spacing w:after="140"/>
        <w:ind w:left="240" w:right="240"/>
      </w:pPr>
      <w:r>
        <w:rPr>
          <w:color w:val="101A13"/>
          <w:sz w:val="22"/>
          <w:szCs w:val="22"/>
        </w:rPr>
        <w:t xml:space="preserve">Email: info@greenrockeng.com  •  Phone: (949) 771-4943  •  Web: greenrockeng.com  •  Proposals: Open to project bids &amp; RFPs</w:t>
      </w:r>
    </w:p>
    <w:p>
      <w:pPr>
        <w:pStyle w:val="Heading2"/>
        <w:spacing w:after="160" w:before="280"/>
      </w:pPr>
      <w:r>
        <w:rPr>
          <w:b/>
          <w:bCs/>
          <w:color w:val="1B4A32"/>
          <w:sz w:val="26"/>
          <w:szCs w:val="26"/>
        </w:rPr>
        <w:t xml:space="preserve">4.10 Footer</w:t>
      </w:r>
    </w:p>
    <w:p>
      <w:pPr>
        <w:spacing w:after="40" w:before="160"/>
      </w:pPr>
      <w:r>
        <w:rPr>
          <w:b/>
          <w:bCs/>
          <w:caps/>
          <w:color w:val="4A594F"/>
          <w:sz w:val="18"/>
          <w:szCs w:val="18"/>
        </w:rPr>
        <w:t xml:space="preserve">Brand blurb</w:t>
      </w:r>
    </w:p>
    <w:p>
      <w:pPr>
        <w:pBdr>
          <w:left w:val="single" w:color="1B4A32" w:sz="12"/>
        </w:pBdr>
        <w:shd w:fill="F0F6F2" w:val="clear"/>
        <w:spacing w:after="140"/>
        <w:ind w:left="240" w:right="240"/>
      </w:pPr>
      <w:r>
        <w:rPr>
          <w:color w:val="101A13"/>
          <w:sz w:val="22"/>
          <w:szCs w:val="22"/>
        </w:rPr>
        <w:t xml:space="preserve">Sustainable engineering and design consulting — architecture, civil, structural, electrical, mechanical, and design services under one roof.</w:t>
      </w:r>
    </w:p>
    <w:p>
      <w:pPr>
        <w:spacing w:after="40" w:before="160"/>
      </w:pPr>
      <w:r>
        <w:rPr>
          <w:b/>
          <w:bCs/>
          <w:caps/>
          <w:color w:val="4A594F"/>
          <w:sz w:val="18"/>
          <w:szCs w:val="18"/>
        </w:rPr>
        <w:t xml:space="preserve">Column: Expertise</w:t>
      </w:r>
    </w:p>
    <w:p>
      <w:pPr>
        <w:pBdr>
          <w:left w:val="single" w:color="1B4A32" w:sz="12"/>
        </w:pBdr>
        <w:shd w:fill="F0F6F2" w:val="clear"/>
        <w:spacing w:after="140"/>
        <w:ind w:left="240" w:right="240"/>
      </w:pPr>
      <w:r>
        <w:rPr>
          <w:color w:val="101A13"/>
          <w:sz w:val="22"/>
          <w:szCs w:val="22"/>
        </w:rPr>
        <w:t xml:space="preserve">Architecture  •  Civil Engineering  •  Structural Engineering  •  Electrical Engineering  •  Mechanical Engineering  •  Design Services</w:t>
      </w:r>
    </w:p>
    <w:p>
      <w:pPr>
        <w:spacing w:after="40" w:before="160"/>
      </w:pPr>
      <w:r>
        <w:rPr>
          <w:b/>
          <w:bCs/>
          <w:caps/>
          <w:color w:val="4A594F"/>
          <w:sz w:val="18"/>
          <w:szCs w:val="18"/>
        </w:rPr>
        <w:t xml:space="preserve">Column: Sectors</w:t>
      </w:r>
    </w:p>
    <w:p>
      <w:pPr>
        <w:pBdr>
          <w:left w:val="single" w:color="1B4A32" w:sz="12"/>
        </w:pBdr>
        <w:shd w:fill="F0F6F2" w:val="clear"/>
        <w:spacing w:after="140"/>
        <w:ind w:left="240" w:right="240"/>
      </w:pPr>
      <w:r>
        <w:rPr>
          <w:color w:val="101A13"/>
          <w:sz w:val="22"/>
          <w:szCs w:val="22"/>
        </w:rPr>
        <w:t xml:space="preserve">Data Centers  •  Warehouses &amp; Distribution  •  Industrial &amp; Manufacturing  •  Healthcare  •  Laboratories &amp; R&amp;D  •  Commercial &amp; Office</w:t>
      </w:r>
    </w:p>
    <w:p>
      <w:pPr>
        <w:spacing w:after="40" w:before="160"/>
      </w:pPr>
      <w:r>
        <w:rPr>
          <w:b/>
          <w:bCs/>
          <w:caps/>
          <w:color w:val="4A594F"/>
          <w:sz w:val="18"/>
          <w:szCs w:val="18"/>
        </w:rPr>
        <w:t xml:space="preserve">Column: Contact</w:t>
      </w:r>
    </w:p>
    <w:p>
      <w:pPr>
        <w:pBdr>
          <w:left w:val="single" w:color="1B4A32" w:sz="12"/>
        </w:pBdr>
        <w:shd w:fill="F0F6F2" w:val="clear"/>
        <w:spacing w:after="140"/>
        <w:ind w:left="240" w:right="240"/>
      </w:pPr>
      <w:r>
        <w:rPr>
          <w:color w:val="101A13"/>
          <w:sz w:val="22"/>
          <w:szCs w:val="22"/>
        </w:rPr>
        <w:t xml:space="preserve">info@greenrockeng.com  •  (949) 771-4943  •  greenrockeng.com</w:t>
      </w:r>
    </w:p>
    <w:p>
      <w:pPr>
        <w:spacing w:after="40" w:before="160"/>
      </w:pPr>
      <w:r>
        <w:rPr>
          <w:b/>
          <w:bCs/>
          <w:caps/>
          <w:color w:val="4A594F"/>
          <w:sz w:val="18"/>
          <w:szCs w:val="18"/>
        </w:rPr>
        <w:t xml:space="preserve">Bottom bar</w:t>
      </w:r>
    </w:p>
    <w:p>
      <w:pPr>
        <w:pBdr>
          <w:left w:val="single" w:color="1B4A32" w:sz="12"/>
        </w:pBdr>
        <w:shd w:fill="F0F6F2" w:val="clear"/>
        <w:spacing w:after="140"/>
        <w:ind w:left="240" w:right="240"/>
      </w:pPr>
      <w:r>
        <w:rPr>
          <w:color w:val="101A13"/>
          <w:sz w:val="22"/>
          <w:szCs w:val="22"/>
        </w:rPr>
        <w:t xml:space="preserve">© [current year] Greenrock Engineering and Design Services. All rights reserved.  |  Engineering a sustainable built environment.</w:t>
      </w:r>
    </w:p>
    <w:p>
      <w:pPr>
        <w:pStyle w:val="Heading1"/>
        <w:spacing w:after="200" w:before="360"/>
      </w:pPr>
      <w:r>
        <w:rPr>
          <w:b/>
          <w:bCs/>
          <w:color w:val="1B4A32"/>
          <w:sz w:val="32"/>
          <w:szCs w:val="32"/>
        </w:rPr>
        <w:t xml:space="preserve">5. Recommended Phase-Two Additions</w:t>
      </w:r>
    </w:p>
    <w:p>
      <w:pPr>
        <w:pStyle w:val="ListParagraph"/>
        <w:numPr>
          <w:ilvl w:val="0"/>
          <w:numId w:val="2"/>
        </w:numPr>
        <w:spacing w:after="100"/>
      </w:pPr>
      <w:r>
        <w:rPr>
          <w:sz w:val="22"/>
          <w:szCs w:val="22"/>
        </w:rPr>
        <w:t xml:space="preserve">Contact form (name, email, phone, project type, message) alongside the mailto button.</w:t>
      </w:r>
    </w:p>
    <w:p>
      <w:pPr>
        <w:pStyle w:val="ListParagraph"/>
        <w:numPr>
          <w:ilvl w:val="0"/>
          <w:numId w:val="2"/>
        </w:numPr>
        <w:spacing w:after="100"/>
      </w:pPr>
      <w:r>
        <w:rPr>
          <w:sz w:val="22"/>
          <w:szCs w:val="22"/>
        </w:rPr>
        <w:t xml:space="preserve">Projects page with real photography and short case studies as work completes — the single biggest credibility gap vs. the reference firms.</w:t>
      </w:r>
    </w:p>
    <w:p>
      <w:pPr>
        <w:pStyle w:val="ListParagraph"/>
        <w:numPr>
          <w:ilvl w:val="0"/>
          <w:numId w:val="2"/>
        </w:numPr>
        <w:spacing w:after="100"/>
      </w:pPr>
      <w:r>
        <w:rPr>
          <w:sz w:val="22"/>
          <w:szCs w:val="22"/>
        </w:rPr>
        <w:t xml:space="preserve">Client testimonials, added only from real clients (Kimley-Horn features these prominently).</w:t>
      </w:r>
    </w:p>
    <w:p>
      <w:pPr>
        <w:pStyle w:val="ListParagraph"/>
        <w:numPr>
          <w:ilvl w:val="0"/>
          <w:numId w:val="2"/>
        </w:numPr>
        <w:spacing w:after="100"/>
      </w:pPr>
      <w:r>
        <w:rPr>
          <w:sz w:val="22"/>
          <w:szCs w:val="22"/>
        </w:rPr>
        <w:t xml:space="preserve">Team page with leadership bios and credentials (licenses and P.E. stamps where applicable).</w:t>
      </w:r>
    </w:p>
    <w:p>
      <w:pPr>
        <w:pStyle w:val="ListParagraph"/>
        <w:numPr>
          <w:ilvl w:val="0"/>
          <w:numId w:val="2"/>
        </w:numPr>
        <w:spacing w:after="100"/>
      </w:pPr>
      <w:r>
        <w:rPr>
          <w:sz w:val="22"/>
          <w:szCs w:val="22"/>
        </w:rPr>
        <w:t xml:space="preserve">Individual expertise and sector pages for SEO on service-specific searches.</w:t>
      </w:r>
    </w:p>
    <w:p>
      <w:pPr>
        <w:pStyle w:val="ListParagraph"/>
        <w:numPr>
          <w:ilvl w:val="0"/>
          <w:numId w:val="2"/>
        </w:numPr>
        <w:spacing w:after="100"/>
      </w:pPr>
      <w:r>
        <w:rPr>
          <w:sz w:val="22"/>
          <w:szCs w:val="22"/>
        </w:rPr>
        <w:t xml:space="preserve">Insights/news section once there is content to publish (all five reference firms maintain one).</w:t>
      </w:r>
    </w:p>
    <w:p>
      <w:pPr>
        <w:pStyle w:val="ListParagraph"/>
        <w:numPr>
          <w:ilvl w:val="0"/>
          <w:numId w:val="2"/>
        </w:numPr>
        <w:spacing w:after="100"/>
      </w:pPr>
      <w:r>
        <w:rPr>
          <w:sz w:val="22"/>
          <w:szCs w:val="22"/>
        </w:rPr>
        <w:t xml:space="preserve">LinkedIn company page and Google Business Profile linked from the footer.</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2026-07-17T04:05:07.208Z</dcterms:created>
  <dcterms:modified xsi:type="dcterms:W3CDTF">2026-07-17T04:05:07.224Z</dcterms:modified>
</cp:coreProperties>
</file>

<file path=docProps/custom.xml><?xml version="1.0" encoding="utf-8"?>
<Properties xmlns="http://schemas.openxmlformats.org/officeDocument/2006/custom-properties" xmlns:vt="http://schemas.openxmlformats.org/officeDocument/2006/docPropsVTypes"/>
</file>