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34"/>
        </w:rPr>
        <w:t>Sanctions &amp; Network-Risk Profile of a 50-Entity Watchlist</w:t>
      </w:r>
    </w:p>
    <w:p>
      <w:pPr>
        <w:spacing w:after="40"/>
      </w:pPr>
      <w:r>
        <w:rPr>
          <w:color w:val="7F8C8D"/>
          <w:sz w:val="21"/>
        </w:rPr>
        <w:t>Sayari Forward Deployed Engineer — Technical Exercise (Scenario 2: Analytics Report)</w:t>
      </w:r>
    </w:p>
    <w:p>
      <w:pPr>
        <w:spacing w:after="160"/>
        <w:pBdr>
          <w:bottom w:val="single" w:sz="6" w:space="1" w:color="2E75B6"/>
        </w:pBdr>
      </w:pPr>
      <w:r>
        <w:rPr>
          <w:color w:val="7F8C8D"/>
          <w:sz w:val="19"/>
        </w:rPr>
        <w:t>Peter Nemrow  ·  May 2026  ·  Dataset: list_1 (50 high-risk / state-owned entities)</w:t>
      </w:r>
    </w:p>
    <w:p>
      <w:pPr>
        <w:spacing w:before="200" w:after="60"/>
      </w:pPr>
      <w:r>
        <w:rPr>
          <w:b/>
          <w:color w:val="1F3A5F"/>
          <w:sz w:val="26"/>
        </w:rPr>
        <w:t>Headline findings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98% coverage, overwhelmingly sanctioned: </w:t>
      </w:r>
      <w:r>
        <w:rPr>
          <w:b w:val="0"/>
          <w:sz w:val="21"/>
        </w:rPr>
        <w:t>49 of 50 entities resolved to the Sayari Knowledge Graph; 45 of those (92%) are currently sanctioned, and 0 are PEPs (the list is 100% corporate entities, so PEP — a person-level flag — is expected to be zero).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The list looks Russian; the risk is global: </w:t>
      </w:r>
      <w:r>
        <w:rPr>
          <w:b w:val="0"/>
          <w:sz w:val="21"/>
        </w:rPr>
        <w:t>HQs cluster in Russia (36) and Belarus (4), but Sayari surfaces network exposure across 50+ jurisdictions — including offshore holding hubs (Cyprus 10, Netherlands 6, Luxembourg, Ireland, Malta) and major Western economies (USA 14, Germany 7). That hidden reach is invisible to a name-only screen.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Risk is multi-regime and ownership-deep: </w:t>
      </w:r>
      <w:r>
        <w:rPr>
          <w:b w:val="0"/>
          <w:sz w:val="21"/>
        </w:rPr>
        <w:t>Entities appear on OFAC SDN (35), EU (35), Canadian (36), Swiss (34), UK, Japanese, Australian and NZ lists simultaneously; 30+ are tied through ownership or control to other sanctioned entities (OFAC/EU 50% rule) — the second-order exposure that drives most compliance failures.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Every number is verifiable: </w:t>
      </w:r>
      <w:r>
        <w:rPr>
          <w:b w:val="0"/>
          <w:sz w:val="21"/>
        </w:rPr>
        <w:t>the pipeline stores the raw API response behind each figure, so any claim here can be traced to its source field — no model guesswork.</w:t>
      </w:r>
    </w:p>
    <w:p>
      <w:pPr>
        <w:spacing w:before="200" w:after="60"/>
      </w:pPr>
      <w:r>
        <w:rPr>
          <w:b/>
          <w:color w:val="1F3A5F"/>
          <w:sz w:val="26"/>
        </w:rPr>
        <w:t>Approach</w:t>
      </w:r>
    </w:p>
    <w:p>
      <w:pPr>
        <w:spacing w:after="120" w:line="259" w:lineRule="auto"/>
      </w:pPr>
      <w:r>
        <w:rPr>
          <w:sz w:val="21"/>
        </w:rPr>
        <w:t>I built a small, deterministic Python pipeline (no LLM in the loop, so it is fully reproducible) on top of the official Sayari SDK. For each row it runs the documented best-practice flow: resolution to find the best-match entity ID, then get_entity for the full profile, then deterministic aggregation. Each raw resolution and entity response is saved to disk as an audit trail, and a resolution log records which input matched which entity and how confidently. The same input always produces the same output — the property that makes the report defensible.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91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regi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F3A5F"/>
          <w:sz w:val="26"/>
        </w:rPr>
        <w:t>Assumptions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Dataset: </w:t>
      </w:r>
      <w:r>
        <w:rPr>
          <w:b w:val="0"/>
          <w:sz w:val="21"/>
        </w:rPr>
        <w:t>used list_1 as the highest-signal set for a risk narrative. The pipeline is list-agnostic and runs on list_2/3 unchanged.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Resolution: </w:t>
      </w:r>
      <w:r>
        <w:rPr>
          <w:b w:val="0"/>
          <w:sz w:val="21"/>
        </w:rPr>
        <w:t>accepted Sayari's best match as canonical, but verified marquee entities by relationship degree and pinned 3 confirmed parent IDs (see Challenges).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Geography: </w:t>
      </w:r>
      <w:r>
        <w:rPr>
          <w:b w:val="0"/>
          <w:sz w:val="21"/>
        </w:rPr>
        <w:t>“HQ” is taken from the input list's country column; “exposure” is the set of countries linked to each entity in the graph — two different, complementary views.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Point-in-time: </w:t>
      </w:r>
      <w:r>
        <w:rPr>
          <w:b w:val="0"/>
          <w:sz w:val="21"/>
        </w:rPr>
        <w:t>sanctions status reflects the API at run time (May 2026); designations change, so the report is a snapshot.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expos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F3A5F"/>
          <w:sz w:val="26"/>
        </w:rPr>
        <w:t>Challenges encountered &amp; how I addressed them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Entity resolution is the make-or-break step. </w:t>
      </w:r>
      <w:r>
        <w:rPr>
          <w:b w:val="0"/>
          <w:sz w:val="21"/>
        </w:rPr>
        <w:t>Matching on the supplied street addresses surfaced subsidiaries over parents — “Sberbank” resolved to a back-office LLC (780 relationships) instead of PJSC Sberbank (59,632), and “VTB Bank” to VTB Capital Holdings instead of the bank itself. I caught these with a resolution audit log plus a name-mismatch flag (using unidecode transliteration and Sayari's translated_label to compare across Latin/Cyrillic), then verified candidates by relationship degree and pinned 3 confirmed parent IDs. The override is logged, so it stays auditable.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Messy input names broke resolution. </w:t>
      </w:r>
      <w:r>
        <w:rPr>
          <w:b w:val="0"/>
          <w:sz w:val="21"/>
        </w:rPr>
        <w:t>“Venezuelan State-Owned Oil Company (PDVSA)” and “VEB.RF” returned no match. Adding name-normalization and alternate-name retries lifted resolution from 92% to 98%.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Honest gaps, not silent ones. </w:t>
      </w:r>
      <w:r>
        <w:rPr>
          <w:b w:val="0"/>
          <w:sz w:val="21"/>
        </w:rPr>
        <w:t>One entity (Belnauchcompositit) did not resolve, and one (Cubametales) matched a different Cuban company; both are flagged and excluded from the counts rather than quietly included.</w:t>
      </w:r>
    </w:p>
    <w:p>
      <w:pPr>
        <w:pStyle w:val="ListBullet"/>
        <w:spacing w:after="40" w:line="252" w:lineRule="auto"/>
      </w:pPr>
      <w:r>
        <w:rPr>
          <w:b/>
          <w:sz w:val="21"/>
        </w:rPr>
        <w:t xml:space="preserve">Schema discovery. </w:t>
      </w:r>
      <w:r>
        <w:rPr>
          <w:b w:val="0"/>
          <w:sz w:val="21"/>
        </w:rPr>
        <w:t>I confirmed field shapes against live responses — risk values are objects with value/level, and the resolution score is a raw relevance float, not a 0–1 probability — rather than trusting the docs.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42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he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F3A5F"/>
          <w:sz w:val="26"/>
        </w:rPr>
        <w:t>How this demonstrates the value of Sayari data</w:t>
      </w:r>
    </w:p>
    <w:p>
      <w:pPr>
        <w:spacing w:after="120" w:line="259" w:lineRule="auto"/>
      </w:pPr>
      <w:r>
        <w:rPr>
          <w:sz w:val="21"/>
        </w:rPr>
        <w:t>A compliance or procurement team can take a flat list of counterparties and, in minutes, get a defensible risk picture that a name-only sanctions screen cannot produce: simultaneous coverage across ten sanctions regimes, ownership-network exposure under the OFAC/EU 50% rule, hidden footprint through offshore and Western jurisdictions, and forced-labor / CMIC flags on Chinese suppliers. The decisive differentiator is not just breadth of data — it is that the output is traceable and reproducible, which is what survives an audit or a regulator's question. That trustworthiness is the real product.</w:t>
      </w:r>
    </w:p>
    <w:p>
      <w:pPr>
        <w:spacing w:before="120" w:after="60"/>
      </w:pPr>
      <w:r>
        <w:rPr>
          <w:b/>
          <w:color w:val="7F8C8D"/>
          <w:sz w:val="24"/>
        </w:rPr>
        <w:t>With more time</w:t>
      </w:r>
    </w:p>
    <w:p>
      <w:pPr>
        <w:spacing w:after="40" w:line="259" w:lineRule="auto"/>
      </w:pPr>
      <w:r>
        <w:rPr>
          <w:sz w:val="21"/>
        </w:rPr>
        <w:t>Layer the interactive front-end (an analyst chat/upload experience) on top of this deterministic engine rather than in place of it; add UBO/ownership-chain traversal to render the full networks behind the 50%-rule flags; automate the parent-preference resolution heuristic; and enrich each designation with the underlying sanctions-list record (a Scenario 1 crossover).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