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3F53" w:rsidRDefault="00AC3B8F">
      <w:pPr>
        <w:rPr>
          <w:b/>
          <w:u w:val="single"/>
        </w:rPr>
      </w:pPr>
      <w:r>
        <w:rPr>
          <w:b/>
          <w:u w:val="single"/>
        </w:rPr>
        <w:t>Allan juma on -----------probate and administration.</w:t>
      </w:r>
    </w:p>
    <w:p w:rsidR="004B0521" w:rsidRPr="00EA4BB3" w:rsidRDefault="00EA4BB3">
      <w:pPr>
        <w:rPr>
          <w:b/>
          <w:u w:val="single"/>
        </w:rPr>
      </w:pPr>
      <w:r w:rsidRPr="00EA4BB3">
        <w:rPr>
          <w:b/>
          <w:u w:val="single"/>
        </w:rPr>
        <w:t>CAPACITY TO MAKE A WILL IN RELATION TO MR SIGMA MY OLD CLIENT.</w:t>
      </w:r>
    </w:p>
    <w:p w:rsidR="00EA4BB3" w:rsidRDefault="000C1995">
      <w:r>
        <w:t>As a matter of fact,</w:t>
      </w:r>
      <w:r w:rsidR="00EA4BB3">
        <w:t xml:space="preserve"> infants and persons of unsound mind are incapable of making a valid will. Section 5(1) of the law </w:t>
      </w:r>
      <w:r>
        <w:t>of succession Act stipulates that ‘any person is capable of making a will so long as he</w:t>
      </w:r>
      <w:r w:rsidR="00944D2E">
        <w:t xml:space="preserve"> or she</w:t>
      </w:r>
      <w:r>
        <w:t xml:space="preserve"> is of sound mind and not a minor</w:t>
      </w:r>
      <w:r w:rsidR="00944D2E">
        <w:t>’</w:t>
      </w:r>
      <w:r w:rsidR="009208F6">
        <w:rPr>
          <w:rStyle w:val="FootnoteReference"/>
        </w:rPr>
        <w:footnoteReference w:id="2"/>
      </w:r>
      <w:r>
        <w:t xml:space="preserve">. </w:t>
      </w:r>
    </w:p>
    <w:p w:rsidR="000C1995" w:rsidRDefault="000C1995">
      <w:r>
        <w:t>In relation to mental or testamentary capacity persons of unsound mind are incapacitated from making a will, although this does not mean that such persons are destined to die intestate</w:t>
      </w:r>
      <w:r w:rsidR="009208F6">
        <w:rPr>
          <w:rStyle w:val="FootnoteReference"/>
        </w:rPr>
        <w:footnoteReference w:id="3"/>
      </w:r>
      <w:r>
        <w:t>.</w:t>
      </w:r>
      <w:r w:rsidR="00944D2E">
        <w:t xml:space="preserve"> If such a person makes a will before his mind becomes afflicted or makes it during a lucid interval such a will is valid.</w:t>
      </w:r>
    </w:p>
    <w:p w:rsidR="00825E40" w:rsidRDefault="0097340C">
      <w:r>
        <w:t>In relation to the mat</w:t>
      </w:r>
      <w:r w:rsidR="00773CC1">
        <w:t xml:space="preserve">ter at hand, </w:t>
      </w:r>
      <w:r w:rsidR="00272404">
        <w:t>Mr.</w:t>
      </w:r>
      <w:r w:rsidR="00773CC1">
        <w:t xml:space="preserve"> Sigma’s state of mind is to be examined and a finding reached as to whether he had capacity at the time of making the will in question. </w:t>
      </w:r>
      <w:r w:rsidR="00343320">
        <w:t>Mr.</w:t>
      </w:r>
      <w:r w:rsidR="00CA10CF">
        <w:t xml:space="preserve"> Sigma had delusions that, mole his old enemy who died in 2012 molested him on daily basis. He further stated that evil spirits pursued him, and hence he believed that he was about to die and yet did not wish to die intestate.</w:t>
      </w:r>
      <w:r w:rsidR="001D08FD">
        <w:t xml:space="preserve"> In the case of </w:t>
      </w:r>
      <w:r w:rsidR="001D08FD" w:rsidRPr="009208F6">
        <w:rPr>
          <w:b/>
          <w:i/>
        </w:rPr>
        <w:t>Dew v Clerk</w:t>
      </w:r>
      <w:r w:rsidR="00041443">
        <w:rPr>
          <w:rStyle w:val="FootnoteReference"/>
          <w:b/>
          <w:i/>
        </w:rPr>
        <w:footnoteReference w:id="4"/>
      </w:r>
      <w:r w:rsidR="001D08FD">
        <w:t xml:space="preserve">, it was explained that a person suffers from an insane delusion if he holds a belief of a particular matter which no rational person could hold, and the belief cannot be eradicated </w:t>
      </w:r>
      <w:r w:rsidR="00B4672E">
        <w:t>from his mind by reasoning with him. However it was concluded that an insane delusion will only affect the testator’s capacity to make a will if in some way affects the way he disposes his property.</w:t>
      </w:r>
    </w:p>
    <w:p w:rsidR="00272404" w:rsidRPr="009208F6" w:rsidRDefault="00343320">
      <w:pPr>
        <w:rPr>
          <w:b/>
        </w:rPr>
      </w:pPr>
      <w:r>
        <w:t xml:space="preserve">It is evident that Mr. Sigma was laboring under insane delusions; however it is not necessarily fatal to the validity of a will so long as the delusions leave the testator’s power of understanding unimpaired. The test of mental capacity to make a will is not directly linked to mental disorder, but to the testator’s capacity to understand the nature of will making. The test was established by </w:t>
      </w:r>
      <w:r w:rsidR="00272404" w:rsidRPr="009208F6">
        <w:rPr>
          <w:b/>
        </w:rPr>
        <w:t xml:space="preserve">Cockburn CJ in the case of </w:t>
      </w:r>
      <w:r w:rsidR="00272404" w:rsidRPr="009208F6">
        <w:rPr>
          <w:b/>
          <w:i/>
        </w:rPr>
        <w:t>Banks v Good fellow</w:t>
      </w:r>
      <w:r w:rsidR="00272404" w:rsidRPr="009208F6">
        <w:rPr>
          <w:b/>
        </w:rPr>
        <w:t xml:space="preserve"> to constitute three important elements;</w:t>
      </w:r>
      <w:r w:rsidR="00041443">
        <w:rPr>
          <w:rStyle w:val="FootnoteReference"/>
          <w:b/>
        </w:rPr>
        <w:footnoteReference w:id="5"/>
      </w:r>
    </w:p>
    <w:p w:rsidR="00272404" w:rsidRPr="009208F6" w:rsidRDefault="00272404" w:rsidP="00272404">
      <w:pPr>
        <w:pStyle w:val="ListParagraph"/>
        <w:numPr>
          <w:ilvl w:val="0"/>
          <w:numId w:val="1"/>
        </w:numPr>
        <w:rPr>
          <w:b/>
        </w:rPr>
      </w:pPr>
      <w:r w:rsidRPr="009208F6">
        <w:rPr>
          <w:b/>
        </w:rPr>
        <w:t>That the testator must have a sound mind enabling him to understand the nature of the act of making a will and its effects.</w:t>
      </w:r>
    </w:p>
    <w:p w:rsidR="00272404" w:rsidRPr="009208F6" w:rsidRDefault="00272404" w:rsidP="00272404">
      <w:pPr>
        <w:pStyle w:val="ListParagraph"/>
        <w:numPr>
          <w:ilvl w:val="0"/>
          <w:numId w:val="1"/>
        </w:numPr>
        <w:rPr>
          <w:b/>
        </w:rPr>
      </w:pPr>
      <w:r w:rsidRPr="009208F6">
        <w:rPr>
          <w:b/>
        </w:rPr>
        <w:t>That he/she must have a sound memory enabling him to have a recollection of the property which he is disposing.</w:t>
      </w:r>
    </w:p>
    <w:p w:rsidR="00272404" w:rsidRPr="009208F6" w:rsidRDefault="00272404" w:rsidP="00272404">
      <w:pPr>
        <w:pStyle w:val="ListParagraph"/>
        <w:numPr>
          <w:ilvl w:val="0"/>
          <w:numId w:val="1"/>
        </w:numPr>
        <w:rPr>
          <w:b/>
        </w:rPr>
      </w:pPr>
      <w:r w:rsidRPr="009208F6">
        <w:rPr>
          <w:b/>
        </w:rPr>
        <w:t>That he/she must have a sound understanding to appreciate the moral claims upon him.</w:t>
      </w:r>
    </w:p>
    <w:p w:rsidR="005D1EF1" w:rsidRDefault="005D1EF1" w:rsidP="005D1EF1">
      <w:r>
        <w:t xml:space="preserve">In </w:t>
      </w:r>
      <w:r w:rsidRPr="009208F6">
        <w:rPr>
          <w:b/>
          <w:i/>
        </w:rPr>
        <w:t>Banks v Good Fellow</w:t>
      </w:r>
      <w:r>
        <w:t>,</w:t>
      </w:r>
      <w:r w:rsidR="00365355">
        <w:rPr>
          <w:rStyle w:val="FootnoteReference"/>
        </w:rPr>
        <w:footnoteReference w:id="6"/>
      </w:r>
      <w:r>
        <w:t xml:space="preserve"> the testator believed that evil spirits and a person was already dead were pursuing</w:t>
      </w:r>
      <w:r w:rsidR="0084613C">
        <w:t xml:space="preserve"> him</w:t>
      </w:r>
      <w:r>
        <w:t xml:space="preserve">. The court held that although the testator suffered from an insane delusion, the same </w:t>
      </w:r>
      <w:r w:rsidR="00604304">
        <w:t>did not affect his testamentary capacity as the delusion did not affect the way in which he disposed off his property by will. And the will was upheld.</w:t>
      </w:r>
    </w:p>
    <w:p w:rsidR="00343320" w:rsidRDefault="00272404" w:rsidP="00272404">
      <w:r>
        <w:t xml:space="preserve">  </w:t>
      </w:r>
      <w:r w:rsidR="00094CCF">
        <w:t xml:space="preserve">Relating the test in </w:t>
      </w:r>
      <w:r w:rsidR="00094CCF" w:rsidRPr="00365355">
        <w:rPr>
          <w:b/>
          <w:i/>
        </w:rPr>
        <w:t>Re Good Fellow</w:t>
      </w:r>
      <w:r w:rsidR="00094CCF">
        <w:t xml:space="preserve"> to </w:t>
      </w:r>
      <w:r w:rsidR="0084613C">
        <w:t>Mr.</w:t>
      </w:r>
      <w:r w:rsidR="00094CCF">
        <w:t xml:space="preserve"> Sigma’s case, it is evident in the expression of </w:t>
      </w:r>
      <w:r w:rsidR="0084613C">
        <w:t>Mr.</w:t>
      </w:r>
      <w:r w:rsidR="00094CCF">
        <w:t xml:space="preserve"> </w:t>
      </w:r>
      <w:r w:rsidR="00793F53">
        <w:t>Sigma</w:t>
      </w:r>
      <w:r w:rsidR="00094CCF">
        <w:t xml:space="preserve"> when he came in the </w:t>
      </w:r>
      <w:r w:rsidR="00BF7A84">
        <w:t>advocate’s</w:t>
      </w:r>
      <w:r w:rsidR="00094CCF">
        <w:t xml:space="preserve"> presence and stated his wish not to die intestate and went further to </w:t>
      </w:r>
      <w:r w:rsidR="00094CCF">
        <w:lastRenderedPageBreak/>
        <w:t>give instructions to the advocate to draw a will to that effect</w:t>
      </w:r>
      <w:r w:rsidR="004C6636">
        <w:t xml:space="preserve">. This </w:t>
      </w:r>
      <w:r w:rsidR="0084613C">
        <w:t>showed that</w:t>
      </w:r>
      <w:r w:rsidR="004C6636">
        <w:t xml:space="preserve"> Mr. Sigma met the first test, that he understood the nature of the act of making a will and its effects.</w:t>
      </w:r>
    </w:p>
    <w:p w:rsidR="004C6636" w:rsidRDefault="004C6636" w:rsidP="00272404">
      <w:r>
        <w:t>The testator Mr. Sigma also produced a list of all his assets that he intended to have the will drawn upon hence meeting the requirements of the second test of mental capacity to make a will. That he had a sound memory enabling him to have a recollection of the property he intended to dispose under the will.</w:t>
      </w:r>
    </w:p>
    <w:p w:rsidR="004B1D7A" w:rsidRDefault="004C6636" w:rsidP="00272404">
      <w:r>
        <w:t>In relation to the appreciating the moral claims upon him, Mr. Sigma produced a list of those people to whom he wished to bequeath his property.</w:t>
      </w:r>
      <w:r w:rsidR="00FE2CFE">
        <w:t xml:space="preserve"> He then went ahead to bequeath the property to his beneficiaries except his first born son Rocky and his Daughter Rembo, stating that his son Rocky had been disrespectful to him by marrying a wrong woman, and his daughter Rembo with reasons that it was against the Kalongo Native Law and Customs. </w:t>
      </w:r>
      <w:r w:rsidR="004B1D7A">
        <w:t xml:space="preserve">In </w:t>
      </w:r>
      <w:r w:rsidR="004B1D7A" w:rsidRPr="009208F6">
        <w:rPr>
          <w:b/>
          <w:i/>
        </w:rPr>
        <w:t>Broughton v Knight</w:t>
      </w:r>
      <w:r w:rsidR="004B1D7A">
        <w:t>,</w:t>
      </w:r>
      <w:r w:rsidR="00365355">
        <w:rPr>
          <w:rStyle w:val="FootnoteReference"/>
        </w:rPr>
        <w:footnoteReference w:id="7"/>
      </w:r>
      <w:r w:rsidR="004B1D7A">
        <w:t xml:space="preserve"> the court observed that the testator must have a sound memory to recall the several persons who may be fitting objects of the testator’s bounty, and an understanding to comprehend their claims upon him so that he can decide whether or not to give each of them any part of his property by will. </w:t>
      </w:r>
    </w:p>
    <w:p w:rsidR="00C0161E" w:rsidRDefault="005D1EF1" w:rsidP="00272404">
      <w:r>
        <w:t>However the fact that the testator left some of his beneficiaries out does not question his mental capacity, the courts have always looked at the reasons behind the testator’s actions.</w:t>
      </w:r>
      <w:r w:rsidR="00793F53">
        <w:rPr>
          <w:rStyle w:val="FootnoteReference"/>
        </w:rPr>
        <w:footnoteReference w:id="8"/>
      </w:r>
      <w:r>
        <w:t xml:space="preserve"> </w:t>
      </w:r>
    </w:p>
    <w:p w:rsidR="00C0161E" w:rsidRDefault="005D1EF1" w:rsidP="00272404">
      <w:r>
        <w:t xml:space="preserve">In the case of </w:t>
      </w:r>
      <w:r w:rsidRPr="009208F6">
        <w:rPr>
          <w:b/>
          <w:i/>
        </w:rPr>
        <w:t>Barry v Bulfin</w:t>
      </w:r>
      <w:r w:rsidR="009208F6">
        <w:t>,</w:t>
      </w:r>
      <w:r w:rsidR="00365355">
        <w:rPr>
          <w:rStyle w:val="FootnoteReference"/>
        </w:rPr>
        <w:footnoteReference w:id="9"/>
      </w:r>
      <w:r>
        <w:t xml:space="preserve"> the testator excluded his son from benefitting on account of his sons criminal conduct and the court held that the will was valid.</w:t>
      </w:r>
      <w:r w:rsidR="00FE2CFE">
        <w:t xml:space="preserve"> </w:t>
      </w:r>
      <w:r w:rsidR="00C0161E">
        <w:t xml:space="preserve"> In a contrasting case of </w:t>
      </w:r>
      <w:r w:rsidR="00C0161E" w:rsidRPr="009208F6">
        <w:rPr>
          <w:b/>
          <w:i/>
        </w:rPr>
        <w:t>Harwood v Baker</w:t>
      </w:r>
      <w:r w:rsidR="00C0161E">
        <w:t>,</w:t>
      </w:r>
      <w:r w:rsidR="00365355">
        <w:rPr>
          <w:rStyle w:val="FootnoteReference"/>
        </w:rPr>
        <w:footnoteReference w:id="10"/>
      </w:r>
      <w:r w:rsidR="00C0161E">
        <w:t xml:space="preserve"> a testator executed his will on his death bed and left all his estate to his second wife to the exclusion of family. He was at the time suffering from a disease that had affected his brain. It was held that based on the evidence he did not have sufficient recollection of his other family members and therefore had no capacity to make a will.</w:t>
      </w:r>
      <w:r w:rsidR="00215851">
        <w:t xml:space="preserve"> See </w:t>
      </w:r>
      <w:r w:rsidR="00215851" w:rsidRPr="009208F6">
        <w:rPr>
          <w:b/>
          <w:i/>
        </w:rPr>
        <w:t>Re Nightingale</w:t>
      </w:r>
      <w:r w:rsidR="003113F5">
        <w:t xml:space="preserve"> and the matter of the </w:t>
      </w:r>
      <w:r w:rsidR="003113F5" w:rsidRPr="009208F6">
        <w:rPr>
          <w:b/>
          <w:i/>
        </w:rPr>
        <w:t>Estate of James Ngengi Muigai.</w:t>
      </w:r>
      <w:r w:rsidR="00365355">
        <w:rPr>
          <w:rStyle w:val="FootnoteReference"/>
          <w:b/>
          <w:i/>
        </w:rPr>
        <w:footnoteReference w:id="11"/>
      </w:r>
    </w:p>
    <w:p w:rsidR="003113F5" w:rsidRDefault="003113F5" w:rsidP="00272404">
      <w:r>
        <w:t xml:space="preserve">In conclusion thereof, it is noted that even though </w:t>
      </w:r>
      <w:r w:rsidR="00D26F75">
        <w:t xml:space="preserve">Mr. Sigma was laboring under insane delusions, he was experiencing lucid moments at the time of making the will hence had not lost his capacity to execute the will. In </w:t>
      </w:r>
      <w:r w:rsidR="009208F6" w:rsidRPr="009208F6">
        <w:rPr>
          <w:b/>
          <w:i/>
        </w:rPr>
        <w:t>Vijay Chand Rakant Shah V The Public Trustee</w:t>
      </w:r>
      <w:r w:rsidR="00365355">
        <w:rPr>
          <w:b/>
          <w:i/>
        </w:rPr>
        <w:t>,</w:t>
      </w:r>
      <w:r w:rsidR="009208F6">
        <w:t xml:space="preserve"> </w:t>
      </w:r>
      <w:r w:rsidR="00D26F75">
        <w:t xml:space="preserve">(Kneller JA and Gachuhi AgJJA) the diseased was very sick from syphilis and diabetes at the time he executed his will, but it was observed by the court of appeal on the evidence that he executed the same during a lucid moment </w:t>
      </w:r>
      <w:r w:rsidR="004B1D7A">
        <w:t>and therefore the will was valid.</w:t>
      </w:r>
      <w:r w:rsidR="00793F53">
        <w:rPr>
          <w:rStyle w:val="FootnoteReference"/>
        </w:rPr>
        <w:footnoteReference w:id="12"/>
      </w:r>
      <w:r w:rsidR="0084613C">
        <w:t xml:space="preserve"> See also the court of appeal decision in the case of </w:t>
      </w:r>
      <w:r w:rsidR="0084613C" w:rsidRPr="009208F6">
        <w:rPr>
          <w:b/>
          <w:i/>
        </w:rPr>
        <w:t>Vaghella v Vaghella.</w:t>
      </w:r>
      <w:r w:rsidR="00793F53">
        <w:rPr>
          <w:rStyle w:val="FootnoteReference"/>
          <w:b/>
          <w:i/>
        </w:rPr>
        <w:footnoteReference w:id="13"/>
      </w:r>
      <w:r w:rsidR="0084613C">
        <w:t xml:space="preserve">  </w:t>
      </w:r>
    </w:p>
    <w:p w:rsidR="00215851" w:rsidRDefault="00215851" w:rsidP="00272404"/>
    <w:p w:rsidR="00BF7A84" w:rsidRPr="00EC448F" w:rsidRDefault="00BF7A84" w:rsidP="00EC448F">
      <w:pPr>
        <w:tabs>
          <w:tab w:val="left" w:pos="7995"/>
        </w:tabs>
      </w:pPr>
    </w:p>
    <w:sectPr w:rsidR="00BF7A84" w:rsidRPr="00EC448F" w:rsidSect="004B052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377F" w:rsidRDefault="00DC377F" w:rsidP="009208F6">
      <w:pPr>
        <w:spacing w:after="0" w:line="240" w:lineRule="auto"/>
      </w:pPr>
      <w:r>
        <w:separator/>
      </w:r>
    </w:p>
  </w:endnote>
  <w:endnote w:type="continuationSeparator" w:id="1">
    <w:p w:rsidR="00DC377F" w:rsidRDefault="00DC377F" w:rsidP="009208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377F" w:rsidRDefault="00DC377F" w:rsidP="009208F6">
      <w:pPr>
        <w:spacing w:after="0" w:line="240" w:lineRule="auto"/>
      </w:pPr>
      <w:r>
        <w:separator/>
      </w:r>
    </w:p>
  </w:footnote>
  <w:footnote w:type="continuationSeparator" w:id="1">
    <w:p w:rsidR="00DC377F" w:rsidRDefault="00DC377F" w:rsidP="009208F6">
      <w:pPr>
        <w:spacing w:after="0" w:line="240" w:lineRule="auto"/>
      </w:pPr>
      <w:r>
        <w:continuationSeparator/>
      </w:r>
    </w:p>
  </w:footnote>
  <w:footnote w:id="2">
    <w:p w:rsidR="009208F6" w:rsidRDefault="009208F6">
      <w:pPr>
        <w:pStyle w:val="FootnoteText"/>
      </w:pPr>
      <w:r>
        <w:rPr>
          <w:rStyle w:val="FootnoteReference"/>
        </w:rPr>
        <w:footnoteRef/>
      </w:r>
      <w:r>
        <w:t xml:space="preserve"> </w:t>
      </w:r>
      <w:r w:rsidRPr="00793F53">
        <w:rPr>
          <w:i/>
        </w:rPr>
        <w:t xml:space="preserve">Law </w:t>
      </w:r>
      <w:r w:rsidR="00041443" w:rsidRPr="00793F53">
        <w:rPr>
          <w:i/>
        </w:rPr>
        <w:t>of succession Act</w:t>
      </w:r>
      <w:r w:rsidR="00041443">
        <w:t xml:space="preserve"> cap 160, section 5(1).</w:t>
      </w:r>
    </w:p>
  </w:footnote>
  <w:footnote w:id="3">
    <w:p w:rsidR="009208F6" w:rsidRDefault="009208F6">
      <w:pPr>
        <w:pStyle w:val="FootnoteText"/>
      </w:pPr>
      <w:r>
        <w:rPr>
          <w:rStyle w:val="FootnoteReference"/>
        </w:rPr>
        <w:footnoteRef/>
      </w:r>
      <w:r>
        <w:t xml:space="preserve"> William </w:t>
      </w:r>
      <w:r w:rsidR="00041443">
        <w:t>M</w:t>
      </w:r>
      <w:r>
        <w:t xml:space="preserve">usyoka, </w:t>
      </w:r>
      <w:r w:rsidR="00041443">
        <w:t>Law</w:t>
      </w:r>
      <w:r>
        <w:t xml:space="preserve"> of </w:t>
      </w:r>
      <w:r w:rsidR="00041443">
        <w:t>Succession;</w:t>
      </w:r>
      <w:r>
        <w:t xml:space="preserve"> </w:t>
      </w:r>
      <w:r w:rsidR="00041443" w:rsidRPr="00041443">
        <w:rPr>
          <w:i/>
        </w:rPr>
        <w:t>Insane Delusions</w:t>
      </w:r>
      <w:r w:rsidR="00041443">
        <w:rPr>
          <w:i/>
        </w:rPr>
        <w:t>,</w:t>
      </w:r>
      <w:r w:rsidR="00041443">
        <w:t xml:space="preserve"> (Kenya printers Nairobi, 2005)</w:t>
      </w:r>
      <w:r w:rsidR="00EC448F">
        <w:t xml:space="preserve"> pg 70.</w:t>
      </w:r>
      <w:r w:rsidR="00041443">
        <w:t xml:space="preserve"> </w:t>
      </w:r>
    </w:p>
  </w:footnote>
  <w:footnote w:id="4">
    <w:p w:rsidR="00041443" w:rsidRDefault="00041443">
      <w:pPr>
        <w:pStyle w:val="FootnoteText"/>
      </w:pPr>
      <w:r>
        <w:rPr>
          <w:rStyle w:val="FootnoteReference"/>
        </w:rPr>
        <w:footnoteRef/>
      </w:r>
      <w:r>
        <w:t xml:space="preserve"> (1826) 3 Add 79.</w:t>
      </w:r>
    </w:p>
  </w:footnote>
  <w:footnote w:id="5">
    <w:p w:rsidR="00041443" w:rsidRDefault="00041443">
      <w:pPr>
        <w:pStyle w:val="FootnoteText"/>
      </w:pPr>
      <w:r>
        <w:rPr>
          <w:rStyle w:val="FootnoteReference"/>
        </w:rPr>
        <w:footnoteRef/>
      </w:r>
      <w:r>
        <w:t xml:space="preserve"> </w:t>
      </w:r>
      <w:r w:rsidR="00365355">
        <w:t>(1870) LR 5 QB 549.</w:t>
      </w:r>
    </w:p>
  </w:footnote>
  <w:footnote w:id="6">
    <w:p w:rsidR="00365355" w:rsidRDefault="00365355">
      <w:pPr>
        <w:pStyle w:val="FootnoteText"/>
      </w:pPr>
      <w:r>
        <w:rPr>
          <w:rStyle w:val="FootnoteReference"/>
        </w:rPr>
        <w:footnoteRef/>
      </w:r>
      <w:r>
        <w:t xml:space="preserve"> </w:t>
      </w:r>
      <w:r w:rsidRPr="00365355">
        <w:rPr>
          <w:i/>
        </w:rPr>
        <w:t>Ibid.</w:t>
      </w:r>
    </w:p>
  </w:footnote>
  <w:footnote w:id="7">
    <w:p w:rsidR="00365355" w:rsidRDefault="00365355">
      <w:pPr>
        <w:pStyle w:val="FootnoteText"/>
      </w:pPr>
      <w:r>
        <w:rPr>
          <w:rStyle w:val="FootnoteReference"/>
        </w:rPr>
        <w:footnoteRef/>
      </w:r>
      <w:r>
        <w:t xml:space="preserve"> (1873) 3P and D 64.</w:t>
      </w:r>
    </w:p>
  </w:footnote>
  <w:footnote w:id="8">
    <w:p w:rsidR="00793F53" w:rsidRDefault="00793F53">
      <w:pPr>
        <w:pStyle w:val="FootnoteText"/>
      </w:pPr>
      <w:r>
        <w:rPr>
          <w:rStyle w:val="FootnoteReference"/>
        </w:rPr>
        <w:footnoteRef/>
      </w:r>
      <w:r>
        <w:t xml:space="preserve"> </w:t>
      </w:r>
      <w:r w:rsidRPr="00793F53">
        <w:rPr>
          <w:i/>
        </w:rPr>
        <w:t>Supra,</w:t>
      </w:r>
      <w:r>
        <w:t xml:space="preserve"> note 2.</w:t>
      </w:r>
    </w:p>
  </w:footnote>
  <w:footnote w:id="9">
    <w:p w:rsidR="00365355" w:rsidRDefault="00365355">
      <w:pPr>
        <w:pStyle w:val="FootnoteText"/>
      </w:pPr>
      <w:r>
        <w:rPr>
          <w:rStyle w:val="FootnoteReference"/>
        </w:rPr>
        <w:footnoteRef/>
      </w:r>
      <w:r>
        <w:t xml:space="preserve"> (1838) 2 MOO PC 480.</w:t>
      </w:r>
    </w:p>
  </w:footnote>
  <w:footnote w:id="10">
    <w:p w:rsidR="00365355" w:rsidRDefault="00365355">
      <w:pPr>
        <w:pStyle w:val="FootnoteText"/>
      </w:pPr>
      <w:r>
        <w:rPr>
          <w:rStyle w:val="FootnoteReference"/>
        </w:rPr>
        <w:footnoteRef/>
      </w:r>
      <w:r>
        <w:t xml:space="preserve"> (1840) 3 MOO PC 282.</w:t>
      </w:r>
    </w:p>
  </w:footnote>
  <w:footnote w:id="11">
    <w:p w:rsidR="00365355" w:rsidRDefault="00365355">
      <w:pPr>
        <w:pStyle w:val="FootnoteText"/>
      </w:pPr>
      <w:r>
        <w:rPr>
          <w:rStyle w:val="FootnoteReference"/>
        </w:rPr>
        <w:footnoteRef/>
      </w:r>
      <w:r>
        <w:t xml:space="preserve"> (1974) 119 SOL JO 189 and (1996) SCC no. 523.</w:t>
      </w:r>
    </w:p>
  </w:footnote>
  <w:footnote w:id="12">
    <w:p w:rsidR="00793F53" w:rsidRDefault="00793F53">
      <w:pPr>
        <w:pStyle w:val="FootnoteText"/>
      </w:pPr>
      <w:r>
        <w:rPr>
          <w:rStyle w:val="FootnoteReference"/>
        </w:rPr>
        <w:footnoteRef/>
      </w:r>
      <w:r>
        <w:t xml:space="preserve"> (1984) CCA 63.</w:t>
      </w:r>
    </w:p>
  </w:footnote>
  <w:footnote w:id="13">
    <w:p w:rsidR="00793F53" w:rsidRDefault="00793F53">
      <w:pPr>
        <w:pStyle w:val="FootnoteText"/>
      </w:pPr>
      <w:r>
        <w:rPr>
          <w:rStyle w:val="FootnoteReference"/>
        </w:rPr>
        <w:footnoteRef/>
      </w:r>
      <w:r>
        <w:t xml:space="preserve"> (1999) 2 EA 351.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84F3A"/>
    <w:multiLevelType w:val="hybridMultilevel"/>
    <w:tmpl w:val="D5EC4F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53B5BFD"/>
    <w:multiLevelType w:val="hybridMultilevel"/>
    <w:tmpl w:val="B1827F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EA4BB3"/>
    <w:rsid w:val="00041443"/>
    <w:rsid w:val="00085ADA"/>
    <w:rsid w:val="00094CCF"/>
    <w:rsid w:val="000C1995"/>
    <w:rsid w:val="001D08FD"/>
    <w:rsid w:val="00215851"/>
    <w:rsid w:val="00272404"/>
    <w:rsid w:val="002978D3"/>
    <w:rsid w:val="003113F5"/>
    <w:rsid w:val="003220C6"/>
    <w:rsid w:val="00343320"/>
    <w:rsid w:val="00365355"/>
    <w:rsid w:val="004B0521"/>
    <w:rsid w:val="004B1D7A"/>
    <w:rsid w:val="004C6636"/>
    <w:rsid w:val="00514A06"/>
    <w:rsid w:val="005D1EF1"/>
    <w:rsid w:val="005E7B54"/>
    <w:rsid w:val="005F042E"/>
    <w:rsid w:val="00604304"/>
    <w:rsid w:val="006C6D12"/>
    <w:rsid w:val="00757263"/>
    <w:rsid w:val="00764723"/>
    <w:rsid w:val="00773CC1"/>
    <w:rsid w:val="00793F53"/>
    <w:rsid w:val="00825E40"/>
    <w:rsid w:val="0084613C"/>
    <w:rsid w:val="008B2119"/>
    <w:rsid w:val="009208F6"/>
    <w:rsid w:val="00944D2E"/>
    <w:rsid w:val="0097340C"/>
    <w:rsid w:val="009C7874"/>
    <w:rsid w:val="00A24CF5"/>
    <w:rsid w:val="00AC3B8F"/>
    <w:rsid w:val="00B4672E"/>
    <w:rsid w:val="00BF7A84"/>
    <w:rsid w:val="00C0161E"/>
    <w:rsid w:val="00CA10CF"/>
    <w:rsid w:val="00D22BE3"/>
    <w:rsid w:val="00D26F75"/>
    <w:rsid w:val="00DC377F"/>
    <w:rsid w:val="00E12AF9"/>
    <w:rsid w:val="00E61900"/>
    <w:rsid w:val="00EA4BB3"/>
    <w:rsid w:val="00EC448F"/>
    <w:rsid w:val="00F3520E"/>
    <w:rsid w:val="00FE2C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05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2404"/>
    <w:pPr>
      <w:ind w:left="720"/>
      <w:contextualSpacing/>
    </w:pPr>
  </w:style>
  <w:style w:type="paragraph" w:styleId="FootnoteText">
    <w:name w:val="footnote text"/>
    <w:basedOn w:val="Normal"/>
    <w:link w:val="FootnoteTextChar"/>
    <w:uiPriority w:val="99"/>
    <w:semiHidden/>
    <w:unhideWhenUsed/>
    <w:rsid w:val="009208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08F6"/>
    <w:rPr>
      <w:sz w:val="20"/>
      <w:szCs w:val="20"/>
    </w:rPr>
  </w:style>
  <w:style w:type="character" w:styleId="FootnoteReference">
    <w:name w:val="footnote reference"/>
    <w:basedOn w:val="DefaultParagraphFont"/>
    <w:uiPriority w:val="99"/>
    <w:semiHidden/>
    <w:unhideWhenUsed/>
    <w:rsid w:val="009208F6"/>
    <w:rPr>
      <w:vertAlign w:val="superscript"/>
    </w:rPr>
  </w:style>
  <w:style w:type="paragraph" w:styleId="PlainText">
    <w:name w:val="Plain Text"/>
    <w:basedOn w:val="Normal"/>
    <w:link w:val="PlainTextChar"/>
    <w:semiHidden/>
    <w:rsid w:val="00BF7A84"/>
    <w:pPr>
      <w:spacing w:after="0" w:line="240" w:lineRule="auto"/>
    </w:pPr>
    <w:rPr>
      <w:rFonts w:ascii="Courier New" w:eastAsia="Times New Roman" w:hAnsi="Courier New" w:cs="Times New Roman"/>
      <w:sz w:val="20"/>
      <w:szCs w:val="20"/>
      <w:lang w:val="en-GB"/>
    </w:rPr>
  </w:style>
  <w:style w:type="character" w:customStyle="1" w:styleId="PlainTextChar">
    <w:name w:val="Plain Text Char"/>
    <w:basedOn w:val="DefaultParagraphFont"/>
    <w:link w:val="PlainText"/>
    <w:semiHidden/>
    <w:rsid w:val="00BF7A84"/>
    <w:rPr>
      <w:rFonts w:ascii="Courier New" w:eastAsia="Times New Roman" w:hAnsi="Courier New" w:cs="Times New Roman"/>
      <w:sz w:val="20"/>
      <w:szCs w:val="20"/>
      <w:lang w:val="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82EB9-2CF3-46D3-9A44-70D426C0C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1</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SOITA</dc:creator>
  <cp:lastModifiedBy>SOITA</cp:lastModifiedBy>
  <cp:revision>9</cp:revision>
  <dcterms:created xsi:type="dcterms:W3CDTF">2016-05-13T15:47:00Z</dcterms:created>
  <dcterms:modified xsi:type="dcterms:W3CDTF">2016-05-19T16:03:00Z</dcterms:modified>
</cp:coreProperties>
</file>