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0841" w:rsidRDefault="00E26631" w:rsidP="009E748E">
      <w:pPr>
        <w:widowControl/>
        <w:spacing w:before="100" w:beforeAutospacing="1" w:after="100" w:afterAutospacing="1" w:line="360" w:lineRule="auto"/>
        <w:rPr>
          <w:rFonts w:eastAsia="Times New Roman"/>
          <w:b/>
          <w:bCs/>
          <w:color w:val="000000"/>
          <w:kern w:val="0"/>
          <w:sz w:val="24"/>
          <w:szCs w:val="24"/>
          <w:u w:val="single"/>
          <w:lang w:eastAsia="en-US"/>
        </w:rPr>
      </w:pPr>
      <w:r w:rsidRPr="0002119A">
        <w:rPr>
          <w:rFonts w:eastAsia="Times New Roman"/>
          <w:b/>
          <w:bCs/>
          <w:color w:val="000000"/>
          <w:kern w:val="0"/>
          <w:sz w:val="24"/>
          <w:szCs w:val="24"/>
          <w:u w:val="single"/>
          <w:lang w:eastAsia="en-US"/>
        </w:rPr>
        <w:t>POWER AND FUNCTIONS</w:t>
      </w:r>
      <w:r w:rsidR="00760841" w:rsidRPr="00760841">
        <w:rPr>
          <w:rFonts w:eastAsia="Times New Roman"/>
          <w:b/>
          <w:bCs/>
          <w:color w:val="000000"/>
          <w:kern w:val="0"/>
          <w:sz w:val="24"/>
          <w:szCs w:val="24"/>
          <w:u w:val="single"/>
          <w:lang w:eastAsia="en-US"/>
        </w:rPr>
        <w:t xml:space="preserve"> OF CO</w:t>
      </w:r>
      <w:r w:rsidR="00E409C1" w:rsidRPr="0002119A">
        <w:rPr>
          <w:rFonts w:eastAsia="Times New Roman"/>
          <w:b/>
          <w:bCs/>
          <w:color w:val="000000"/>
          <w:kern w:val="0"/>
          <w:sz w:val="24"/>
          <w:szCs w:val="24"/>
          <w:u w:val="single"/>
          <w:lang w:eastAsia="en-US"/>
        </w:rPr>
        <w:t xml:space="preserve">MPANY LIQUIDATORS </w:t>
      </w:r>
    </w:p>
    <w:p w:rsidR="008C7D2D" w:rsidRPr="0007502C" w:rsidRDefault="008C7D2D" w:rsidP="008C7D2D">
      <w:pPr>
        <w:spacing w:line="480" w:lineRule="auto"/>
        <w:rPr>
          <w:b/>
          <w:sz w:val="24"/>
          <w:szCs w:val="24"/>
        </w:rPr>
      </w:pPr>
      <w:r w:rsidRPr="0007502C">
        <w:rPr>
          <w:b/>
          <w:sz w:val="24"/>
          <w:szCs w:val="24"/>
        </w:rPr>
        <w:t>Functions and powers of the official receiver</w:t>
      </w:r>
    </w:p>
    <w:p w:rsidR="008C7D2D" w:rsidRPr="0007502C" w:rsidRDefault="008C7D2D" w:rsidP="008C7D2D">
      <w:pPr>
        <w:pStyle w:val="ListParagraph"/>
        <w:numPr>
          <w:ilvl w:val="0"/>
          <w:numId w:val="4"/>
        </w:numPr>
        <w:spacing w:line="480" w:lineRule="auto"/>
        <w:rPr>
          <w:rFonts w:ascii="Times New Roman" w:hAnsi="Times New Roman" w:cs="Times New Roman"/>
          <w:sz w:val="24"/>
          <w:szCs w:val="24"/>
        </w:rPr>
      </w:pPr>
      <w:r w:rsidRPr="0007502C">
        <w:rPr>
          <w:rFonts w:ascii="Times New Roman" w:hAnsi="Times New Roman" w:cs="Times New Roman"/>
          <w:sz w:val="24"/>
          <w:szCs w:val="24"/>
        </w:rPr>
        <w:t>The official receiver may require some or all of the prescribed persons to make out and submit to the official receiver a statement of affairs relating to the company. S. 433(2)</w:t>
      </w:r>
    </w:p>
    <w:p w:rsidR="008C7D2D" w:rsidRPr="0007502C" w:rsidRDefault="008C7D2D" w:rsidP="008C7D2D">
      <w:pPr>
        <w:pStyle w:val="ListParagraph"/>
        <w:numPr>
          <w:ilvl w:val="0"/>
          <w:numId w:val="4"/>
        </w:numPr>
        <w:spacing w:line="480" w:lineRule="auto"/>
        <w:rPr>
          <w:rFonts w:ascii="Times New Roman" w:hAnsi="Times New Roman" w:cs="Times New Roman"/>
          <w:sz w:val="24"/>
          <w:szCs w:val="24"/>
        </w:rPr>
      </w:pPr>
      <w:r w:rsidRPr="0007502C">
        <w:rPr>
          <w:rFonts w:ascii="Times New Roman" w:hAnsi="Times New Roman" w:cs="Times New Roman"/>
          <w:sz w:val="24"/>
          <w:szCs w:val="24"/>
        </w:rPr>
        <w:t>The official receiver can also release any person from an obligation imposed on such person under section 433(2)</w:t>
      </w:r>
    </w:p>
    <w:p w:rsidR="008C7D2D" w:rsidRPr="0007502C" w:rsidRDefault="008C7D2D" w:rsidP="008C7D2D">
      <w:pPr>
        <w:pStyle w:val="ListParagraph"/>
        <w:numPr>
          <w:ilvl w:val="0"/>
          <w:numId w:val="4"/>
        </w:numPr>
        <w:spacing w:line="480" w:lineRule="auto"/>
        <w:rPr>
          <w:rFonts w:ascii="Times New Roman" w:hAnsi="Times New Roman" w:cs="Times New Roman"/>
          <w:sz w:val="24"/>
          <w:szCs w:val="24"/>
        </w:rPr>
      </w:pPr>
      <w:r w:rsidRPr="0007502C">
        <w:rPr>
          <w:rFonts w:ascii="Times New Roman" w:hAnsi="Times New Roman" w:cs="Times New Roman"/>
          <w:sz w:val="24"/>
          <w:szCs w:val="24"/>
        </w:rPr>
        <w:t>The official receiver conducts investigations to the failure of the company, by examining the promotion, formation, business dealings and any other affairs of the company. He then makes a report to court on such findings; the report is used as evidence in any legal proceedings until contrary is proven. S. 434</w:t>
      </w:r>
    </w:p>
    <w:p w:rsidR="008C7D2D" w:rsidRPr="0007502C" w:rsidRDefault="008C7D2D" w:rsidP="008C7D2D">
      <w:pPr>
        <w:pStyle w:val="ListParagraph"/>
        <w:numPr>
          <w:ilvl w:val="0"/>
          <w:numId w:val="4"/>
        </w:numPr>
        <w:spacing w:line="480" w:lineRule="auto"/>
        <w:rPr>
          <w:rFonts w:ascii="Times New Roman" w:hAnsi="Times New Roman" w:cs="Times New Roman"/>
          <w:sz w:val="24"/>
          <w:szCs w:val="24"/>
        </w:rPr>
      </w:pPr>
      <w:r w:rsidRPr="0007502C">
        <w:rPr>
          <w:rFonts w:ascii="Times New Roman" w:hAnsi="Times New Roman" w:cs="Times New Roman"/>
          <w:sz w:val="24"/>
          <w:szCs w:val="24"/>
        </w:rPr>
        <w:t>The official receiver may also apply to court for the public examination of officers and former officers of the company. S.435, such application is made on request from creditors of the company of more than one half in value of the total amount of the company’s debt, contributories of the company with not less than three quarters of the voting rights at general meetings.</w:t>
      </w:r>
    </w:p>
    <w:p w:rsidR="008C7D2D" w:rsidRPr="0007502C" w:rsidRDefault="008C7D2D" w:rsidP="008C7D2D">
      <w:pPr>
        <w:pStyle w:val="ListParagraph"/>
        <w:numPr>
          <w:ilvl w:val="0"/>
          <w:numId w:val="4"/>
        </w:numPr>
        <w:spacing w:line="480" w:lineRule="auto"/>
        <w:rPr>
          <w:rFonts w:ascii="Times New Roman" w:hAnsi="Times New Roman" w:cs="Times New Roman"/>
          <w:sz w:val="24"/>
          <w:szCs w:val="24"/>
        </w:rPr>
      </w:pPr>
      <w:r w:rsidRPr="0007502C">
        <w:rPr>
          <w:rFonts w:ascii="Times New Roman" w:hAnsi="Times New Roman" w:cs="Times New Roman"/>
          <w:sz w:val="24"/>
          <w:szCs w:val="24"/>
        </w:rPr>
        <w:t>Once a liquidation order has been made, the official receiver becomes the liquidator and continues in office until some other person is appointed. S.438</w:t>
      </w:r>
    </w:p>
    <w:p w:rsidR="008C7D2D" w:rsidRPr="0007502C" w:rsidRDefault="008C7D2D" w:rsidP="008C7D2D">
      <w:pPr>
        <w:pStyle w:val="ListParagraph"/>
        <w:numPr>
          <w:ilvl w:val="0"/>
          <w:numId w:val="4"/>
        </w:numPr>
        <w:spacing w:line="480" w:lineRule="auto"/>
        <w:rPr>
          <w:rFonts w:ascii="Times New Roman" w:hAnsi="Times New Roman" w:cs="Times New Roman"/>
          <w:sz w:val="24"/>
          <w:szCs w:val="24"/>
        </w:rPr>
      </w:pPr>
      <w:r w:rsidRPr="0007502C">
        <w:rPr>
          <w:rFonts w:ascii="Times New Roman" w:hAnsi="Times New Roman" w:cs="Times New Roman"/>
          <w:sz w:val="24"/>
          <w:szCs w:val="24"/>
        </w:rPr>
        <w:t>The official receiver is the liquidator during any vacancy in the office of the liquidator.</w:t>
      </w:r>
    </w:p>
    <w:p w:rsidR="008C7D2D" w:rsidRPr="0007502C" w:rsidRDefault="008C7D2D" w:rsidP="008C7D2D">
      <w:pPr>
        <w:pStyle w:val="ListParagraph"/>
        <w:numPr>
          <w:ilvl w:val="0"/>
          <w:numId w:val="4"/>
        </w:numPr>
        <w:spacing w:line="480" w:lineRule="auto"/>
        <w:rPr>
          <w:rFonts w:ascii="Times New Roman" w:hAnsi="Times New Roman" w:cs="Times New Roman"/>
          <w:sz w:val="24"/>
          <w:szCs w:val="24"/>
        </w:rPr>
      </w:pPr>
      <w:r w:rsidRPr="0007502C">
        <w:rPr>
          <w:rFonts w:ascii="Times New Roman" w:hAnsi="Times New Roman" w:cs="Times New Roman"/>
          <w:sz w:val="24"/>
          <w:szCs w:val="24"/>
        </w:rPr>
        <w:t>As a liquidator of the company the official receiver may convene separate meetings of the company’s creditors and contributories for the purpose of choosing a liquidator of the company in place of the OR. S.438</w:t>
      </w:r>
    </w:p>
    <w:p w:rsidR="008C7D2D" w:rsidRPr="008C7D2D" w:rsidRDefault="008C7D2D" w:rsidP="008C7D2D">
      <w:pPr>
        <w:pStyle w:val="ListParagraph"/>
        <w:numPr>
          <w:ilvl w:val="0"/>
          <w:numId w:val="4"/>
        </w:numPr>
        <w:spacing w:line="480" w:lineRule="auto"/>
        <w:rPr>
          <w:rFonts w:ascii="Times New Roman" w:hAnsi="Times New Roman" w:cs="Times New Roman"/>
          <w:sz w:val="24"/>
          <w:szCs w:val="24"/>
        </w:rPr>
      </w:pPr>
      <w:r w:rsidRPr="0007502C">
        <w:rPr>
          <w:rFonts w:ascii="Times New Roman" w:hAnsi="Times New Roman" w:cs="Times New Roman"/>
          <w:sz w:val="24"/>
          <w:szCs w:val="24"/>
        </w:rPr>
        <w:t>The official receiver (being the liquidator) may at any time appoint a qualified person as a liquidator and thereafter notify the court of such appointment. S.439.</w:t>
      </w:r>
    </w:p>
    <w:p w:rsidR="00760841" w:rsidRPr="00760841" w:rsidRDefault="00760841" w:rsidP="009E748E">
      <w:pPr>
        <w:widowControl/>
        <w:spacing w:before="100" w:beforeAutospacing="1" w:after="100" w:afterAutospacing="1" w:line="360" w:lineRule="auto"/>
        <w:rPr>
          <w:rFonts w:eastAsia="Times New Roman"/>
          <w:kern w:val="0"/>
          <w:sz w:val="24"/>
          <w:szCs w:val="24"/>
          <w:lang w:eastAsia="en-US"/>
        </w:rPr>
      </w:pPr>
      <w:r w:rsidRPr="00760841">
        <w:rPr>
          <w:rFonts w:eastAsia="Times New Roman"/>
          <w:color w:val="000000"/>
          <w:kern w:val="0"/>
          <w:sz w:val="24"/>
          <w:szCs w:val="24"/>
          <w:lang w:eastAsia="en-US"/>
        </w:rPr>
        <w:lastRenderedPageBreak/>
        <w:t>The Company Liquidator, in a windin</w:t>
      </w:r>
      <w:r w:rsidR="002824B7">
        <w:rPr>
          <w:rFonts w:eastAsia="Times New Roman"/>
          <w:color w:val="000000"/>
          <w:kern w:val="0"/>
          <w:sz w:val="24"/>
          <w:szCs w:val="24"/>
          <w:lang w:eastAsia="en-US"/>
        </w:rPr>
        <w:t>g up of a company by the Court, shall have the power</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(a) T</w:t>
      </w:r>
      <w:r w:rsidR="00760841" w:rsidRPr="00760841">
        <w:rPr>
          <w:rFonts w:eastAsia="Times New Roman"/>
          <w:color w:val="000000"/>
          <w:kern w:val="0"/>
          <w:sz w:val="24"/>
          <w:szCs w:val="24"/>
          <w:lang w:eastAsia="en-US"/>
        </w:rPr>
        <w:t>o carry on the business of the company so far as may be necessary for the beneficial winding up of the company;</w:t>
      </w:r>
      <w:r w:rsidR="00D26708">
        <w:rPr>
          <w:rStyle w:val="FootnoteReference"/>
          <w:color w:val="000000"/>
          <w:kern w:val="0"/>
          <w:sz w:val="24"/>
          <w:szCs w:val="24"/>
          <w:lang w:eastAsia="en-US"/>
        </w:rPr>
        <w:footnoteReference w:id="2"/>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(b) T</w:t>
      </w:r>
      <w:r w:rsidR="00760841" w:rsidRPr="00760841">
        <w:rPr>
          <w:rFonts w:eastAsia="Times New Roman"/>
          <w:color w:val="000000"/>
          <w:kern w:val="0"/>
          <w:sz w:val="24"/>
          <w:szCs w:val="24"/>
          <w:lang w:eastAsia="en-US"/>
        </w:rPr>
        <w:t>o do all acts and to execute, in the name and on behalf of the company, all deeds, receipts and other documents, and for that purpose, to use, when necessary, the company’s seal;</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(c) T</w:t>
      </w:r>
      <w:r w:rsidR="00760841" w:rsidRPr="00760841">
        <w:rPr>
          <w:rFonts w:eastAsia="Times New Roman"/>
          <w:color w:val="000000"/>
          <w:kern w:val="0"/>
          <w:sz w:val="24"/>
          <w:szCs w:val="24"/>
          <w:lang w:eastAsia="en-US"/>
        </w:rPr>
        <w:t>o sell the immovable and movable property and actionable claims of the company by public auction or private contract, with power to transfer such property to any person or body corporate, or to sell the same in parcels;</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(d) T</w:t>
      </w:r>
      <w:r w:rsidR="00760841" w:rsidRPr="00760841">
        <w:rPr>
          <w:rFonts w:eastAsia="Times New Roman"/>
          <w:color w:val="000000"/>
          <w:kern w:val="0"/>
          <w:sz w:val="24"/>
          <w:szCs w:val="24"/>
          <w:lang w:eastAsia="en-US"/>
        </w:rPr>
        <w:t>o sell the whole of the undertaking of the company as a going concern;</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(e) T</w:t>
      </w:r>
      <w:r w:rsidR="00760841" w:rsidRPr="00760841">
        <w:rPr>
          <w:rFonts w:eastAsia="Times New Roman"/>
          <w:color w:val="000000"/>
          <w:kern w:val="0"/>
          <w:sz w:val="24"/>
          <w:szCs w:val="24"/>
          <w:lang w:eastAsia="en-US"/>
        </w:rPr>
        <w:t>o raise any money required on the security of the assets of the company;</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(f) T</w:t>
      </w:r>
      <w:r w:rsidR="00760841" w:rsidRPr="00760841">
        <w:rPr>
          <w:rFonts w:eastAsia="Times New Roman"/>
          <w:color w:val="000000"/>
          <w:kern w:val="0"/>
          <w:sz w:val="24"/>
          <w:szCs w:val="24"/>
          <w:lang w:eastAsia="en-US"/>
        </w:rPr>
        <w:t>o institute or defend any suit, prosecution or other legal proceeding, civil or criminal, in the name and on behalf of the company;</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(g) T</w:t>
      </w:r>
      <w:r w:rsidR="00760841" w:rsidRPr="00760841">
        <w:rPr>
          <w:rFonts w:eastAsia="Times New Roman"/>
          <w:color w:val="000000"/>
          <w:kern w:val="0"/>
          <w:sz w:val="24"/>
          <w:szCs w:val="24"/>
          <w:lang w:eastAsia="en-US"/>
        </w:rPr>
        <w:t>o invite and settle claim of creditors, employees or any other claimant and distribute sale proceeds in accordance with priorities established under this Act;</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(h) T</w:t>
      </w:r>
      <w:r w:rsidR="00760841" w:rsidRPr="00760841">
        <w:rPr>
          <w:rFonts w:eastAsia="Times New Roman"/>
          <w:color w:val="000000"/>
          <w:kern w:val="0"/>
          <w:sz w:val="24"/>
          <w:szCs w:val="24"/>
          <w:lang w:eastAsia="en-US"/>
        </w:rPr>
        <w:t>o inspect the records and returns of the company on the files of the Registrar or any other authority;</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(i) T</w:t>
      </w:r>
      <w:r w:rsidR="00760841" w:rsidRPr="00760841">
        <w:rPr>
          <w:rFonts w:eastAsia="Times New Roman"/>
          <w:color w:val="000000"/>
          <w:kern w:val="0"/>
          <w:sz w:val="24"/>
          <w:szCs w:val="24"/>
          <w:lang w:eastAsia="en-US"/>
        </w:rPr>
        <w:t>o prove rank and claim in the insolvency of any contributory for any balance against his estate, and to receive dividends in the insolvency, in respect of that balance, as a separate debt due from the insolvent, and rateably with the other separate creditors;</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(j) T</w:t>
      </w:r>
      <w:r w:rsidR="00760841" w:rsidRPr="00760841">
        <w:rPr>
          <w:rFonts w:eastAsia="Times New Roman"/>
          <w:color w:val="000000"/>
          <w:kern w:val="0"/>
          <w:sz w:val="24"/>
          <w:szCs w:val="24"/>
          <w:lang w:eastAsia="en-US"/>
        </w:rPr>
        <w:t>o draw, accept, make and endorse any negotiable instruments including cheque, bill of exchange, hundi or promissory note in the name and on behalf of the company, with the same effect with respect to the liability of the company as if such instruments had been drawn, accepted, made or endorsed by or on behalf of the company in the course of its business;</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lastRenderedPageBreak/>
        <w:t>(k) T</w:t>
      </w:r>
      <w:r w:rsidR="00760841" w:rsidRPr="00760841">
        <w:rPr>
          <w:rFonts w:eastAsia="Times New Roman"/>
          <w:color w:val="000000"/>
          <w:kern w:val="0"/>
          <w:sz w:val="24"/>
          <w:szCs w:val="24"/>
          <w:lang w:eastAsia="en-US"/>
        </w:rPr>
        <w:t>o take out, in his official name, letters of administration to any deceased contributory, and to do in his official name any other act necessary for obtaining payment of any money due from a contributory or his estate which cannot be conveniently done in the name of the company, and in all such cases, the money due shall, for the purpose of enabling the Company Liquidator to take out the letters of administration or recover the money, be deemed to be due to the Company Liquidator himself;</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(l) T</w:t>
      </w:r>
      <w:r w:rsidR="00760841" w:rsidRPr="00760841">
        <w:rPr>
          <w:rFonts w:eastAsia="Times New Roman"/>
          <w:color w:val="000000"/>
          <w:kern w:val="0"/>
          <w:sz w:val="24"/>
          <w:szCs w:val="24"/>
          <w:lang w:eastAsia="en-US"/>
        </w:rPr>
        <w:t>o obtain any professional assistance from any person or appoint any professional, in discharge of his duties, obligations and responsibilities and for protection of the assets of the company, appoint an agent to do any business which the Company Liquidator is unable to do himself;</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(m) T</w:t>
      </w:r>
      <w:r w:rsidR="00760841" w:rsidRPr="00760841">
        <w:rPr>
          <w:rFonts w:eastAsia="Times New Roman"/>
          <w:color w:val="000000"/>
          <w:kern w:val="0"/>
          <w:sz w:val="24"/>
          <w:szCs w:val="24"/>
          <w:lang w:eastAsia="en-US"/>
        </w:rPr>
        <w:t xml:space="preserve">o take all such actions, steps, or to sign, execute and verify any paper, deed, document, application, petition, affidavit, bond or </w:t>
      </w:r>
      <w:r w:rsidR="000847C0">
        <w:rPr>
          <w:rFonts w:eastAsia="Times New Roman"/>
          <w:color w:val="000000"/>
          <w:kern w:val="0"/>
          <w:sz w:val="24"/>
          <w:szCs w:val="24"/>
          <w:lang w:eastAsia="en-US"/>
        </w:rPr>
        <w:t>instrument as may be necessary,</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(i) F</w:t>
      </w:r>
      <w:r w:rsidR="00760841" w:rsidRPr="00760841">
        <w:rPr>
          <w:rFonts w:eastAsia="Times New Roman"/>
          <w:color w:val="000000"/>
          <w:kern w:val="0"/>
          <w:sz w:val="24"/>
          <w:szCs w:val="24"/>
          <w:lang w:eastAsia="en-US"/>
        </w:rPr>
        <w:t>or winding up of the company;</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(ii) F</w:t>
      </w:r>
      <w:r w:rsidR="00760841" w:rsidRPr="00760841">
        <w:rPr>
          <w:rFonts w:eastAsia="Times New Roman"/>
          <w:color w:val="000000"/>
          <w:kern w:val="0"/>
          <w:sz w:val="24"/>
          <w:szCs w:val="24"/>
          <w:lang w:eastAsia="en-US"/>
        </w:rPr>
        <w:t>or distribution of assets;</w:t>
      </w:r>
    </w:p>
    <w:p w:rsidR="00760841" w:rsidRPr="00760841"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(iii) I</w:t>
      </w:r>
      <w:r w:rsidR="00760841" w:rsidRPr="00760841">
        <w:rPr>
          <w:rFonts w:eastAsia="Times New Roman"/>
          <w:color w:val="000000"/>
          <w:kern w:val="0"/>
          <w:sz w:val="24"/>
          <w:szCs w:val="24"/>
          <w:lang w:eastAsia="en-US"/>
        </w:rPr>
        <w:t>n discharge of his duties and obligations and functions as Company Liquidator; and</w:t>
      </w:r>
    </w:p>
    <w:p w:rsidR="00760841" w:rsidRPr="002824B7" w:rsidRDefault="001619A2" w:rsidP="009E748E">
      <w:pPr>
        <w:widowControl/>
        <w:spacing w:before="100" w:beforeAutospacing="1" w:after="100" w:afterAutospacing="1" w:line="360" w:lineRule="auto"/>
        <w:rPr>
          <w:rFonts w:eastAsia="Times New Roman"/>
          <w:kern w:val="0"/>
          <w:sz w:val="24"/>
          <w:szCs w:val="24"/>
          <w:lang w:eastAsia="en-US"/>
        </w:rPr>
      </w:pPr>
      <w:r>
        <w:rPr>
          <w:rFonts w:eastAsia="Times New Roman"/>
          <w:color w:val="000000"/>
          <w:kern w:val="0"/>
          <w:sz w:val="24"/>
          <w:szCs w:val="24"/>
          <w:lang w:eastAsia="en-US"/>
        </w:rPr>
        <w:t>(n) T</w:t>
      </w:r>
      <w:r w:rsidR="00760841" w:rsidRPr="00760841">
        <w:rPr>
          <w:rFonts w:eastAsia="Times New Roman"/>
          <w:color w:val="000000"/>
          <w:kern w:val="0"/>
          <w:sz w:val="24"/>
          <w:szCs w:val="24"/>
          <w:lang w:eastAsia="en-US"/>
        </w:rPr>
        <w:t>o apply to the Tribunal for such orders or directions as may be necessary for the winding up of the company.</w:t>
      </w:r>
      <w:r w:rsidR="002824B7">
        <w:rPr>
          <w:rStyle w:val="FootnoteReference"/>
          <w:color w:val="000000"/>
          <w:kern w:val="0"/>
          <w:sz w:val="24"/>
          <w:szCs w:val="24"/>
          <w:lang w:eastAsia="en-US"/>
        </w:rPr>
        <w:footnoteReference w:id="3"/>
      </w:r>
    </w:p>
    <w:p w:rsidR="006922CA" w:rsidRPr="006922CA" w:rsidRDefault="00012F17" w:rsidP="009E748E">
      <w:pPr>
        <w:widowControl/>
        <w:spacing w:line="360" w:lineRule="auto"/>
        <w:rPr>
          <w:rFonts w:eastAsiaTheme="minorHAnsi"/>
          <w:kern w:val="0"/>
          <w:sz w:val="24"/>
          <w:szCs w:val="24"/>
          <w:u w:val="single"/>
          <w:lang w:val="en-GB" w:eastAsia="en-US"/>
        </w:rPr>
      </w:pPr>
      <w:r w:rsidRPr="0002119A">
        <w:rPr>
          <w:rFonts w:eastAsiaTheme="minorHAnsi"/>
          <w:b/>
          <w:kern w:val="0"/>
          <w:sz w:val="24"/>
          <w:szCs w:val="24"/>
          <w:u w:val="single"/>
          <w:lang w:val="en-GB" w:eastAsia="en-US"/>
        </w:rPr>
        <w:t>PREFERENTIAL DEBTS</w:t>
      </w:r>
    </w:p>
    <w:p w:rsidR="006922CA" w:rsidRPr="006922CA" w:rsidRDefault="006922CA" w:rsidP="009E748E">
      <w:pPr>
        <w:widowControl/>
        <w:spacing w:line="360" w:lineRule="auto"/>
        <w:rPr>
          <w:rFonts w:eastAsiaTheme="minorHAnsi"/>
          <w:color w:val="000000"/>
          <w:kern w:val="0"/>
          <w:sz w:val="24"/>
          <w:szCs w:val="24"/>
          <w:lang w:val="en-GB" w:eastAsia="en-US"/>
        </w:rPr>
      </w:pPr>
      <w:r w:rsidRPr="006922CA">
        <w:rPr>
          <w:rFonts w:eastAsiaTheme="minorHAnsi"/>
          <w:kern w:val="0"/>
          <w:sz w:val="24"/>
          <w:szCs w:val="24"/>
          <w:lang w:val="en-GB" w:eastAsia="en-US"/>
        </w:rPr>
        <w:t>Preferential debts are debts which are to be paid in preference to other unsecured debts. With the passing of the 2015 Companies Act, the order on which debts are to be paid upon bankruptcy or insolvency has changed. In the Bankruptcy Act, cap 53, taxes and rates due to the government were the first priority in order of their payment.</w:t>
      </w:r>
      <w:r w:rsidRPr="00E409C1">
        <w:rPr>
          <w:rFonts w:eastAsiaTheme="minorHAnsi"/>
          <w:kern w:val="0"/>
          <w:sz w:val="24"/>
          <w:szCs w:val="24"/>
          <w:vertAlign w:val="superscript"/>
          <w:lang w:val="en-GB" w:eastAsia="en-US"/>
        </w:rPr>
        <w:footnoteReference w:id="4"/>
      </w:r>
      <w:r w:rsidRPr="006922CA">
        <w:rPr>
          <w:rFonts w:eastAsiaTheme="minorHAnsi"/>
          <w:kern w:val="0"/>
          <w:sz w:val="24"/>
          <w:szCs w:val="24"/>
          <w:lang w:val="en-GB" w:eastAsia="en-US"/>
        </w:rPr>
        <w:t xml:space="preserve"> This is however was with the exception of </w:t>
      </w:r>
      <w:r w:rsidRPr="006922CA">
        <w:rPr>
          <w:rFonts w:eastAsiaTheme="minorHAnsi"/>
          <w:kern w:val="0"/>
          <w:sz w:val="24"/>
          <w:szCs w:val="24"/>
          <w:lang w:val="en-GB" w:eastAsia="en-US"/>
        </w:rPr>
        <w:lastRenderedPageBreak/>
        <w:t xml:space="preserve">situations where </w:t>
      </w:r>
      <w:r w:rsidRPr="006922CA">
        <w:rPr>
          <w:rFonts w:eastAsiaTheme="minorHAnsi"/>
          <w:color w:val="000000"/>
          <w:kern w:val="0"/>
          <w:sz w:val="24"/>
          <w:szCs w:val="24"/>
          <w:lang w:val="en-GB" w:eastAsia="en-US"/>
        </w:rPr>
        <w:t>a labourer or workman had entered into a contract for the payment of a portion of his wages in a lump sum at the end of the period of hiring.</w:t>
      </w:r>
    </w:p>
    <w:p w:rsidR="006922CA" w:rsidRPr="006922CA" w:rsidRDefault="006922CA" w:rsidP="009E748E">
      <w:pPr>
        <w:widowControl/>
        <w:autoSpaceDE w:val="0"/>
        <w:autoSpaceDN w:val="0"/>
        <w:adjustRightInd w:val="0"/>
        <w:spacing w:line="360" w:lineRule="auto"/>
        <w:rPr>
          <w:rFonts w:eastAsiaTheme="minorHAnsi"/>
          <w:kern w:val="0"/>
          <w:sz w:val="24"/>
          <w:szCs w:val="24"/>
          <w:lang w:eastAsia="en-US"/>
        </w:rPr>
      </w:pPr>
      <w:r w:rsidRPr="006922CA">
        <w:rPr>
          <w:rFonts w:eastAsiaTheme="minorHAnsi"/>
          <w:color w:val="000000"/>
          <w:kern w:val="0"/>
          <w:sz w:val="24"/>
          <w:szCs w:val="24"/>
          <w:lang w:val="en-GB" w:eastAsia="en-US"/>
        </w:rPr>
        <w:t xml:space="preserve">The Companies Act, 2015, has brought out three forms of priorities of debts which are totally different from the Bankruptcy Act. The order in which such debts are to be paid is set out under the second schedule. </w:t>
      </w:r>
      <w:r w:rsidRPr="006922CA">
        <w:rPr>
          <w:rFonts w:eastAsiaTheme="minorHAnsi"/>
          <w:kern w:val="0"/>
          <w:sz w:val="24"/>
          <w:szCs w:val="24"/>
          <w:lang w:eastAsia="en-US"/>
        </w:rPr>
        <w:t>The expenses of the bankruptcy or liquidation have first priority.</w:t>
      </w:r>
      <w:r w:rsidRPr="00E409C1">
        <w:rPr>
          <w:rFonts w:eastAsiaTheme="minorHAnsi"/>
          <w:kern w:val="0"/>
          <w:sz w:val="24"/>
          <w:szCs w:val="24"/>
          <w:vertAlign w:val="superscript"/>
          <w:lang w:eastAsia="en-US"/>
        </w:rPr>
        <w:footnoteReference w:id="5"/>
      </w:r>
      <w:r w:rsidRPr="006922CA">
        <w:rPr>
          <w:rFonts w:eastAsiaTheme="minorHAnsi"/>
          <w:kern w:val="0"/>
          <w:sz w:val="24"/>
          <w:szCs w:val="24"/>
          <w:lang w:eastAsia="en-US"/>
        </w:rPr>
        <w:t xml:space="preserve"> These expenses include; the remuneration of the bankruptcy trustee or liquidator, and the fees and expenses they incurred in the process of discharging their duties. Other debts that fall under this priority include the cost of the person who applied for the liquidation order and also the cost of the creditor who preserves property of the company for the benefit of other creditors.</w:t>
      </w:r>
    </w:p>
    <w:p w:rsidR="006922CA" w:rsidRPr="009E748E" w:rsidRDefault="006922CA" w:rsidP="009E748E">
      <w:pPr>
        <w:widowControl/>
        <w:autoSpaceDE w:val="0"/>
        <w:autoSpaceDN w:val="0"/>
        <w:adjustRightInd w:val="0"/>
        <w:spacing w:line="360" w:lineRule="auto"/>
        <w:rPr>
          <w:rFonts w:eastAsiaTheme="minorHAnsi"/>
          <w:kern w:val="0"/>
          <w:sz w:val="24"/>
          <w:szCs w:val="24"/>
          <w:lang w:eastAsia="en-US"/>
        </w:rPr>
      </w:pPr>
      <w:r w:rsidRPr="006922CA">
        <w:rPr>
          <w:rFonts w:eastAsiaTheme="minorHAnsi"/>
          <w:kern w:val="0"/>
          <w:sz w:val="24"/>
          <w:szCs w:val="24"/>
          <w:lang w:eastAsia="en-US"/>
        </w:rPr>
        <w:t>After satisfaction of the above debts, there are other debts that have second priority. They include; all wages or salaries payable to employees for services provided to the company during the four months before the commencement of the bankruptcy or liquidation, any compensation for redundancy, amounts deducted by the company from the wages or salaries of employees in order to satisfy their obligations to other persons eg KRA, any reimbursement or payment provided for. The third priority debts which are to be met to the extent that they remain unpaid are taxes to the government. These taxes include PAYE, income tax, excise and duty tax</w:t>
      </w:r>
      <w:r w:rsidR="009E748E">
        <w:rPr>
          <w:rFonts w:eastAsiaTheme="minorHAnsi"/>
          <w:kern w:val="0"/>
          <w:sz w:val="24"/>
          <w:szCs w:val="24"/>
          <w:lang w:eastAsia="en-US"/>
        </w:rPr>
        <w:t>.</w:t>
      </w:r>
    </w:p>
    <w:p w:rsidR="00B61BD3" w:rsidRPr="00B61BD3" w:rsidRDefault="00B61BD3" w:rsidP="009E748E">
      <w:pPr>
        <w:widowControl/>
        <w:spacing w:after="200" w:line="360" w:lineRule="auto"/>
        <w:rPr>
          <w:rFonts w:eastAsiaTheme="minorHAnsi"/>
          <w:b/>
          <w:kern w:val="0"/>
          <w:sz w:val="24"/>
          <w:szCs w:val="24"/>
          <w:u w:val="single"/>
          <w:lang w:eastAsia="en-US"/>
        </w:rPr>
      </w:pPr>
      <w:r w:rsidRPr="00B61BD3">
        <w:rPr>
          <w:rFonts w:eastAsiaTheme="minorHAnsi"/>
          <w:b/>
          <w:kern w:val="0"/>
          <w:sz w:val="24"/>
          <w:szCs w:val="24"/>
          <w:u w:val="single"/>
          <w:lang w:eastAsia="en-US"/>
        </w:rPr>
        <w:t>APPOINTMENT OF SPECIAL MANAGER OF THE COMPANY’S BUSINESS</w:t>
      </w:r>
    </w:p>
    <w:p w:rsidR="00B61BD3" w:rsidRPr="00B61BD3" w:rsidRDefault="00B61BD3" w:rsidP="009E748E">
      <w:pPr>
        <w:widowControl/>
        <w:spacing w:after="200" w:line="360" w:lineRule="auto"/>
        <w:rPr>
          <w:rFonts w:eastAsiaTheme="minorHAnsi"/>
          <w:kern w:val="0"/>
          <w:sz w:val="24"/>
          <w:szCs w:val="24"/>
          <w:lang w:eastAsia="en-US"/>
        </w:rPr>
      </w:pPr>
      <w:r w:rsidRPr="00B61BD3">
        <w:rPr>
          <w:rFonts w:eastAsiaTheme="minorHAnsi"/>
          <w:kern w:val="0"/>
          <w:sz w:val="24"/>
          <w:szCs w:val="24"/>
          <w:lang w:eastAsia="en-US"/>
        </w:rPr>
        <w:t>A liquidator or provisional liquidator makes an application to court for appointment of special manager.</w:t>
      </w:r>
      <w:r w:rsidRPr="00E409C1">
        <w:rPr>
          <w:rFonts w:eastAsiaTheme="minorHAnsi"/>
          <w:kern w:val="0"/>
          <w:sz w:val="24"/>
          <w:szCs w:val="24"/>
          <w:vertAlign w:val="superscript"/>
          <w:lang w:eastAsia="en-US"/>
        </w:rPr>
        <w:footnoteReference w:id="6"/>
      </w:r>
      <w:r w:rsidRPr="00B61BD3">
        <w:rPr>
          <w:rFonts w:eastAsiaTheme="minorHAnsi"/>
          <w:kern w:val="0"/>
          <w:sz w:val="24"/>
          <w:szCs w:val="24"/>
          <w:lang w:eastAsia="en-US"/>
        </w:rPr>
        <w:t xml:space="preserve"> The nature of the business or property and the interests of company’s creditors, contributories or members generally are reasons for making an application for the appointment of a special manager.</w:t>
      </w:r>
      <w:r w:rsidRPr="00E409C1">
        <w:rPr>
          <w:rFonts w:eastAsiaTheme="minorHAnsi"/>
          <w:kern w:val="0"/>
          <w:sz w:val="24"/>
          <w:szCs w:val="24"/>
          <w:vertAlign w:val="superscript"/>
          <w:lang w:eastAsia="en-US"/>
        </w:rPr>
        <w:footnoteReference w:id="7"/>
      </w:r>
      <w:r w:rsidRPr="00B61BD3">
        <w:rPr>
          <w:rFonts w:eastAsiaTheme="minorHAnsi"/>
          <w:kern w:val="0"/>
          <w:sz w:val="24"/>
          <w:szCs w:val="24"/>
          <w:lang w:eastAsia="en-US"/>
        </w:rPr>
        <w:t xml:space="preserve"> The court then may appoint a special manager</w:t>
      </w:r>
      <w:r w:rsidRPr="00E409C1">
        <w:rPr>
          <w:rFonts w:eastAsiaTheme="minorHAnsi"/>
          <w:kern w:val="0"/>
          <w:sz w:val="24"/>
          <w:szCs w:val="24"/>
          <w:vertAlign w:val="superscript"/>
          <w:lang w:eastAsia="en-US"/>
        </w:rPr>
        <w:footnoteReference w:id="8"/>
      </w:r>
      <w:r w:rsidRPr="00B61BD3">
        <w:rPr>
          <w:rFonts w:eastAsiaTheme="minorHAnsi"/>
          <w:kern w:val="0"/>
          <w:sz w:val="24"/>
          <w:szCs w:val="24"/>
          <w:lang w:eastAsia="en-US"/>
        </w:rPr>
        <w:t xml:space="preserve"> and specify powers vested on the special manager on appointment.</w:t>
      </w:r>
      <w:r w:rsidRPr="00E409C1">
        <w:rPr>
          <w:rFonts w:eastAsiaTheme="minorHAnsi"/>
          <w:kern w:val="0"/>
          <w:sz w:val="24"/>
          <w:szCs w:val="24"/>
          <w:vertAlign w:val="superscript"/>
          <w:lang w:eastAsia="en-US"/>
        </w:rPr>
        <w:footnoteReference w:id="9"/>
      </w:r>
      <w:r w:rsidRPr="00B61BD3">
        <w:rPr>
          <w:rFonts w:eastAsiaTheme="minorHAnsi"/>
          <w:kern w:val="0"/>
          <w:sz w:val="24"/>
          <w:szCs w:val="24"/>
          <w:lang w:eastAsia="en-US"/>
        </w:rPr>
        <w:t xml:space="preserve"> In addition, the court in issuing powers to the appointed special manager may be directed by an application by the special manager.</w:t>
      </w:r>
      <w:r w:rsidRPr="00E409C1">
        <w:rPr>
          <w:rFonts w:eastAsiaTheme="minorHAnsi"/>
          <w:kern w:val="0"/>
          <w:sz w:val="24"/>
          <w:szCs w:val="24"/>
          <w:vertAlign w:val="superscript"/>
          <w:lang w:eastAsia="en-US"/>
        </w:rPr>
        <w:footnoteReference w:id="10"/>
      </w:r>
      <w:r w:rsidRPr="00B61BD3">
        <w:rPr>
          <w:rFonts w:eastAsiaTheme="minorHAnsi"/>
          <w:kern w:val="0"/>
          <w:sz w:val="24"/>
          <w:szCs w:val="24"/>
          <w:lang w:eastAsia="en-US"/>
        </w:rPr>
        <w:t xml:space="preserve"> The court has the power to direct that any provision of the Insolvency Act that has effect in relation to a provisional liquidator or liquidator of a company, has the same effect to the special manager.</w:t>
      </w:r>
      <w:r w:rsidRPr="00E409C1">
        <w:rPr>
          <w:rFonts w:eastAsiaTheme="minorHAnsi"/>
          <w:kern w:val="0"/>
          <w:sz w:val="24"/>
          <w:szCs w:val="24"/>
          <w:vertAlign w:val="superscript"/>
          <w:lang w:eastAsia="en-US"/>
        </w:rPr>
        <w:footnoteReference w:id="11"/>
      </w:r>
    </w:p>
    <w:p w:rsidR="00B61BD3" w:rsidRPr="00B61BD3" w:rsidRDefault="00E26631" w:rsidP="009E748E">
      <w:pPr>
        <w:widowControl/>
        <w:spacing w:after="200" w:line="360" w:lineRule="auto"/>
        <w:rPr>
          <w:rFonts w:eastAsiaTheme="minorHAnsi"/>
          <w:b/>
          <w:kern w:val="0"/>
          <w:sz w:val="24"/>
          <w:szCs w:val="24"/>
          <w:lang w:eastAsia="en-US"/>
        </w:rPr>
      </w:pPr>
      <w:r w:rsidRPr="0002119A">
        <w:rPr>
          <w:rFonts w:eastAsiaTheme="minorHAnsi"/>
          <w:b/>
          <w:kern w:val="0"/>
          <w:sz w:val="24"/>
          <w:szCs w:val="24"/>
          <w:u w:val="single"/>
          <w:lang w:eastAsia="en-US"/>
        </w:rPr>
        <w:lastRenderedPageBreak/>
        <w:t>DUTIES OF A SPECIAL MANAGER</w:t>
      </w:r>
      <w:r w:rsidR="00B61BD3" w:rsidRPr="00E409C1">
        <w:rPr>
          <w:rFonts w:eastAsiaTheme="minorHAnsi"/>
          <w:b/>
          <w:kern w:val="0"/>
          <w:sz w:val="24"/>
          <w:szCs w:val="24"/>
          <w:vertAlign w:val="superscript"/>
          <w:lang w:eastAsia="en-US"/>
        </w:rPr>
        <w:footnoteReference w:id="12"/>
      </w:r>
    </w:p>
    <w:p w:rsidR="00B61BD3" w:rsidRPr="00B61BD3" w:rsidRDefault="00B61BD3" w:rsidP="009E748E">
      <w:pPr>
        <w:widowControl/>
        <w:numPr>
          <w:ilvl w:val="0"/>
          <w:numId w:val="1"/>
        </w:numPr>
        <w:spacing w:after="200" w:line="360" w:lineRule="auto"/>
        <w:contextualSpacing/>
        <w:rPr>
          <w:rFonts w:eastAsiaTheme="minorHAnsi"/>
          <w:kern w:val="0"/>
          <w:sz w:val="24"/>
          <w:szCs w:val="24"/>
          <w:lang w:eastAsia="en-US"/>
        </w:rPr>
      </w:pPr>
      <w:r w:rsidRPr="00B61BD3">
        <w:rPr>
          <w:rFonts w:eastAsiaTheme="minorHAnsi"/>
          <w:kern w:val="0"/>
          <w:sz w:val="24"/>
          <w:szCs w:val="24"/>
          <w:lang w:eastAsia="en-US"/>
        </w:rPr>
        <w:t>To give such security as may be prescribed by the insolvency regulations.</w:t>
      </w:r>
    </w:p>
    <w:p w:rsidR="00B61BD3" w:rsidRPr="00B61BD3" w:rsidRDefault="00B61BD3" w:rsidP="009E748E">
      <w:pPr>
        <w:widowControl/>
        <w:numPr>
          <w:ilvl w:val="0"/>
          <w:numId w:val="1"/>
        </w:numPr>
        <w:spacing w:after="200" w:line="360" w:lineRule="auto"/>
        <w:contextualSpacing/>
        <w:rPr>
          <w:rFonts w:eastAsiaTheme="minorHAnsi"/>
          <w:kern w:val="0"/>
          <w:sz w:val="24"/>
          <w:szCs w:val="24"/>
          <w:lang w:eastAsia="en-US"/>
        </w:rPr>
      </w:pPr>
      <w:r w:rsidRPr="00B61BD3">
        <w:rPr>
          <w:rFonts w:eastAsiaTheme="minorHAnsi"/>
          <w:kern w:val="0"/>
          <w:sz w:val="24"/>
          <w:szCs w:val="24"/>
          <w:lang w:eastAsia="en-US"/>
        </w:rPr>
        <w:t>Prepare and keep prescribed accounting records.</w:t>
      </w:r>
    </w:p>
    <w:p w:rsidR="00B61BD3" w:rsidRPr="00B61BD3" w:rsidRDefault="00B61BD3" w:rsidP="009E748E">
      <w:pPr>
        <w:widowControl/>
        <w:numPr>
          <w:ilvl w:val="0"/>
          <w:numId w:val="1"/>
        </w:numPr>
        <w:spacing w:after="200" w:line="360" w:lineRule="auto"/>
        <w:contextualSpacing/>
        <w:rPr>
          <w:rFonts w:eastAsiaTheme="minorHAnsi"/>
          <w:kern w:val="0"/>
          <w:sz w:val="24"/>
          <w:szCs w:val="24"/>
          <w:lang w:eastAsia="en-US"/>
        </w:rPr>
      </w:pPr>
      <w:r w:rsidRPr="00B61BD3">
        <w:rPr>
          <w:rFonts w:eastAsiaTheme="minorHAnsi"/>
          <w:kern w:val="0"/>
          <w:sz w:val="24"/>
          <w:szCs w:val="24"/>
          <w:lang w:eastAsia="en-US"/>
        </w:rPr>
        <w:t>Produce accounting records in accordance with the insolvency regulations to the court or to other persons as prescribed.</w:t>
      </w:r>
    </w:p>
    <w:p w:rsidR="00B61BD3" w:rsidRPr="00B61BD3" w:rsidRDefault="00B61BD3" w:rsidP="009E748E">
      <w:pPr>
        <w:widowControl/>
        <w:spacing w:after="200" w:line="360" w:lineRule="auto"/>
        <w:rPr>
          <w:rFonts w:eastAsiaTheme="minorHAnsi"/>
          <w:kern w:val="0"/>
          <w:sz w:val="24"/>
          <w:szCs w:val="24"/>
          <w:lang w:eastAsia="en-US"/>
        </w:rPr>
      </w:pPr>
      <w:r w:rsidRPr="00B61BD3">
        <w:rPr>
          <w:rFonts w:eastAsiaTheme="minorHAnsi"/>
          <w:kern w:val="0"/>
          <w:sz w:val="24"/>
          <w:szCs w:val="24"/>
          <w:lang w:eastAsia="en-US"/>
        </w:rPr>
        <w:t>A special manager who fails to prepare, keep and produce accounting records to the court or other persons as prescribed is guilty of contempt of court and is liable to be punished.</w:t>
      </w:r>
      <w:r w:rsidRPr="00E409C1">
        <w:rPr>
          <w:rFonts w:eastAsiaTheme="minorHAnsi"/>
          <w:kern w:val="0"/>
          <w:sz w:val="24"/>
          <w:szCs w:val="24"/>
          <w:vertAlign w:val="superscript"/>
          <w:lang w:eastAsia="en-US"/>
        </w:rPr>
        <w:footnoteReference w:id="13"/>
      </w:r>
    </w:p>
    <w:p w:rsidR="00B61BD3" w:rsidRPr="00B61BD3" w:rsidRDefault="00B61BD3" w:rsidP="009E748E">
      <w:pPr>
        <w:widowControl/>
        <w:spacing w:after="200" w:line="360" w:lineRule="auto"/>
        <w:rPr>
          <w:rFonts w:eastAsiaTheme="minorHAnsi"/>
          <w:b/>
          <w:kern w:val="0"/>
          <w:sz w:val="24"/>
          <w:szCs w:val="24"/>
          <w:u w:val="single"/>
          <w:lang w:eastAsia="en-US"/>
        </w:rPr>
      </w:pPr>
      <w:r w:rsidRPr="00B61BD3">
        <w:rPr>
          <w:rFonts w:eastAsiaTheme="minorHAnsi"/>
          <w:b/>
          <w:kern w:val="0"/>
          <w:sz w:val="24"/>
          <w:szCs w:val="24"/>
          <w:u w:val="single"/>
          <w:lang w:eastAsia="en-US"/>
        </w:rPr>
        <w:t>GENERAL POWERS OF THE COURT IN RESPECT OF DISCLAIMED PROPERTY</w:t>
      </w:r>
    </w:p>
    <w:p w:rsidR="00B61BD3" w:rsidRPr="00B61BD3" w:rsidRDefault="00B61BD3" w:rsidP="009E748E">
      <w:pPr>
        <w:widowControl/>
        <w:spacing w:after="200" w:line="360" w:lineRule="auto"/>
        <w:rPr>
          <w:rFonts w:eastAsiaTheme="minorHAnsi"/>
          <w:kern w:val="0"/>
          <w:sz w:val="24"/>
          <w:szCs w:val="24"/>
          <w:lang w:eastAsia="en-US"/>
        </w:rPr>
      </w:pPr>
      <w:r w:rsidRPr="00B61BD3">
        <w:rPr>
          <w:rFonts w:eastAsiaTheme="minorHAnsi"/>
          <w:kern w:val="0"/>
          <w:sz w:val="24"/>
          <w:szCs w:val="24"/>
          <w:lang w:eastAsia="en-US"/>
        </w:rPr>
        <w:t>A person who claims an interest in the disclaimed property or a person who is under a liability in respect of the disclaimed property makes an application to court for an order.</w:t>
      </w:r>
      <w:r w:rsidRPr="00E409C1">
        <w:rPr>
          <w:rFonts w:eastAsiaTheme="minorHAnsi"/>
          <w:kern w:val="0"/>
          <w:sz w:val="24"/>
          <w:szCs w:val="24"/>
          <w:vertAlign w:val="superscript"/>
          <w:lang w:eastAsia="en-US"/>
        </w:rPr>
        <w:footnoteReference w:id="14"/>
      </w:r>
      <w:r w:rsidRPr="00B61BD3">
        <w:rPr>
          <w:rFonts w:eastAsiaTheme="minorHAnsi"/>
          <w:kern w:val="0"/>
          <w:sz w:val="24"/>
          <w:szCs w:val="24"/>
          <w:lang w:eastAsia="en-US"/>
        </w:rPr>
        <w:t xml:space="preserve"> The court will hear the application and make an order for the vesting of the disclaimed property or for its delivery to:</w:t>
      </w:r>
      <w:r w:rsidRPr="00E409C1">
        <w:rPr>
          <w:rFonts w:eastAsiaTheme="minorHAnsi"/>
          <w:kern w:val="0"/>
          <w:sz w:val="24"/>
          <w:szCs w:val="24"/>
          <w:vertAlign w:val="superscript"/>
          <w:lang w:eastAsia="en-US"/>
        </w:rPr>
        <w:footnoteReference w:id="15"/>
      </w:r>
    </w:p>
    <w:p w:rsidR="00B61BD3" w:rsidRPr="00B61BD3" w:rsidRDefault="00B61BD3" w:rsidP="009E748E">
      <w:pPr>
        <w:widowControl/>
        <w:spacing w:after="200" w:line="360" w:lineRule="auto"/>
        <w:rPr>
          <w:rFonts w:eastAsiaTheme="minorHAnsi"/>
          <w:kern w:val="0"/>
          <w:sz w:val="24"/>
          <w:szCs w:val="24"/>
          <w:lang w:eastAsia="en-US"/>
        </w:rPr>
      </w:pPr>
      <w:r w:rsidRPr="00B61BD3">
        <w:rPr>
          <w:rFonts w:eastAsiaTheme="minorHAnsi"/>
          <w:kern w:val="0"/>
          <w:sz w:val="24"/>
          <w:szCs w:val="24"/>
          <w:lang w:eastAsia="en-US"/>
        </w:rPr>
        <w:t>a. a person entitled to the disclaimed property or his/her trustee or</w:t>
      </w:r>
    </w:p>
    <w:p w:rsidR="00B61BD3" w:rsidRPr="00B61BD3" w:rsidRDefault="00B61BD3" w:rsidP="009E748E">
      <w:pPr>
        <w:widowControl/>
        <w:spacing w:after="200" w:line="360" w:lineRule="auto"/>
        <w:rPr>
          <w:rFonts w:eastAsiaTheme="minorHAnsi"/>
          <w:kern w:val="0"/>
          <w:sz w:val="24"/>
          <w:szCs w:val="24"/>
          <w:lang w:eastAsia="en-US"/>
        </w:rPr>
      </w:pPr>
      <w:r w:rsidRPr="00B61BD3">
        <w:rPr>
          <w:rFonts w:eastAsiaTheme="minorHAnsi"/>
          <w:kern w:val="0"/>
          <w:sz w:val="24"/>
          <w:szCs w:val="24"/>
          <w:lang w:eastAsia="en-US"/>
        </w:rPr>
        <w:t xml:space="preserve">b. a person who is under a liability in respect of the disclaimed property or his/her trustee. </w:t>
      </w:r>
    </w:p>
    <w:p w:rsidR="00B61BD3" w:rsidRPr="009E748E" w:rsidRDefault="00B61BD3" w:rsidP="009E748E">
      <w:pPr>
        <w:widowControl/>
        <w:spacing w:after="200" w:line="360" w:lineRule="auto"/>
        <w:rPr>
          <w:rFonts w:eastAsiaTheme="minorHAnsi"/>
          <w:kern w:val="0"/>
          <w:sz w:val="24"/>
          <w:szCs w:val="24"/>
          <w:lang w:eastAsia="en-US"/>
        </w:rPr>
      </w:pPr>
      <w:r w:rsidRPr="00B61BD3">
        <w:rPr>
          <w:rFonts w:eastAsiaTheme="minorHAnsi"/>
          <w:kern w:val="0"/>
          <w:sz w:val="24"/>
          <w:szCs w:val="24"/>
          <w:lang w:eastAsia="en-US"/>
        </w:rPr>
        <w:t>The court makes an order that is just for the purpose of compensating a person subject to the liability in respect of the disclaimer.</w:t>
      </w:r>
      <w:r w:rsidRPr="00E409C1">
        <w:rPr>
          <w:rFonts w:eastAsiaTheme="minorHAnsi"/>
          <w:kern w:val="0"/>
          <w:sz w:val="24"/>
          <w:szCs w:val="24"/>
          <w:vertAlign w:val="superscript"/>
          <w:lang w:eastAsia="en-US"/>
        </w:rPr>
        <w:footnoteReference w:id="16"/>
      </w:r>
    </w:p>
    <w:p w:rsidR="005A6747" w:rsidRPr="0002119A" w:rsidRDefault="00E26631" w:rsidP="009E748E">
      <w:pPr>
        <w:spacing w:line="360" w:lineRule="auto"/>
        <w:rPr>
          <w:b/>
          <w:sz w:val="24"/>
          <w:szCs w:val="24"/>
          <w:u w:val="single"/>
        </w:rPr>
      </w:pPr>
      <w:r w:rsidRPr="0002119A">
        <w:rPr>
          <w:b/>
          <w:sz w:val="24"/>
          <w:szCs w:val="24"/>
          <w:u w:val="single"/>
        </w:rPr>
        <w:t>DISCLAIMER OF PROPERTY</w:t>
      </w:r>
    </w:p>
    <w:p w:rsidR="005A6747" w:rsidRPr="00E409C1" w:rsidRDefault="005A6747" w:rsidP="009E748E">
      <w:pPr>
        <w:spacing w:line="360" w:lineRule="auto"/>
        <w:rPr>
          <w:sz w:val="24"/>
          <w:szCs w:val="24"/>
        </w:rPr>
      </w:pPr>
      <w:r w:rsidRPr="00E409C1">
        <w:rPr>
          <w:sz w:val="24"/>
          <w:szCs w:val="24"/>
        </w:rPr>
        <w:t>If a company goes into liquidation, the liquidator is able to disclaim the whole of an insolvent tenant’s liability under a lease. The disclaimer ends all of the tenant’s rights, interests and liabilities, effectively meaning that the tenant can get out of the lease early. This can have a significant impact on a landlord, whose expected income from the property suddenly comes to an end.</w:t>
      </w:r>
    </w:p>
    <w:p w:rsidR="005A6747" w:rsidRPr="00E409C1" w:rsidRDefault="005A6747" w:rsidP="009E748E">
      <w:pPr>
        <w:spacing w:before="100" w:beforeAutospacing="1" w:after="100" w:afterAutospacing="1" w:line="360" w:lineRule="auto"/>
        <w:rPr>
          <w:rFonts w:eastAsia="Times New Roman"/>
          <w:kern w:val="0"/>
          <w:sz w:val="24"/>
          <w:szCs w:val="24"/>
          <w:lang w:eastAsia="en-US"/>
        </w:rPr>
      </w:pPr>
      <w:r w:rsidRPr="00E409C1">
        <w:rPr>
          <w:sz w:val="24"/>
          <w:szCs w:val="24"/>
        </w:rPr>
        <w:t xml:space="preserve">The right to disclaim arises when an insolvent company is put into liquidation with a view to collecting in the assets and using them to pay off the company’s debts and liabilities (prior to it </w:t>
      </w:r>
      <w:r w:rsidRPr="00E409C1">
        <w:rPr>
          <w:sz w:val="24"/>
          <w:szCs w:val="24"/>
        </w:rPr>
        <w:lastRenderedPageBreak/>
        <w:t>being dissolved). To enable this process, one of the liquidator’s key powers is his right to disclaim “onerous property”.</w:t>
      </w:r>
      <w:r w:rsidRPr="00E409C1">
        <w:rPr>
          <w:rStyle w:val="FootnoteReference"/>
          <w:sz w:val="24"/>
          <w:szCs w:val="24"/>
        </w:rPr>
        <w:footnoteReference w:id="17"/>
      </w:r>
      <w:r w:rsidRPr="00E409C1">
        <w:rPr>
          <w:sz w:val="24"/>
          <w:szCs w:val="24"/>
        </w:rPr>
        <w:t xml:space="preserve"> This is defined under section 476(2)as any unprofitable contract or property of the company that is unsaleable o</w:t>
      </w:r>
      <w:r w:rsidR="00E409C1" w:rsidRPr="00E409C1">
        <w:rPr>
          <w:sz w:val="24"/>
          <w:szCs w:val="24"/>
        </w:rPr>
        <w:t>r may give rise to liabilities.</w:t>
      </w:r>
    </w:p>
    <w:p w:rsidR="005A6747" w:rsidRPr="00E409C1" w:rsidRDefault="005A6747" w:rsidP="009E748E">
      <w:pPr>
        <w:spacing w:line="360" w:lineRule="auto"/>
        <w:rPr>
          <w:sz w:val="24"/>
          <w:szCs w:val="24"/>
        </w:rPr>
      </w:pPr>
      <w:r w:rsidRPr="00E409C1">
        <w:rPr>
          <w:sz w:val="24"/>
          <w:szCs w:val="24"/>
        </w:rPr>
        <w:t>A disclaimer can take place at any time while the company is in liquidation. However this can leave the landlord in a difficult position, not knowing whether or when the lease will be disclaimed. He is therefore able to force a decision by serving a notice on the liquidator. This gives the liquidator 30 days to disclaim, or he loses his right to do so.</w:t>
      </w:r>
      <w:r w:rsidRPr="00E409C1">
        <w:rPr>
          <w:rStyle w:val="FootnoteReference"/>
          <w:sz w:val="24"/>
          <w:szCs w:val="24"/>
        </w:rPr>
        <w:footnoteReference w:id="18"/>
      </w:r>
    </w:p>
    <w:p w:rsidR="005A6747" w:rsidRPr="0002119A" w:rsidRDefault="00E26631" w:rsidP="009E748E">
      <w:pPr>
        <w:spacing w:line="360" w:lineRule="auto"/>
        <w:rPr>
          <w:b/>
          <w:sz w:val="24"/>
          <w:szCs w:val="24"/>
          <w:u w:val="single"/>
        </w:rPr>
      </w:pPr>
      <w:r w:rsidRPr="0002119A">
        <w:rPr>
          <w:b/>
          <w:sz w:val="24"/>
          <w:szCs w:val="24"/>
          <w:u w:val="single"/>
        </w:rPr>
        <w:t>SPECIAL PROVISIONS RELATING TO DISCLAIMER OF LEASEHOLDS</w:t>
      </w:r>
    </w:p>
    <w:p w:rsidR="005A6747" w:rsidRPr="00E409C1" w:rsidRDefault="005A6747" w:rsidP="009E748E">
      <w:pPr>
        <w:spacing w:line="360" w:lineRule="auto"/>
        <w:rPr>
          <w:sz w:val="24"/>
          <w:szCs w:val="24"/>
        </w:rPr>
      </w:pPr>
      <w:r w:rsidRPr="00E409C1">
        <w:rPr>
          <w:sz w:val="24"/>
          <w:szCs w:val="24"/>
        </w:rPr>
        <w:t>Section 477 provides that any property comprising a leasehold interest doesn't take effect unless a copy of the disclaimer has been served on every person claiming under the company as underlesee or mortgagees whose address is known to the liquidator</w:t>
      </w:r>
      <w:r w:rsidRPr="00E409C1">
        <w:rPr>
          <w:rStyle w:val="FootnoteReference"/>
          <w:sz w:val="24"/>
          <w:szCs w:val="24"/>
        </w:rPr>
        <w:footnoteReference w:id="19"/>
      </w:r>
      <w:r w:rsidRPr="00E409C1">
        <w:rPr>
          <w:sz w:val="24"/>
          <w:szCs w:val="24"/>
        </w:rPr>
        <w:t xml:space="preserve"> and either :</w:t>
      </w:r>
    </w:p>
    <w:p w:rsidR="005A6747" w:rsidRPr="00E409C1" w:rsidRDefault="005A6747" w:rsidP="009E748E">
      <w:pPr>
        <w:spacing w:line="360" w:lineRule="auto"/>
        <w:rPr>
          <w:sz w:val="24"/>
          <w:szCs w:val="24"/>
        </w:rPr>
      </w:pPr>
      <w:r w:rsidRPr="00E409C1">
        <w:rPr>
          <w:sz w:val="24"/>
          <w:szCs w:val="24"/>
        </w:rPr>
        <w:t>(a) an application under section 479 has not been made with respect to that property within fourteen days from and including the date on which the last notice served under this subsection was served; or</w:t>
      </w:r>
    </w:p>
    <w:p w:rsidR="005A6747" w:rsidRPr="00E409C1" w:rsidRDefault="005A6747" w:rsidP="009E748E">
      <w:pPr>
        <w:spacing w:line="360" w:lineRule="auto"/>
        <w:rPr>
          <w:sz w:val="24"/>
          <w:szCs w:val="24"/>
        </w:rPr>
      </w:pPr>
      <w:r w:rsidRPr="00E409C1">
        <w:rPr>
          <w:sz w:val="24"/>
          <w:szCs w:val="24"/>
        </w:rPr>
        <w:t>(b) if such an application is made—the Court makes an order directing the disclaimer to take effect.</w:t>
      </w:r>
    </w:p>
    <w:p w:rsidR="005A6747" w:rsidRPr="00E409C1" w:rsidRDefault="00E26631" w:rsidP="009E748E">
      <w:pPr>
        <w:spacing w:line="360" w:lineRule="auto"/>
        <w:rPr>
          <w:sz w:val="24"/>
          <w:szCs w:val="24"/>
        </w:rPr>
      </w:pPr>
      <w:r w:rsidRPr="0002119A">
        <w:rPr>
          <w:b/>
          <w:sz w:val="24"/>
          <w:szCs w:val="24"/>
          <w:u w:val="single"/>
        </w:rPr>
        <w:t xml:space="preserve">EFFECT OF DISCLAIMER IN RELATION TO LAND SUBJECT TO </w:t>
      </w:r>
      <w:r w:rsidRPr="00E7385A">
        <w:rPr>
          <w:b/>
          <w:sz w:val="24"/>
          <w:szCs w:val="24"/>
          <w:u w:val="single"/>
        </w:rPr>
        <w:t>RENT CHARGE</w:t>
      </w:r>
    </w:p>
    <w:p w:rsidR="005A6747" w:rsidRPr="00E409C1" w:rsidRDefault="005A6747" w:rsidP="009E748E">
      <w:pPr>
        <w:spacing w:line="360" w:lineRule="auto"/>
        <w:rPr>
          <w:sz w:val="24"/>
          <w:szCs w:val="24"/>
        </w:rPr>
      </w:pPr>
      <w:r w:rsidRPr="00E409C1">
        <w:rPr>
          <w:sz w:val="24"/>
          <w:szCs w:val="24"/>
        </w:rPr>
        <w:t>This is provided for under section 478. Hereby, the land vests by operation of law in a person not subject to any liability in respect of amounts becoming due under the rent charge except amounts that become due after the proprietor has taken possession of the land or has occupied it.</w:t>
      </w:r>
      <w:r w:rsidRPr="00E409C1">
        <w:rPr>
          <w:rStyle w:val="FootnoteReference"/>
          <w:sz w:val="24"/>
          <w:szCs w:val="24"/>
        </w:rPr>
        <w:footnoteReference w:id="20"/>
      </w:r>
    </w:p>
    <w:p w:rsidR="005A6747" w:rsidRPr="00E409C1" w:rsidRDefault="005A6747" w:rsidP="009E748E">
      <w:pPr>
        <w:spacing w:line="360" w:lineRule="auto"/>
        <w:rPr>
          <w:sz w:val="24"/>
          <w:szCs w:val="24"/>
        </w:rPr>
      </w:pPr>
    </w:p>
    <w:p w:rsidR="005A6747" w:rsidRPr="00E409C1" w:rsidRDefault="005A6747" w:rsidP="009E748E">
      <w:pPr>
        <w:spacing w:line="360" w:lineRule="auto"/>
        <w:rPr>
          <w:sz w:val="24"/>
          <w:szCs w:val="24"/>
        </w:rPr>
      </w:pPr>
    </w:p>
    <w:p w:rsidR="005A6747" w:rsidRPr="00E409C1" w:rsidRDefault="005A6747" w:rsidP="009E748E">
      <w:pPr>
        <w:spacing w:line="360" w:lineRule="auto"/>
        <w:rPr>
          <w:sz w:val="24"/>
          <w:szCs w:val="24"/>
        </w:rPr>
      </w:pPr>
    </w:p>
    <w:p w:rsidR="00DA0977" w:rsidRPr="00E409C1" w:rsidRDefault="00DA0977" w:rsidP="009E748E">
      <w:pPr>
        <w:spacing w:line="360" w:lineRule="auto"/>
        <w:rPr>
          <w:sz w:val="24"/>
          <w:szCs w:val="24"/>
        </w:rPr>
      </w:pPr>
    </w:p>
    <w:sectPr w:rsidR="00DA0977" w:rsidRPr="00E409C1" w:rsidSect="0056444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2D6A" w:rsidRDefault="00F82D6A" w:rsidP="005A6747">
      <w:r>
        <w:separator/>
      </w:r>
    </w:p>
  </w:endnote>
  <w:endnote w:type="continuationSeparator" w:id="1">
    <w:p w:rsidR="00F82D6A" w:rsidRDefault="00F82D6A" w:rsidP="005A674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2D6A" w:rsidRDefault="00F82D6A" w:rsidP="005A6747">
      <w:r>
        <w:separator/>
      </w:r>
    </w:p>
  </w:footnote>
  <w:footnote w:type="continuationSeparator" w:id="1">
    <w:p w:rsidR="00F82D6A" w:rsidRDefault="00F82D6A" w:rsidP="005A6747">
      <w:r>
        <w:continuationSeparator/>
      </w:r>
    </w:p>
  </w:footnote>
  <w:footnote w:id="2">
    <w:p w:rsidR="00D26708" w:rsidRDefault="00D26708">
      <w:pPr>
        <w:pStyle w:val="FootnoteText"/>
      </w:pPr>
      <w:r>
        <w:rPr>
          <w:rStyle w:val="FootnoteReference"/>
        </w:rPr>
        <w:footnoteRef/>
      </w:r>
      <w:r>
        <w:t xml:space="preserve"> Insolvency Act 2015</w:t>
      </w:r>
    </w:p>
  </w:footnote>
  <w:footnote w:id="3">
    <w:p w:rsidR="002824B7" w:rsidRDefault="002824B7" w:rsidP="002824B7">
      <w:pPr>
        <w:widowControl/>
        <w:spacing w:line="480" w:lineRule="auto"/>
        <w:rPr>
          <w:rFonts w:eastAsiaTheme="minorHAnsi"/>
          <w:kern w:val="0"/>
          <w:sz w:val="24"/>
          <w:szCs w:val="24"/>
          <w:lang w:val="en-GB" w:eastAsia="en-US"/>
        </w:rPr>
      </w:pPr>
      <w:r>
        <w:rPr>
          <w:rStyle w:val="FootnoteReference"/>
        </w:rPr>
        <w:footnoteRef/>
      </w:r>
      <w:hyperlink r:id="rId1" w:history="1">
        <w:r w:rsidR="007814EA" w:rsidRPr="00B6657F">
          <w:rPr>
            <w:rStyle w:val="Hyperlink"/>
            <w:rFonts w:eastAsiaTheme="minorHAnsi"/>
            <w:kern w:val="0"/>
            <w:sz w:val="24"/>
            <w:szCs w:val="24"/>
            <w:lang w:val="en-GB" w:eastAsia="en-US"/>
          </w:rPr>
          <w:t>https://aishmghrana.me/2014/03/05/power-and-duties-of-company-liquidators-and-their-books/</w:t>
        </w:r>
      </w:hyperlink>
    </w:p>
    <w:p w:rsidR="007814EA" w:rsidRPr="002824B7" w:rsidRDefault="007814EA" w:rsidP="002824B7">
      <w:pPr>
        <w:widowControl/>
        <w:spacing w:line="480" w:lineRule="auto"/>
        <w:rPr>
          <w:rFonts w:eastAsiaTheme="minorHAnsi"/>
          <w:b/>
          <w:kern w:val="0"/>
          <w:sz w:val="24"/>
          <w:szCs w:val="24"/>
          <w:lang w:val="en-GB" w:eastAsia="en-US"/>
        </w:rPr>
      </w:pPr>
      <w:bookmarkStart w:id="0" w:name="_GoBack"/>
      <w:bookmarkEnd w:id="0"/>
    </w:p>
  </w:footnote>
  <w:footnote w:id="4">
    <w:p w:rsidR="006922CA" w:rsidRPr="006C5A43" w:rsidRDefault="006922CA" w:rsidP="006922CA">
      <w:pPr>
        <w:pStyle w:val="FootnoteText"/>
      </w:pPr>
      <w:r w:rsidRPr="006C5A43">
        <w:rPr>
          <w:rStyle w:val="FootnoteReference"/>
        </w:rPr>
        <w:footnoteRef/>
      </w:r>
      <w:r w:rsidRPr="006C5A43">
        <w:t>Bankruptcy Act, s 38.</w:t>
      </w:r>
    </w:p>
  </w:footnote>
  <w:footnote w:id="5">
    <w:p w:rsidR="006922CA" w:rsidRPr="006C5A43" w:rsidRDefault="006922CA" w:rsidP="006922CA">
      <w:pPr>
        <w:pStyle w:val="FootnoteText"/>
      </w:pPr>
      <w:r w:rsidRPr="006C5A43">
        <w:rPr>
          <w:rStyle w:val="FootnoteReference"/>
        </w:rPr>
        <w:footnoteRef/>
      </w:r>
      <w:r w:rsidRPr="006C5A43">
        <w:t xml:space="preserve"> Insolvency Act, second schedule, paragraph 2.</w:t>
      </w:r>
    </w:p>
  </w:footnote>
  <w:footnote w:id="6">
    <w:p w:rsidR="00B61BD3" w:rsidRDefault="00B61BD3" w:rsidP="00B61BD3">
      <w:pPr>
        <w:pStyle w:val="FootnoteText"/>
      </w:pPr>
      <w:r>
        <w:rPr>
          <w:rStyle w:val="FootnoteReference"/>
        </w:rPr>
        <w:footnoteRef/>
      </w:r>
      <w:r w:rsidRPr="000C1C25">
        <w:rPr>
          <w:i/>
        </w:rPr>
        <w:t>The Insolvency Act</w:t>
      </w:r>
      <w:r>
        <w:t>, No.18 of 2015, Section 475(2).</w:t>
      </w:r>
    </w:p>
  </w:footnote>
  <w:footnote w:id="7">
    <w:p w:rsidR="00B61BD3" w:rsidRDefault="00B61BD3" w:rsidP="00B61BD3">
      <w:pPr>
        <w:pStyle w:val="FootnoteText"/>
      </w:pPr>
      <w:r>
        <w:rPr>
          <w:rStyle w:val="FootnoteReference"/>
        </w:rPr>
        <w:footnoteRef/>
      </w:r>
      <w:r w:rsidRPr="00686C6B">
        <w:rPr>
          <w:i/>
        </w:rPr>
        <w:t>The Insolvency Act, No. 18 of 2015</w:t>
      </w:r>
      <w:r>
        <w:t>, Section 475(2).</w:t>
      </w:r>
    </w:p>
  </w:footnote>
  <w:footnote w:id="8">
    <w:p w:rsidR="00B61BD3" w:rsidRDefault="00B61BD3" w:rsidP="00B61BD3">
      <w:pPr>
        <w:pStyle w:val="FootnoteText"/>
      </w:pPr>
      <w:r>
        <w:rPr>
          <w:rStyle w:val="FootnoteReference"/>
        </w:rPr>
        <w:footnoteRef/>
      </w:r>
      <w:r w:rsidRPr="00CC5995">
        <w:rPr>
          <w:i/>
        </w:rPr>
        <w:t>The Insolvency Act</w:t>
      </w:r>
      <w:r>
        <w:t>, No. 18 of 2015, Section 475(1).</w:t>
      </w:r>
    </w:p>
  </w:footnote>
  <w:footnote w:id="9">
    <w:p w:rsidR="00B61BD3" w:rsidRDefault="00B61BD3" w:rsidP="00B61BD3">
      <w:pPr>
        <w:pStyle w:val="FootnoteText"/>
      </w:pPr>
      <w:r>
        <w:rPr>
          <w:rStyle w:val="FootnoteReference"/>
        </w:rPr>
        <w:footnoteRef/>
      </w:r>
      <w:r w:rsidRPr="00CC5995">
        <w:rPr>
          <w:i/>
        </w:rPr>
        <w:t>The Insolvency Act</w:t>
      </w:r>
      <w:r>
        <w:t>, No.18 of 2015,Section 475(3).</w:t>
      </w:r>
    </w:p>
  </w:footnote>
  <w:footnote w:id="10">
    <w:p w:rsidR="00B61BD3" w:rsidRDefault="00B61BD3" w:rsidP="00B61BD3">
      <w:pPr>
        <w:pStyle w:val="FootnoteText"/>
      </w:pPr>
      <w:r>
        <w:rPr>
          <w:rStyle w:val="FootnoteReference"/>
        </w:rPr>
        <w:footnoteRef/>
      </w:r>
      <w:r w:rsidRPr="00CC5995">
        <w:rPr>
          <w:i/>
        </w:rPr>
        <w:t>The Insolvency Act</w:t>
      </w:r>
      <w:r>
        <w:t>, No.18 of 2015, Section 475(3).</w:t>
      </w:r>
    </w:p>
  </w:footnote>
  <w:footnote w:id="11">
    <w:p w:rsidR="00B61BD3" w:rsidRDefault="00B61BD3" w:rsidP="00B61BD3">
      <w:pPr>
        <w:pStyle w:val="FootnoteText"/>
      </w:pPr>
      <w:r>
        <w:rPr>
          <w:rStyle w:val="FootnoteReference"/>
        </w:rPr>
        <w:footnoteRef/>
      </w:r>
      <w:r w:rsidRPr="00CC5995">
        <w:rPr>
          <w:i/>
        </w:rPr>
        <w:t>The Insolvency Act</w:t>
      </w:r>
      <w:r>
        <w:t>, No.18 of 2015, Section 475(4).</w:t>
      </w:r>
    </w:p>
  </w:footnote>
  <w:footnote w:id="12">
    <w:p w:rsidR="00B61BD3" w:rsidRDefault="00B61BD3" w:rsidP="00B61BD3">
      <w:pPr>
        <w:pStyle w:val="FootnoteText"/>
      </w:pPr>
      <w:r>
        <w:rPr>
          <w:rStyle w:val="FootnoteReference"/>
        </w:rPr>
        <w:footnoteRef/>
      </w:r>
      <w:r w:rsidRPr="00CC5995">
        <w:rPr>
          <w:i/>
        </w:rPr>
        <w:t>The Insolvency Act</w:t>
      </w:r>
      <w:r>
        <w:t>, No. 18 of 2015, Section 475(5).</w:t>
      </w:r>
    </w:p>
  </w:footnote>
  <w:footnote w:id="13">
    <w:p w:rsidR="00B61BD3" w:rsidRDefault="00B61BD3" w:rsidP="00B61BD3">
      <w:pPr>
        <w:pStyle w:val="FootnoteText"/>
      </w:pPr>
      <w:r>
        <w:rPr>
          <w:rStyle w:val="FootnoteReference"/>
        </w:rPr>
        <w:footnoteRef/>
      </w:r>
      <w:r w:rsidRPr="00CC5995">
        <w:rPr>
          <w:i/>
        </w:rPr>
        <w:t>The Insolvency Act</w:t>
      </w:r>
      <w:r>
        <w:t>, No. 18 of 2015, Section 475(7).</w:t>
      </w:r>
    </w:p>
  </w:footnote>
  <w:footnote w:id="14">
    <w:p w:rsidR="00B61BD3" w:rsidRDefault="00B61BD3" w:rsidP="00B61BD3">
      <w:pPr>
        <w:pStyle w:val="FootnoteText"/>
      </w:pPr>
      <w:r>
        <w:rPr>
          <w:rStyle w:val="FootnoteReference"/>
        </w:rPr>
        <w:footnoteRef/>
      </w:r>
      <w:r w:rsidRPr="00CC5995">
        <w:rPr>
          <w:i/>
        </w:rPr>
        <w:t>The Insolvency Act</w:t>
      </w:r>
      <w:r>
        <w:t>, No. 18 of 2015, Section 479(2).</w:t>
      </w:r>
    </w:p>
  </w:footnote>
  <w:footnote w:id="15">
    <w:p w:rsidR="00B61BD3" w:rsidRDefault="00B61BD3" w:rsidP="00B61BD3">
      <w:pPr>
        <w:pStyle w:val="FootnoteText"/>
      </w:pPr>
      <w:r>
        <w:rPr>
          <w:rStyle w:val="FootnoteReference"/>
        </w:rPr>
        <w:footnoteRef/>
      </w:r>
      <w:r w:rsidRPr="00CC5995">
        <w:rPr>
          <w:i/>
        </w:rPr>
        <w:t>The Insolvency Act</w:t>
      </w:r>
      <w:r>
        <w:t>, No. 18 of 2015, Section 479(3).</w:t>
      </w:r>
    </w:p>
  </w:footnote>
  <w:footnote w:id="16">
    <w:p w:rsidR="00B61BD3" w:rsidRDefault="00B61BD3" w:rsidP="00B61BD3">
      <w:pPr>
        <w:pStyle w:val="FootnoteText"/>
      </w:pPr>
      <w:r>
        <w:rPr>
          <w:rStyle w:val="FootnoteReference"/>
        </w:rPr>
        <w:footnoteRef/>
      </w:r>
      <w:r w:rsidRPr="00CC5995">
        <w:rPr>
          <w:i/>
        </w:rPr>
        <w:t>The Insolvency Act</w:t>
      </w:r>
      <w:r>
        <w:t>, No. 18 of 2015, Section 479(4).</w:t>
      </w:r>
    </w:p>
  </w:footnote>
  <w:footnote w:id="17">
    <w:p w:rsidR="005A6747" w:rsidRDefault="005A6747" w:rsidP="005A6747">
      <w:pPr>
        <w:pStyle w:val="FootnoteText"/>
      </w:pPr>
      <w:r>
        <w:rPr>
          <w:rStyle w:val="FootnoteReference"/>
        </w:rPr>
        <w:footnoteRef/>
      </w:r>
      <w:r>
        <w:t xml:space="preserve"> Section 476</w:t>
      </w:r>
    </w:p>
  </w:footnote>
  <w:footnote w:id="18">
    <w:p w:rsidR="005A6747" w:rsidRDefault="005A6747" w:rsidP="005A6747">
      <w:pPr>
        <w:pStyle w:val="FootnoteText"/>
      </w:pPr>
      <w:r>
        <w:rPr>
          <w:rStyle w:val="FootnoteReference"/>
        </w:rPr>
        <w:footnoteRef/>
      </w:r>
      <w:r>
        <w:rPr>
          <w:sz w:val="24"/>
          <w:szCs w:val="24"/>
        </w:rPr>
        <w:t>section 476 (5)(b)</w:t>
      </w:r>
    </w:p>
  </w:footnote>
  <w:footnote w:id="19">
    <w:p w:rsidR="005A6747" w:rsidRDefault="005A6747" w:rsidP="005A6747">
      <w:pPr>
        <w:pStyle w:val="FootnoteText"/>
      </w:pPr>
      <w:r>
        <w:rPr>
          <w:rStyle w:val="FootnoteReference"/>
        </w:rPr>
        <w:footnoteRef/>
      </w:r>
      <w:r>
        <w:t xml:space="preserve"> Section 477 (1)</w:t>
      </w:r>
    </w:p>
  </w:footnote>
  <w:footnote w:id="20">
    <w:p w:rsidR="005A6747" w:rsidRDefault="005A6747" w:rsidP="005A6747">
      <w:pPr>
        <w:pStyle w:val="FootnoteText"/>
      </w:pPr>
      <w:r>
        <w:rPr>
          <w:rStyle w:val="FootnoteReference"/>
        </w:rPr>
        <w:footnoteRef/>
      </w:r>
      <w:r>
        <w:t xml:space="preserve"> Section 478(1)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330F5"/>
    <w:multiLevelType w:val="multilevel"/>
    <w:tmpl w:val="C05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466AB6"/>
    <w:multiLevelType w:val="multilevel"/>
    <w:tmpl w:val="47E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037435B"/>
    <w:multiLevelType w:val="hybridMultilevel"/>
    <w:tmpl w:val="9EF6D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95A4219"/>
    <w:multiLevelType w:val="hybridMultilevel"/>
    <w:tmpl w:val="11DA5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A6747"/>
    <w:rsid w:val="00012F17"/>
    <w:rsid w:val="0002119A"/>
    <w:rsid w:val="000462D4"/>
    <w:rsid w:val="000847C0"/>
    <w:rsid w:val="001619A2"/>
    <w:rsid w:val="002824B7"/>
    <w:rsid w:val="003D2836"/>
    <w:rsid w:val="00430E81"/>
    <w:rsid w:val="0056444F"/>
    <w:rsid w:val="005A6747"/>
    <w:rsid w:val="006922CA"/>
    <w:rsid w:val="00751DC3"/>
    <w:rsid w:val="00760841"/>
    <w:rsid w:val="007814EA"/>
    <w:rsid w:val="008C7D2D"/>
    <w:rsid w:val="009E748E"/>
    <w:rsid w:val="00B61BD3"/>
    <w:rsid w:val="00D26708"/>
    <w:rsid w:val="00DA0977"/>
    <w:rsid w:val="00DD0DA6"/>
    <w:rsid w:val="00E26631"/>
    <w:rsid w:val="00E409C1"/>
    <w:rsid w:val="00E7385A"/>
    <w:rsid w:val="00F82D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747"/>
    <w:pPr>
      <w:widowControl w:val="0"/>
      <w:spacing w:after="0" w:line="240" w:lineRule="auto"/>
      <w:jc w:val="both"/>
    </w:pPr>
    <w:rPr>
      <w:rFonts w:ascii="Times New Roman" w:eastAsia="SimSun" w:hAnsi="Times New Roman" w:cs="Times New Roman"/>
      <w:kern w:val="2"/>
      <w:sz w:val="21"/>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A6747"/>
    <w:rPr>
      <w:sz w:val="20"/>
    </w:rPr>
  </w:style>
  <w:style w:type="character" w:customStyle="1" w:styleId="FootnoteTextChar">
    <w:name w:val="Footnote Text Char"/>
    <w:basedOn w:val="DefaultParagraphFont"/>
    <w:link w:val="FootnoteText"/>
    <w:uiPriority w:val="99"/>
    <w:semiHidden/>
    <w:rsid w:val="005A6747"/>
    <w:rPr>
      <w:rFonts w:ascii="Times New Roman" w:eastAsia="SimSun" w:hAnsi="Times New Roman" w:cs="Times New Roman"/>
      <w:kern w:val="2"/>
      <w:sz w:val="20"/>
      <w:szCs w:val="20"/>
      <w:lang w:eastAsia="zh-CN"/>
    </w:rPr>
  </w:style>
  <w:style w:type="character" w:styleId="FootnoteReference">
    <w:name w:val="footnote reference"/>
    <w:uiPriority w:val="99"/>
    <w:semiHidden/>
    <w:unhideWhenUsed/>
    <w:rsid w:val="005A6747"/>
    <w:rPr>
      <w:rFonts w:ascii="Times New Roman" w:eastAsia="SimSun" w:hAnsi="Times New Roman" w:cs="Times New Roman" w:hint="default"/>
      <w:vertAlign w:val="superscript"/>
    </w:rPr>
  </w:style>
  <w:style w:type="character" w:styleId="Hyperlink">
    <w:name w:val="Hyperlink"/>
    <w:basedOn w:val="DefaultParagraphFont"/>
    <w:uiPriority w:val="99"/>
    <w:unhideWhenUsed/>
    <w:rsid w:val="007814EA"/>
    <w:rPr>
      <w:color w:val="0000FF" w:themeColor="hyperlink"/>
      <w:u w:val="single"/>
    </w:rPr>
  </w:style>
  <w:style w:type="paragraph" w:styleId="ListParagraph">
    <w:name w:val="List Paragraph"/>
    <w:basedOn w:val="Normal"/>
    <w:uiPriority w:val="34"/>
    <w:qFormat/>
    <w:rsid w:val="008C7D2D"/>
    <w:pPr>
      <w:widowControl/>
      <w:spacing w:after="200" w:line="276" w:lineRule="auto"/>
      <w:ind w:left="720"/>
      <w:contextualSpacing/>
      <w:jc w:val="left"/>
    </w:pPr>
    <w:rPr>
      <w:rFonts w:asciiTheme="minorHAnsi" w:eastAsiaTheme="minorHAnsi" w:hAnsiTheme="minorHAnsi" w:cstheme="minorBidi"/>
      <w:kern w:val="0"/>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747"/>
    <w:pPr>
      <w:widowControl w:val="0"/>
      <w:spacing w:after="0" w:line="240" w:lineRule="auto"/>
      <w:jc w:val="both"/>
    </w:pPr>
    <w:rPr>
      <w:rFonts w:ascii="Times New Roman" w:eastAsia="SimSun" w:hAnsi="Times New Roman" w:cs="Times New Roman"/>
      <w:kern w:val="2"/>
      <w:sz w:val="21"/>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A6747"/>
    <w:rPr>
      <w:sz w:val="20"/>
    </w:rPr>
  </w:style>
  <w:style w:type="character" w:customStyle="1" w:styleId="FootnoteTextChar">
    <w:name w:val="Footnote Text Char"/>
    <w:basedOn w:val="DefaultParagraphFont"/>
    <w:link w:val="FootnoteText"/>
    <w:uiPriority w:val="99"/>
    <w:semiHidden/>
    <w:rsid w:val="005A6747"/>
    <w:rPr>
      <w:rFonts w:ascii="Times New Roman" w:eastAsia="SimSun" w:hAnsi="Times New Roman" w:cs="Times New Roman"/>
      <w:kern w:val="2"/>
      <w:sz w:val="20"/>
      <w:szCs w:val="20"/>
      <w:lang w:eastAsia="zh-CN"/>
    </w:rPr>
  </w:style>
  <w:style w:type="character" w:styleId="FootnoteReference">
    <w:name w:val="footnote reference"/>
    <w:uiPriority w:val="99"/>
    <w:semiHidden/>
    <w:unhideWhenUsed/>
    <w:rsid w:val="005A6747"/>
    <w:rPr>
      <w:rFonts w:ascii="Times New Roman" w:eastAsia="SimSun" w:hAnsi="Times New Roman" w:cs="Times New Roman" w:hint="default"/>
      <w:vertAlign w:val="superscript"/>
    </w:rPr>
  </w:style>
  <w:style w:type="character" w:styleId="Hyperlink">
    <w:name w:val="Hyperlink"/>
    <w:basedOn w:val="DefaultParagraphFont"/>
    <w:uiPriority w:val="99"/>
    <w:unhideWhenUsed/>
    <w:rsid w:val="007814E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01323223">
      <w:bodyDiv w:val="1"/>
      <w:marLeft w:val="0"/>
      <w:marRight w:val="0"/>
      <w:marTop w:val="0"/>
      <w:marBottom w:val="0"/>
      <w:divBdr>
        <w:top w:val="none" w:sz="0" w:space="0" w:color="auto"/>
        <w:left w:val="none" w:sz="0" w:space="0" w:color="auto"/>
        <w:bottom w:val="none" w:sz="0" w:space="0" w:color="auto"/>
        <w:right w:val="none" w:sz="0" w:space="0" w:color="auto"/>
      </w:divBdr>
    </w:div>
    <w:div w:id="1969119229">
      <w:bodyDiv w:val="1"/>
      <w:marLeft w:val="0"/>
      <w:marRight w:val="0"/>
      <w:marTop w:val="0"/>
      <w:marBottom w:val="0"/>
      <w:divBdr>
        <w:top w:val="none" w:sz="0" w:space="0" w:color="auto"/>
        <w:left w:val="none" w:sz="0" w:space="0" w:color="auto"/>
        <w:bottom w:val="none" w:sz="0" w:space="0" w:color="auto"/>
        <w:right w:val="none" w:sz="0" w:space="0" w:color="auto"/>
      </w:divBdr>
      <w:divsChild>
        <w:div w:id="2054426900">
          <w:marLeft w:val="0"/>
          <w:marRight w:val="0"/>
          <w:marTop w:val="0"/>
          <w:marBottom w:val="0"/>
          <w:divBdr>
            <w:top w:val="none" w:sz="0" w:space="0" w:color="auto"/>
            <w:left w:val="none" w:sz="0" w:space="0" w:color="auto"/>
            <w:bottom w:val="none" w:sz="0" w:space="0" w:color="auto"/>
            <w:right w:val="none" w:sz="0" w:space="0" w:color="auto"/>
          </w:divBdr>
          <w:divsChild>
            <w:div w:id="906841279">
              <w:marLeft w:val="0"/>
              <w:marRight w:val="0"/>
              <w:marTop w:val="0"/>
              <w:marBottom w:val="0"/>
              <w:divBdr>
                <w:top w:val="none" w:sz="0" w:space="0" w:color="auto"/>
                <w:left w:val="none" w:sz="0" w:space="0" w:color="auto"/>
                <w:bottom w:val="none" w:sz="0" w:space="0" w:color="auto"/>
                <w:right w:val="none" w:sz="0" w:space="0" w:color="auto"/>
              </w:divBdr>
              <w:divsChild>
                <w:div w:id="1403408422">
                  <w:marLeft w:val="0"/>
                  <w:marRight w:val="0"/>
                  <w:marTop w:val="0"/>
                  <w:marBottom w:val="0"/>
                  <w:divBdr>
                    <w:top w:val="none" w:sz="0" w:space="0" w:color="auto"/>
                    <w:left w:val="none" w:sz="0" w:space="0" w:color="auto"/>
                    <w:bottom w:val="none" w:sz="0" w:space="0" w:color="auto"/>
                    <w:right w:val="none" w:sz="0" w:space="0" w:color="auto"/>
                  </w:divBdr>
                </w:div>
                <w:div w:id="1598634773">
                  <w:marLeft w:val="0"/>
                  <w:marRight w:val="0"/>
                  <w:marTop w:val="0"/>
                  <w:marBottom w:val="0"/>
                  <w:divBdr>
                    <w:top w:val="none" w:sz="0" w:space="0" w:color="auto"/>
                    <w:left w:val="none" w:sz="0" w:space="0" w:color="auto"/>
                    <w:bottom w:val="none" w:sz="0" w:space="0" w:color="auto"/>
                    <w:right w:val="none" w:sz="0" w:space="0" w:color="auto"/>
                  </w:divBdr>
                </w:div>
              </w:divsChild>
            </w:div>
            <w:div w:id="1898973839">
              <w:marLeft w:val="0"/>
              <w:marRight w:val="0"/>
              <w:marTop w:val="0"/>
              <w:marBottom w:val="0"/>
              <w:divBdr>
                <w:top w:val="none" w:sz="0" w:space="0" w:color="auto"/>
                <w:left w:val="none" w:sz="0" w:space="0" w:color="auto"/>
                <w:bottom w:val="none" w:sz="0" w:space="0" w:color="auto"/>
                <w:right w:val="none" w:sz="0" w:space="0" w:color="auto"/>
              </w:divBdr>
              <w:divsChild>
                <w:div w:id="1389717839">
                  <w:marLeft w:val="0"/>
                  <w:marRight w:val="0"/>
                  <w:marTop w:val="0"/>
                  <w:marBottom w:val="0"/>
                  <w:divBdr>
                    <w:top w:val="none" w:sz="0" w:space="0" w:color="auto"/>
                    <w:left w:val="none" w:sz="0" w:space="0" w:color="auto"/>
                    <w:bottom w:val="none" w:sz="0" w:space="0" w:color="auto"/>
                    <w:right w:val="none" w:sz="0" w:space="0" w:color="auto"/>
                  </w:divBdr>
                </w:div>
                <w:div w:id="1562713637">
                  <w:marLeft w:val="0"/>
                  <w:marRight w:val="0"/>
                  <w:marTop w:val="0"/>
                  <w:marBottom w:val="0"/>
                  <w:divBdr>
                    <w:top w:val="none" w:sz="0" w:space="0" w:color="auto"/>
                    <w:left w:val="none" w:sz="0" w:space="0" w:color="auto"/>
                    <w:bottom w:val="none" w:sz="0" w:space="0" w:color="auto"/>
                    <w:right w:val="none" w:sz="0" w:space="0" w:color="auto"/>
                  </w:divBdr>
                </w:div>
              </w:divsChild>
            </w:div>
            <w:div w:id="552427586">
              <w:marLeft w:val="0"/>
              <w:marRight w:val="0"/>
              <w:marTop w:val="0"/>
              <w:marBottom w:val="0"/>
              <w:divBdr>
                <w:top w:val="none" w:sz="0" w:space="0" w:color="auto"/>
                <w:left w:val="none" w:sz="0" w:space="0" w:color="auto"/>
                <w:bottom w:val="none" w:sz="0" w:space="0" w:color="auto"/>
                <w:right w:val="none" w:sz="0" w:space="0" w:color="auto"/>
              </w:divBdr>
            </w:div>
          </w:divsChild>
        </w:div>
        <w:div w:id="586963927">
          <w:marLeft w:val="0"/>
          <w:marRight w:val="0"/>
          <w:marTop w:val="0"/>
          <w:marBottom w:val="0"/>
          <w:divBdr>
            <w:top w:val="none" w:sz="0" w:space="0" w:color="auto"/>
            <w:left w:val="none" w:sz="0" w:space="0" w:color="auto"/>
            <w:bottom w:val="none" w:sz="0" w:space="0" w:color="auto"/>
            <w:right w:val="none" w:sz="0" w:space="0" w:color="auto"/>
          </w:divBdr>
          <w:divsChild>
            <w:div w:id="559753680">
              <w:marLeft w:val="0"/>
              <w:marRight w:val="0"/>
              <w:marTop w:val="0"/>
              <w:marBottom w:val="0"/>
              <w:divBdr>
                <w:top w:val="none" w:sz="0" w:space="0" w:color="auto"/>
                <w:left w:val="none" w:sz="0" w:space="0" w:color="auto"/>
                <w:bottom w:val="none" w:sz="0" w:space="0" w:color="auto"/>
                <w:right w:val="none" w:sz="0" w:space="0" w:color="auto"/>
              </w:divBdr>
              <w:divsChild>
                <w:div w:id="1177689665">
                  <w:marLeft w:val="0"/>
                  <w:marRight w:val="0"/>
                  <w:marTop w:val="0"/>
                  <w:marBottom w:val="0"/>
                  <w:divBdr>
                    <w:top w:val="none" w:sz="0" w:space="0" w:color="auto"/>
                    <w:left w:val="none" w:sz="0" w:space="0" w:color="auto"/>
                    <w:bottom w:val="none" w:sz="0" w:space="0" w:color="auto"/>
                    <w:right w:val="none" w:sz="0" w:space="0" w:color="auto"/>
                  </w:divBdr>
                  <w:divsChild>
                    <w:div w:id="666903308">
                      <w:marLeft w:val="0"/>
                      <w:marRight w:val="0"/>
                      <w:marTop w:val="0"/>
                      <w:marBottom w:val="0"/>
                      <w:divBdr>
                        <w:top w:val="none" w:sz="0" w:space="0" w:color="auto"/>
                        <w:left w:val="none" w:sz="0" w:space="0" w:color="auto"/>
                        <w:bottom w:val="none" w:sz="0" w:space="0" w:color="auto"/>
                        <w:right w:val="none" w:sz="0" w:space="0" w:color="auto"/>
                      </w:divBdr>
                      <w:divsChild>
                        <w:div w:id="833182730">
                          <w:marLeft w:val="0"/>
                          <w:marRight w:val="0"/>
                          <w:marTop w:val="0"/>
                          <w:marBottom w:val="0"/>
                          <w:divBdr>
                            <w:top w:val="none" w:sz="0" w:space="0" w:color="auto"/>
                            <w:left w:val="none" w:sz="0" w:space="0" w:color="auto"/>
                            <w:bottom w:val="none" w:sz="0" w:space="0" w:color="auto"/>
                            <w:right w:val="none" w:sz="0" w:space="0" w:color="auto"/>
                          </w:divBdr>
                        </w:div>
                        <w:div w:id="475344013">
                          <w:marLeft w:val="0"/>
                          <w:marRight w:val="0"/>
                          <w:marTop w:val="0"/>
                          <w:marBottom w:val="0"/>
                          <w:divBdr>
                            <w:top w:val="none" w:sz="0" w:space="0" w:color="auto"/>
                            <w:left w:val="none" w:sz="0" w:space="0" w:color="auto"/>
                            <w:bottom w:val="none" w:sz="0" w:space="0" w:color="auto"/>
                            <w:right w:val="none" w:sz="0" w:space="0" w:color="auto"/>
                          </w:divBdr>
                        </w:div>
                      </w:divsChild>
                    </w:div>
                    <w:div w:id="1889224190">
                      <w:marLeft w:val="0"/>
                      <w:marRight w:val="0"/>
                      <w:marTop w:val="0"/>
                      <w:marBottom w:val="0"/>
                      <w:divBdr>
                        <w:top w:val="none" w:sz="0" w:space="0" w:color="auto"/>
                        <w:left w:val="none" w:sz="0" w:space="0" w:color="auto"/>
                        <w:bottom w:val="none" w:sz="0" w:space="0" w:color="auto"/>
                        <w:right w:val="none" w:sz="0" w:space="0" w:color="auto"/>
                      </w:divBdr>
                      <w:divsChild>
                        <w:div w:id="205917602">
                          <w:marLeft w:val="0"/>
                          <w:marRight w:val="0"/>
                          <w:marTop w:val="0"/>
                          <w:marBottom w:val="0"/>
                          <w:divBdr>
                            <w:top w:val="none" w:sz="0" w:space="0" w:color="auto"/>
                            <w:left w:val="none" w:sz="0" w:space="0" w:color="auto"/>
                            <w:bottom w:val="none" w:sz="0" w:space="0" w:color="auto"/>
                            <w:right w:val="none" w:sz="0" w:space="0" w:color="auto"/>
                          </w:divBdr>
                        </w:div>
                        <w:div w:id="475269033">
                          <w:marLeft w:val="0"/>
                          <w:marRight w:val="0"/>
                          <w:marTop w:val="0"/>
                          <w:marBottom w:val="0"/>
                          <w:divBdr>
                            <w:top w:val="none" w:sz="0" w:space="0" w:color="auto"/>
                            <w:left w:val="none" w:sz="0" w:space="0" w:color="auto"/>
                            <w:bottom w:val="none" w:sz="0" w:space="0" w:color="auto"/>
                            <w:right w:val="none" w:sz="0" w:space="0" w:color="auto"/>
                          </w:divBdr>
                          <w:divsChild>
                            <w:div w:id="403838261">
                              <w:marLeft w:val="0"/>
                              <w:marRight w:val="0"/>
                              <w:marTop w:val="0"/>
                              <w:marBottom w:val="0"/>
                              <w:divBdr>
                                <w:top w:val="none" w:sz="0" w:space="0" w:color="auto"/>
                                <w:left w:val="none" w:sz="0" w:space="0" w:color="auto"/>
                                <w:bottom w:val="none" w:sz="0" w:space="0" w:color="auto"/>
                                <w:right w:val="none" w:sz="0" w:space="0" w:color="auto"/>
                              </w:divBdr>
                              <w:divsChild>
                                <w:div w:id="1415932679">
                                  <w:marLeft w:val="0"/>
                                  <w:marRight w:val="0"/>
                                  <w:marTop w:val="0"/>
                                  <w:marBottom w:val="0"/>
                                  <w:divBdr>
                                    <w:top w:val="none" w:sz="0" w:space="0" w:color="auto"/>
                                    <w:left w:val="none" w:sz="0" w:space="0" w:color="auto"/>
                                    <w:bottom w:val="none" w:sz="0" w:space="0" w:color="auto"/>
                                    <w:right w:val="none" w:sz="0" w:space="0" w:color="auto"/>
                                  </w:divBdr>
                                  <w:divsChild>
                                    <w:div w:id="469052134">
                                      <w:marLeft w:val="0"/>
                                      <w:marRight w:val="0"/>
                                      <w:marTop w:val="0"/>
                                      <w:marBottom w:val="0"/>
                                      <w:divBdr>
                                        <w:top w:val="none" w:sz="0" w:space="0" w:color="auto"/>
                                        <w:left w:val="none" w:sz="0" w:space="0" w:color="auto"/>
                                        <w:bottom w:val="none" w:sz="0" w:space="0" w:color="auto"/>
                                        <w:right w:val="none" w:sz="0" w:space="0" w:color="auto"/>
                                      </w:divBdr>
                                    </w:div>
                                    <w:div w:id="11949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44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aishmghrana.me/2014/03/05/power-and-duties-of-company-liquidators-and-their-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D40619-27C2-440B-93F6-5CF14250F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6</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SOITA</cp:lastModifiedBy>
  <cp:revision>17</cp:revision>
  <dcterms:created xsi:type="dcterms:W3CDTF">2016-06-09T18:41:00Z</dcterms:created>
  <dcterms:modified xsi:type="dcterms:W3CDTF">2016-06-11T09:04:00Z</dcterms:modified>
</cp:coreProperties>
</file>