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281C" w:rsidRDefault="0049281C">
      <w:pPr>
        <w:rPr>
          <w:b/>
        </w:rPr>
      </w:pPr>
      <w:r>
        <w:rPr>
          <w:b/>
        </w:rPr>
        <w:t>Allan LPM</w:t>
      </w:r>
    </w:p>
    <w:p w:rsidR="00AD5A67" w:rsidRPr="0049281C" w:rsidRDefault="0049281C">
      <w:pPr>
        <w:rPr>
          <w:b/>
        </w:rPr>
      </w:pPr>
      <w:r>
        <w:rPr>
          <w:b/>
        </w:rPr>
        <w:t>GOVERNMENT REGULATION</w:t>
      </w:r>
    </w:p>
    <w:p w:rsidR="00FD0A04" w:rsidRDefault="00FD0A04">
      <w:r>
        <w:t>As the cradle of mankind Kenya has amazingly rich national and cultural heritage. It is also rich in creative arts and sports talent that needs to be tapped and natured to create a rich and vibrant industry for development of youth and economy.</w:t>
      </w:r>
      <w:r w:rsidR="00017398">
        <w:rPr>
          <w:rStyle w:val="FootnoteReference"/>
        </w:rPr>
        <w:footnoteReference w:id="2"/>
      </w:r>
    </w:p>
    <w:p w:rsidR="00FD0A04" w:rsidRDefault="00FD0A04">
      <w:r>
        <w:t>Government regulation transcends all the spheres of the society, and this is effectuated through use of legal instruments. S</w:t>
      </w:r>
      <w:r w:rsidR="0085768E">
        <w:t>port</w:t>
      </w:r>
      <w:r>
        <w:t xml:space="preserve"> </w:t>
      </w:r>
      <w:r w:rsidR="0085768E">
        <w:t>as a major part</w:t>
      </w:r>
      <w:r>
        <w:t xml:space="preserve"> of the society is no exception</w:t>
      </w:r>
      <w:r w:rsidR="00017398">
        <w:rPr>
          <w:rStyle w:val="FootnoteReference"/>
        </w:rPr>
        <w:footnoteReference w:id="3"/>
      </w:r>
      <w:r>
        <w:t>.</w:t>
      </w:r>
    </w:p>
    <w:p w:rsidR="0085768E" w:rsidRDefault="0085768E">
      <w:r>
        <w:t>In Europe, and the UK, sport regulation is distinguished as interventionist and non-interventionist models of governmental regulation</w:t>
      </w:r>
      <w:r w:rsidR="00017398">
        <w:rPr>
          <w:rStyle w:val="FootnoteReference"/>
        </w:rPr>
        <w:footnoteReference w:id="4"/>
      </w:r>
      <w:r>
        <w:t>.</w:t>
      </w:r>
    </w:p>
    <w:p w:rsidR="0085768E" w:rsidRDefault="0085768E">
      <w:r>
        <w:t xml:space="preserve">Interventionist model of governmental regulation is where sport is seen as a public good and a social service responsibility of the </w:t>
      </w:r>
      <w:r w:rsidR="00220B5C">
        <w:t>state, and hence sports organizations are created and exist by virtue of government license and funding in order to perform their governance functions as agents of the state.</w:t>
      </w:r>
    </w:p>
    <w:p w:rsidR="00220B5C" w:rsidRDefault="00220B5C">
      <w:r>
        <w:t>Non –interventionist on the other hand is where the government leaves sport entirely alone not only to manage and organize itself but also to regulate the entire conduct of the sport including fundamental issues of public interest. No general laws of sports are enacted and governmental involvement is only countenanced</w:t>
      </w:r>
      <w:r w:rsidR="00480C66">
        <w:t xml:space="preserve"> as a last resort</w:t>
      </w:r>
    </w:p>
    <w:p w:rsidR="00480C66" w:rsidRDefault="00480C66">
      <w:r>
        <w:t xml:space="preserve">In Kenya, after independence sport was governed by individual sports federations; government involvement was very minimal and involved recognition and formalization of sporting association </w:t>
      </w:r>
      <w:r w:rsidR="002D0DE6">
        <w:t>through registration with registrar of society under the societies Act.</w:t>
      </w:r>
    </w:p>
    <w:p w:rsidR="009A20FB" w:rsidRDefault="002D0DE6">
      <w:r>
        <w:t xml:space="preserve">In 2002 the country produced the Kenya sport policy with the intention to streamline and harmonize all aspects of </w:t>
      </w:r>
      <w:r w:rsidR="009A20FB">
        <w:t>sports by acting as a reference and guideline by outlining procedures in planning organizational and management of sports.</w:t>
      </w:r>
    </w:p>
    <w:p w:rsidR="007A1C1E" w:rsidRDefault="009A20FB">
      <w:r>
        <w:t xml:space="preserve">The 2010, the constitution of Kenya expressly recognizes sports in the fourth schedule where the national </w:t>
      </w:r>
      <w:r w:rsidR="00B63C91">
        <w:t xml:space="preserve">government is vested with the role of promotion of sports and education. Similarly </w:t>
      </w:r>
      <w:r w:rsidR="007A1C1E">
        <w:t>the constitutional functions and powers of the county governments extend to sports activities and facilities</w:t>
      </w:r>
      <w:r w:rsidR="00017398">
        <w:rPr>
          <w:rStyle w:val="FootnoteReference"/>
        </w:rPr>
        <w:footnoteReference w:id="5"/>
      </w:r>
      <w:r w:rsidR="007A1C1E">
        <w:t>.</w:t>
      </w:r>
    </w:p>
    <w:p w:rsidR="00FD06C5" w:rsidRDefault="007A1C1E">
      <w:r>
        <w:t xml:space="preserve">Evidently the model of regulation of sport in Kenya before enactment of the sports Act </w:t>
      </w:r>
      <w:r w:rsidR="0055122A">
        <w:t xml:space="preserve">2013 was Non-interventionist. There was no single piece of legislation to regulate </w:t>
      </w:r>
      <w:r w:rsidR="00FD06C5">
        <w:t>and govern sport in the country.</w:t>
      </w:r>
    </w:p>
    <w:p w:rsidR="00AA5A61" w:rsidRDefault="00FD06C5">
      <w:r>
        <w:lastRenderedPageBreak/>
        <w:t xml:space="preserve">The role of the government was limited to policy formulation general issues affecting sport with minimal interference and intervention. The enactment of the 2013 Act saw Kenya shift from </w:t>
      </w:r>
      <w:r w:rsidR="00AA5A61">
        <w:t>non-interventionist model to interventionist. The long title of the Act describes the act as intended to harness sports for development, encourage and promote drug free sports and recreation and to provide for the establishment of sports institution, facilities, administration and management of sports in the country</w:t>
      </w:r>
      <w:r w:rsidR="001B3456">
        <w:rPr>
          <w:rStyle w:val="FootnoteReference"/>
        </w:rPr>
        <w:footnoteReference w:id="6"/>
      </w:r>
      <w:r w:rsidR="00AA5A61">
        <w:t>.</w:t>
      </w:r>
    </w:p>
    <w:p w:rsidR="004B1720" w:rsidRDefault="00AA5A61">
      <w:r>
        <w:t xml:space="preserve">The act establishes the sports Kenya, the national sports fund and the academy of sports. </w:t>
      </w:r>
      <w:r w:rsidR="004B1720">
        <w:t>Sports Kenya is a body corporate established to succeed and take over all the rights, duties, obligations, assets and liabilities of the sports stadia management board. The role of sports Kenya is provided for under section 4 of the Act.</w:t>
      </w:r>
    </w:p>
    <w:p w:rsidR="00407024" w:rsidRDefault="004B1720">
      <w:r>
        <w:t xml:space="preserve">The act establishes the second body which shall be known as the national sports fund to which all proceeds of any sports lottery and investments shall be paid and out of which financial support for sports persons and sports organizations shall be paid out. </w:t>
      </w:r>
      <w:r w:rsidR="00407024">
        <w:t>The fund is to be managed, controlled and administered by a board of trustees which is to be a body corporate with perpetual succession. Functions of the board are provided for under section 17 of the Act.</w:t>
      </w:r>
    </w:p>
    <w:p w:rsidR="00407024" w:rsidRDefault="00407024">
      <w:r>
        <w:t>The act also establishes an academy to be known as the Kenya academy of sports which shall be a body corporate with perpetual succession. The act also establishes or creates office of the sports registrar who shall be in charge of the office of the sports registrar responsible for;</w:t>
      </w:r>
    </w:p>
    <w:p w:rsidR="00AD5A67" w:rsidRDefault="00407024" w:rsidP="00407024">
      <w:pPr>
        <w:pStyle w:val="ListParagraph"/>
        <w:numPr>
          <w:ilvl w:val="0"/>
          <w:numId w:val="1"/>
        </w:numPr>
      </w:pPr>
      <w:r>
        <w:t xml:space="preserve">Registration and regulation of sports organizations </w:t>
      </w:r>
      <w:r w:rsidR="00AD5A67">
        <w:t>and multi sports bodies representing sports organization at the national level.</w:t>
      </w:r>
    </w:p>
    <w:p w:rsidR="00AD5A67" w:rsidRDefault="00AD5A67" w:rsidP="00407024">
      <w:pPr>
        <w:pStyle w:val="ListParagraph"/>
        <w:numPr>
          <w:ilvl w:val="0"/>
          <w:numId w:val="1"/>
        </w:numPr>
      </w:pPr>
      <w:r>
        <w:t>Matters relating to licensing of professional sports and professional sports persons.</w:t>
      </w:r>
    </w:p>
    <w:p w:rsidR="009A20FB" w:rsidRDefault="00AD5A67" w:rsidP="00407024">
      <w:pPr>
        <w:pStyle w:val="ListParagraph"/>
        <w:numPr>
          <w:ilvl w:val="0"/>
          <w:numId w:val="1"/>
        </w:numPr>
      </w:pPr>
      <w:r>
        <w:t>Arbitration of registration disputes between sports organizations.</w:t>
      </w:r>
      <w:r w:rsidR="00407024">
        <w:t xml:space="preserve">  </w:t>
      </w:r>
      <w:r w:rsidR="00AA5A61">
        <w:t xml:space="preserve"> </w:t>
      </w:r>
      <w:r w:rsidR="007A1C1E">
        <w:t xml:space="preserve"> </w:t>
      </w:r>
      <w:r w:rsidR="009A20FB">
        <w:t xml:space="preserve">  </w:t>
      </w:r>
    </w:p>
    <w:p w:rsidR="0085768E" w:rsidRDefault="0085768E"/>
    <w:p w:rsidR="00DC7845" w:rsidRDefault="00DC7845"/>
    <w:p w:rsidR="00DC7845" w:rsidRDefault="00DC7845"/>
    <w:p w:rsidR="00DC7845" w:rsidRDefault="00DC7845"/>
    <w:p w:rsidR="00DC7845" w:rsidRDefault="00DC7845"/>
    <w:p w:rsidR="00DC7845" w:rsidRDefault="00DC7845"/>
    <w:p w:rsidR="00DC7845" w:rsidRDefault="00DC7845"/>
    <w:p w:rsidR="00DC7845" w:rsidRDefault="00DC7845"/>
    <w:p w:rsidR="00E95E66" w:rsidRDefault="00E95E66"/>
    <w:p w:rsidR="00E95E66" w:rsidRDefault="00E95E66"/>
    <w:p w:rsidR="001865E7" w:rsidRDefault="00FD0A04">
      <w:r>
        <w:lastRenderedPageBreak/>
        <w:t xml:space="preserve"> </w:t>
      </w:r>
      <w:r w:rsidR="00DC7845">
        <w:t>MARKET SIZE</w:t>
      </w:r>
    </w:p>
    <w:p w:rsidR="000C3A9C" w:rsidRDefault="000C3A9C">
      <w:r>
        <w:t>Sports play a significant role in the daily lives of many people in the world. In Africa, it transcends from the small spaces between mud huts in Nairobi’s Mathare slums to the historic grounds of the 80 years old Alexandria Stadium, to the bright lights and technology of Johannesburg’s world cup final FNB Stadium.</w:t>
      </w:r>
      <w:r w:rsidR="000C7655">
        <w:rPr>
          <w:rStyle w:val="FootnoteReference"/>
        </w:rPr>
        <w:footnoteReference w:id="7"/>
      </w:r>
    </w:p>
    <w:p w:rsidR="00FC37A6" w:rsidRDefault="000C3A9C">
      <w:r>
        <w:t xml:space="preserve">The dawn of the professional sport era has attracted vast sums of money </w:t>
      </w:r>
      <w:r w:rsidR="00FC37A6">
        <w:t>and changed the landscape for many sportsmen, administrators and supporters. Evidently, the world of sport has developed into a multi-billion dollar industry.</w:t>
      </w:r>
      <w:r w:rsidR="00B6061B">
        <w:rPr>
          <w:rStyle w:val="FootnoteReference"/>
        </w:rPr>
        <w:footnoteReference w:id="8"/>
      </w:r>
    </w:p>
    <w:p w:rsidR="00E322A5" w:rsidRDefault="00FC37A6">
      <w:r>
        <w:t xml:space="preserve">Growth in the business of sports sector has included multi-national dedicated sports media companies, broadcasting high definition content acquired from powerful sports association rights-holders, sponsored by global banking, mobile or drinks brands. Many of the deals struck between these three parties are now facilitated by professional sports management and </w:t>
      </w:r>
      <w:r w:rsidR="00E322A5">
        <w:t>marketing agencies, which often act as the engine of the industry.</w:t>
      </w:r>
    </w:p>
    <w:p w:rsidR="00E322A5" w:rsidRDefault="00E322A5">
      <w:r>
        <w:t>The fantasy sports industry primarily led by fantasy football has reportedly grown to over 18million unique players generating over U$2billion annually according to the fantasy sports trade association. The following are the estimated contributions of the three major East Africa countries.</w:t>
      </w:r>
      <w:r w:rsidR="00B6061B">
        <w:rPr>
          <w:rStyle w:val="FootnoteReference"/>
        </w:rPr>
        <w:footnoteReference w:id="9"/>
      </w:r>
    </w:p>
    <w:tbl>
      <w:tblPr>
        <w:tblStyle w:val="TableGrid"/>
        <w:tblW w:w="0" w:type="auto"/>
        <w:tblLook w:val="04A0"/>
      </w:tblPr>
      <w:tblGrid>
        <w:gridCol w:w="4788"/>
        <w:gridCol w:w="4788"/>
      </w:tblGrid>
      <w:tr w:rsidR="00E322A5" w:rsidTr="00E322A5">
        <w:tc>
          <w:tcPr>
            <w:tcW w:w="4788" w:type="dxa"/>
          </w:tcPr>
          <w:p w:rsidR="00E322A5" w:rsidRDefault="00E322A5">
            <w:r>
              <w:t>COUNTRY</w:t>
            </w:r>
          </w:p>
        </w:tc>
        <w:tc>
          <w:tcPr>
            <w:tcW w:w="4788" w:type="dxa"/>
          </w:tcPr>
          <w:p w:rsidR="00E322A5" w:rsidRDefault="00E322A5">
            <w:r>
              <w:t>MARKET SIZE (U</w:t>
            </w:r>
            <w:r w:rsidR="00302559">
              <w:t>S</w:t>
            </w:r>
            <w:r>
              <w:t xml:space="preserve"> $)</w:t>
            </w:r>
          </w:p>
        </w:tc>
      </w:tr>
      <w:tr w:rsidR="00E322A5" w:rsidTr="00E322A5">
        <w:tc>
          <w:tcPr>
            <w:tcW w:w="4788" w:type="dxa"/>
          </w:tcPr>
          <w:p w:rsidR="00E322A5" w:rsidRDefault="00E322A5">
            <w:r>
              <w:t>KENYA</w:t>
            </w:r>
          </w:p>
        </w:tc>
        <w:tc>
          <w:tcPr>
            <w:tcW w:w="4788" w:type="dxa"/>
          </w:tcPr>
          <w:p w:rsidR="00E322A5" w:rsidRDefault="00302559">
            <w:r>
              <w:t>5,555,100</w:t>
            </w:r>
          </w:p>
        </w:tc>
      </w:tr>
      <w:tr w:rsidR="00E322A5" w:rsidTr="00E322A5">
        <w:tc>
          <w:tcPr>
            <w:tcW w:w="4788" w:type="dxa"/>
          </w:tcPr>
          <w:p w:rsidR="00E322A5" w:rsidRDefault="00302559">
            <w:r>
              <w:t>UGANDA</w:t>
            </w:r>
          </w:p>
        </w:tc>
        <w:tc>
          <w:tcPr>
            <w:tcW w:w="4788" w:type="dxa"/>
          </w:tcPr>
          <w:p w:rsidR="00E322A5" w:rsidRDefault="00302559">
            <w:r>
              <w:t>2,035,100</w:t>
            </w:r>
          </w:p>
        </w:tc>
      </w:tr>
      <w:tr w:rsidR="00E322A5" w:rsidTr="00E322A5">
        <w:tc>
          <w:tcPr>
            <w:tcW w:w="4788" w:type="dxa"/>
          </w:tcPr>
          <w:p w:rsidR="00E322A5" w:rsidRDefault="00302559">
            <w:r>
              <w:t>TANZANIA</w:t>
            </w:r>
          </w:p>
        </w:tc>
        <w:tc>
          <w:tcPr>
            <w:tcW w:w="4788" w:type="dxa"/>
          </w:tcPr>
          <w:p w:rsidR="00E322A5" w:rsidRDefault="00302559">
            <w:r>
              <w:t>640,000</w:t>
            </w:r>
          </w:p>
        </w:tc>
      </w:tr>
    </w:tbl>
    <w:p w:rsidR="0049281C" w:rsidRDefault="0049281C"/>
    <w:p w:rsidR="0049281C" w:rsidRDefault="0049281C"/>
    <w:p w:rsidR="0049281C" w:rsidRDefault="0049281C"/>
    <w:p w:rsidR="00E95E66" w:rsidRDefault="00E95E66"/>
    <w:p w:rsidR="00302559" w:rsidRDefault="00302559">
      <w:r>
        <w:t>DECREASING COST</w:t>
      </w:r>
    </w:p>
    <w:p w:rsidR="00302559" w:rsidRDefault="00302559">
      <w:r>
        <w:t>Decreasing cost industry implies an industry in which production costs decrease as more businesses are started within the industry or get involved in the industry. Such industries tend to depend on supplies or processes that benefit from economies of scale, resulting in lower supply or production costs as the number of firms in the industry increases.</w:t>
      </w:r>
    </w:p>
    <w:p w:rsidR="000527D5" w:rsidRDefault="00302559">
      <w:r>
        <w:t xml:space="preserve">Usually increase in the quantity produced leads to a decrease in the price per unit. Sometimes an increase in demand means </w:t>
      </w:r>
      <w:r w:rsidR="000527D5">
        <w:t xml:space="preserve">more capital that allows for greater investments in technological processes </w:t>
      </w:r>
      <w:r w:rsidR="000527D5">
        <w:lastRenderedPageBreak/>
        <w:t>that help bring down the cost of production, however in some cases a large market to be served may cause a large number of competing firms, to enter the market hence lowering costs due to competition.</w:t>
      </w:r>
    </w:p>
    <w:p w:rsidR="000C3A9C" w:rsidRDefault="000527D5">
      <w:r>
        <w:t>In our case however it is outright that there is a larger market to be served with just a handful of competing firms in the same market. This means the market is characterized by high demand</w:t>
      </w:r>
      <w:r w:rsidR="00DC7845">
        <w:t xml:space="preserve"> for services</w:t>
      </w:r>
      <w:r>
        <w:t xml:space="preserve"> hence an increase in</w:t>
      </w:r>
      <w:r w:rsidR="00DC7845">
        <w:t xml:space="preserve"> capital that allows for greater investment in technological progress that helps bring down the cost of production. </w:t>
      </w:r>
      <w:r>
        <w:t xml:space="preserve">  </w:t>
      </w:r>
      <w:r w:rsidR="00302559">
        <w:t xml:space="preserve"> </w:t>
      </w:r>
      <w:r w:rsidR="00FC37A6">
        <w:t xml:space="preserve">  </w:t>
      </w:r>
      <w:r w:rsidR="000C3A9C">
        <w:t xml:space="preserve">  </w:t>
      </w:r>
    </w:p>
    <w:sectPr w:rsidR="000C3A9C" w:rsidSect="001865E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22EF" w:rsidRDefault="007922EF" w:rsidP="000C7655">
      <w:pPr>
        <w:spacing w:after="0" w:line="240" w:lineRule="auto"/>
      </w:pPr>
      <w:r>
        <w:separator/>
      </w:r>
    </w:p>
  </w:endnote>
  <w:endnote w:type="continuationSeparator" w:id="1">
    <w:p w:rsidR="007922EF" w:rsidRDefault="007922EF" w:rsidP="000C76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Roman">
    <w:panose1 w:val="00000000000000000000"/>
    <w:charset w:val="00"/>
    <w:family w:val="auto"/>
    <w:notTrueType/>
    <w:pitch w:val="default"/>
    <w:sig w:usb0="00000003" w:usb1="00000000" w:usb2="00000000" w:usb3="00000000" w:csb0="00000001" w:csb1="00000000"/>
  </w:font>
  <w:font w:name="Times-Italic">
    <w:panose1 w:val="00000000000000000000"/>
    <w:charset w:val="00"/>
    <w:family w:val="auto"/>
    <w:notTrueType/>
    <w:pitch w:val="default"/>
    <w:sig w:usb0="00000003" w:usb1="00000000" w:usb2="00000000" w:usb3="00000000" w:csb0="00000001" w:csb1="00000000"/>
  </w:font>
  <w:font w:name="FrutigerLTStd-Roma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22EF" w:rsidRDefault="007922EF" w:rsidP="000C7655">
      <w:pPr>
        <w:spacing w:after="0" w:line="240" w:lineRule="auto"/>
      </w:pPr>
      <w:r>
        <w:separator/>
      </w:r>
    </w:p>
  </w:footnote>
  <w:footnote w:type="continuationSeparator" w:id="1">
    <w:p w:rsidR="007922EF" w:rsidRDefault="007922EF" w:rsidP="000C7655">
      <w:pPr>
        <w:spacing w:after="0" w:line="240" w:lineRule="auto"/>
      </w:pPr>
      <w:r>
        <w:continuationSeparator/>
      </w:r>
    </w:p>
  </w:footnote>
  <w:footnote w:id="2">
    <w:p w:rsidR="00017398" w:rsidRPr="00017398" w:rsidRDefault="00017398" w:rsidP="00017398">
      <w:pPr>
        <w:autoSpaceDE w:val="0"/>
        <w:autoSpaceDN w:val="0"/>
        <w:adjustRightInd w:val="0"/>
        <w:spacing w:after="0" w:line="240" w:lineRule="auto"/>
        <w:rPr>
          <w:rFonts w:ascii="Times-Roman" w:hAnsi="Times-Roman" w:cs="Times-Roman"/>
          <w:sz w:val="18"/>
          <w:szCs w:val="18"/>
        </w:rPr>
      </w:pPr>
      <w:r>
        <w:rPr>
          <w:rStyle w:val="FootnoteReference"/>
        </w:rPr>
        <w:footnoteRef/>
      </w:r>
      <w:r>
        <w:t xml:space="preserve"> </w:t>
      </w:r>
      <w:r w:rsidRPr="00017398">
        <w:rPr>
          <w:rFonts w:ascii="Times-Roman" w:hAnsi="Times-Roman" w:cs="Times-Roman"/>
          <w:sz w:val="18"/>
          <w:szCs w:val="18"/>
        </w:rPr>
        <w:t xml:space="preserve">United Nations. </w:t>
      </w:r>
      <w:r w:rsidRPr="00017398">
        <w:rPr>
          <w:rFonts w:ascii="Times-Italic" w:hAnsi="Times-Italic" w:cs="Times-Italic"/>
          <w:i/>
          <w:iCs/>
          <w:sz w:val="18"/>
          <w:szCs w:val="18"/>
        </w:rPr>
        <w:t xml:space="preserve">International Year of Sport and Physical Education. </w:t>
      </w:r>
      <w:r w:rsidRPr="00017398">
        <w:rPr>
          <w:rFonts w:ascii="Times-Roman" w:hAnsi="Times-Roman" w:cs="Times-Roman"/>
          <w:sz w:val="18"/>
          <w:szCs w:val="18"/>
        </w:rPr>
        <w:t>2005.</w:t>
      </w:r>
    </w:p>
    <w:p w:rsidR="00017398" w:rsidRDefault="00017398" w:rsidP="00017398">
      <w:pPr>
        <w:pStyle w:val="FootnoteText"/>
      </w:pPr>
      <w:r w:rsidRPr="00017398">
        <w:rPr>
          <w:rFonts w:ascii="Times-Roman" w:hAnsi="Times-Roman" w:cs="Times-Roman"/>
          <w:sz w:val="18"/>
          <w:szCs w:val="18"/>
        </w:rPr>
        <w:t>http://www.u</w:t>
      </w:r>
      <w:r w:rsidR="00E95E66">
        <w:rPr>
          <w:rFonts w:ascii="Times-Roman" w:hAnsi="Times-Roman" w:cs="Times-Roman"/>
          <w:sz w:val="18"/>
          <w:szCs w:val="18"/>
        </w:rPr>
        <w:t>n.org/sport2005/.</w:t>
      </w:r>
      <w:r>
        <w:rPr>
          <w:rFonts w:ascii="Times-Roman" w:hAnsi="Times-Roman" w:cs="Times-Roman"/>
          <w:sz w:val="18"/>
          <w:szCs w:val="18"/>
        </w:rPr>
        <w:t xml:space="preserve"> Retrieved on May 23, 2016.</w:t>
      </w:r>
    </w:p>
  </w:footnote>
  <w:footnote w:id="3">
    <w:p w:rsidR="00017398" w:rsidRPr="00017398" w:rsidRDefault="00017398" w:rsidP="00017398">
      <w:pPr>
        <w:autoSpaceDE w:val="0"/>
        <w:autoSpaceDN w:val="0"/>
        <w:adjustRightInd w:val="0"/>
        <w:spacing w:after="0" w:line="240" w:lineRule="auto"/>
        <w:rPr>
          <w:rFonts w:ascii="Times-Roman" w:hAnsi="Times-Roman" w:cs="Times-Roman"/>
          <w:sz w:val="18"/>
          <w:szCs w:val="18"/>
        </w:rPr>
      </w:pPr>
      <w:r>
        <w:rPr>
          <w:rStyle w:val="FootnoteReference"/>
        </w:rPr>
        <w:footnoteRef/>
      </w:r>
      <w:r>
        <w:t xml:space="preserve"> </w:t>
      </w:r>
      <w:r w:rsidRPr="00017398">
        <w:rPr>
          <w:rFonts w:ascii="Times-Roman" w:hAnsi="Times-Roman" w:cs="Times-Roman"/>
          <w:sz w:val="18"/>
          <w:szCs w:val="18"/>
        </w:rPr>
        <w:t xml:space="preserve">Ministry of Youth Affairs and Sports. </w:t>
      </w:r>
      <w:r w:rsidRPr="00017398">
        <w:rPr>
          <w:rFonts w:ascii="Times-Italic" w:hAnsi="Times-Italic" w:cs="Times-Italic"/>
          <w:i/>
          <w:iCs/>
          <w:sz w:val="18"/>
          <w:szCs w:val="18"/>
        </w:rPr>
        <w:t xml:space="preserve">Department of Sports. </w:t>
      </w:r>
      <w:r w:rsidRPr="00017398">
        <w:rPr>
          <w:rFonts w:ascii="Times-Roman" w:hAnsi="Times-Roman" w:cs="Times-Roman"/>
          <w:sz w:val="18"/>
          <w:szCs w:val="18"/>
        </w:rPr>
        <w:t>2012.</w:t>
      </w:r>
    </w:p>
    <w:p w:rsidR="00017398" w:rsidRDefault="00017398" w:rsidP="00017398">
      <w:pPr>
        <w:pStyle w:val="FootnoteText"/>
      </w:pPr>
      <w:r w:rsidRPr="00017398">
        <w:rPr>
          <w:rFonts w:ascii="Times-Roman" w:hAnsi="Times-Roman" w:cs="Times-Roman"/>
          <w:sz w:val="18"/>
          <w:szCs w:val="18"/>
        </w:rPr>
        <w:t>http://www.you</w:t>
      </w:r>
      <w:r>
        <w:rPr>
          <w:rFonts w:ascii="Times-Roman" w:hAnsi="Times-Roman" w:cs="Times-Roman"/>
          <w:sz w:val="18"/>
          <w:szCs w:val="18"/>
        </w:rPr>
        <w:t>tha</w:t>
      </w:r>
      <w:r w:rsidR="001B3456">
        <w:rPr>
          <w:rFonts w:ascii="Times-Roman" w:hAnsi="Times-Roman" w:cs="Times-Roman"/>
          <w:sz w:val="18"/>
          <w:szCs w:val="18"/>
        </w:rPr>
        <w:t>ffairs.go.ke/.</w:t>
      </w:r>
      <w:r>
        <w:rPr>
          <w:rFonts w:ascii="Times-Roman" w:hAnsi="Times-Roman" w:cs="Times-Roman"/>
          <w:sz w:val="18"/>
          <w:szCs w:val="18"/>
        </w:rPr>
        <w:t xml:space="preserve"> Retrieved on May 23, 2016. </w:t>
      </w:r>
    </w:p>
  </w:footnote>
  <w:footnote w:id="4">
    <w:p w:rsidR="00017398" w:rsidRPr="00017398" w:rsidRDefault="00017398" w:rsidP="00017398">
      <w:pPr>
        <w:autoSpaceDE w:val="0"/>
        <w:autoSpaceDN w:val="0"/>
        <w:adjustRightInd w:val="0"/>
        <w:spacing w:after="0" w:line="240" w:lineRule="auto"/>
        <w:rPr>
          <w:rFonts w:ascii="Times-Roman" w:hAnsi="Times-Roman" w:cs="Times-Roman"/>
          <w:sz w:val="18"/>
          <w:szCs w:val="18"/>
        </w:rPr>
      </w:pPr>
      <w:r>
        <w:rPr>
          <w:rStyle w:val="FootnoteReference"/>
        </w:rPr>
        <w:footnoteRef/>
      </w:r>
      <w:r>
        <w:t xml:space="preserve"> </w:t>
      </w:r>
      <w:r w:rsidRPr="00017398">
        <w:rPr>
          <w:rFonts w:ascii="Times-Roman" w:hAnsi="Times-Roman" w:cs="Times-Roman"/>
          <w:sz w:val="18"/>
          <w:szCs w:val="18"/>
        </w:rPr>
        <w:t>Higgins, Joan Wharf, and Lara Lauzon. “Finding the funds in fun runs: Exploring physical</w:t>
      </w:r>
    </w:p>
    <w:p w:rsidR="00017398" w:rsidRPr="00017398" w:rsidRDefault="00017398" w:rsidP="00017398">
      <w:pPr>
        <w:autoSpaceDE w:val="0"/>
        <w:autoSpaceDN w:val="0"/>
        <w:adjustRightInd w:val="0"/>
        <w:spacing w:after="0" w:line="240" w:lineRule="auto"/>
        <w:rPr>
          <w:rFonts w:ascii="Times-Italic" w:hAnsi="Times-Italic" w:cs="Times-Italic"/>
          <w:i/>
          <w:iCs/>
          <w:sz w:val="18"/>
          <w:szCs w:val="18"/>
        </w:rPr>
      </w:pPr>
      <w:r w:rsidRPr="00017398">
        <w:rPr>
          <w:rFonts w:ascii="Times-Roman" w:hAnsi="Times-Roman" w:cs="Times-Roman"/>
          <w:sz w:val="18"/>
          <w:szCs w:val="18"/>
        </w:rPr>
        <w:t xml:space="preserve">Activity events as fundraising tools in the nonprofit sector.” </w:t>
      </w:r>
      <w:r w:rsidRPr="00017398">
        <w:rPr>
          <w:rFonts w:ascii="Times-Italic" w:hAnsi="Times-Italic" w:cs="Times-Italic"/>
          <w:i/>
          <w:iCs/>
          <w:sz w:val="18"/>
          <w:szCs w:val="18"/>
        </w:rPr>
        <w:t>International Journal of</w:t>
      </w:r>
    </w:p>
    <w:p w:rsidR="00017398" w:rsidRDefault="00017398" w:rsidP="00017398">
      <w:pPr>
        <w:pStyle w:val="FootnoteText"/>
      </w:pPr>
      <w:r w:rsidRPr="00017398">
        <w:rPr>
          <w:rFonts w:ascii="Times-Italic" w:hAnsi="Times-Italic" w:cs="Times-Italic"/>
          <w:i/>
          <w:iCs/>
          <w:sz w:val="18"/>
          <w:szCs w:val="18"/>
        </w:rPr>
        <w:t>Nonprofit and Voluntary Sector Marketing,</w:t>
      </w:r>
      <w:r w:rsidRPr="00017398">
        <w:rPr>
          <w:rFonts w:ascii="Times-Roman" w:hAnsi="Times-Roman" w:cs="Times-Roman"/>
          <w:sz w:val="18"/>
          <w:szCs w:val="18"/>
        </w:rPr>
        <w:t xml:space="preserve"> 2002: 363-377, Vol. 8, No. 4.</w:t>
      </w:r>
    </w:p>
  </w:footnote>
  <w:footnote w:id="5">
    <w:p w:rsidR="00017398" w:rsidRDefault="00017398">
      <w:pPr>
        <w:pStyle w:val="FootnoteText"/>
      </w:pPr>
      <w:r>
        <w:rPr>
          <w:rStyle w:val="FootnoteReference"/>
        </w:rPr>
        <w:footnoteRef/>
      </w:r>
      <w:r>
        <w:t xml:space="preserve"> Constitution of Kenya 2010, fourth schedule.</w:t>
      </w:r>
    </w:p>
  </w:footnote>
  <w:footnote w:id="6">
    <w:p w:rsidR="001B3456" w:rsidRDefault="001B3456">
      <w:pPr>
        <w:pStyle w:val="FootnoteText"/>
      </w:pPr>
      <w:r>
        <w:rPr>
          <w:rStyle w:val="FootnoteReference"/>
        </w:rPr>
        <w:footnoteRef/>
      </w:r>
      <w:r>
        <w:t xml:space="preserve"> Sports Act 2013.</w:t>
      </w:r>
    </w:p>
  </w:footnote>
  <w:footnote w:id="7">
    <w:p w:rsidR="000C7655" w:rsidRDefault="000C7655">
      <w:pPr>
        <w:pStyle w:val="FootnoteText"/>
      </w:pPr>
      <w:r>
        <w:rPr>
          <w:rStyle w:val="FootnoteReference"/>
        </w:rPr>
        <w:footnoteRef/>
      </w:r>
      <w:r>
        <w:t xml:space="preserve"> Africa media finance,</w:t>
      </w:r>
      <w:r w:rsidRPr="000C7655">
        <w:rPr>
          <w:i/>
        </w:rPr>
        <w:t xml:space="preserve"> </w:t>
      </w:r>
      <w:r w:rsidRPr="000C7655">
        <w:rPr>
          <w:rFonts w:ascii="FrutigerLTStd-Roman" w:hAnsi="FrutigerLTStd-Roman" w:cs="FrutigerLTStd-Roman"/>
          <w:i/>
        </w:rPr>
        <w:t xml:space="preserve">www.africainvestor.com | </w:t>
      </w:r>
      <w:hyperlink r:id="rId1" w:history="1">
        <w:r w:rsidRPr="00E2294B">
          <w:rPr>
            <w:rStyle w:val="Hyperlink"/>
            <w:rFonts w:ascii="FrutigerLTStd-Roman" w:hAnsi="FrutigerLTStd-Roman" w:cs="FrutigerLTStd-Roman"/>
            <w:i/>
          </w:rPr>
          <w:t>www.aiplc.com</w:t>
        </w:r>
      </w:hyperlink>
      <w:r>
        <w:rPr>
          <w:rFonts w:ascii="FrutigerLTStd-Roman" w:hAnsi="FrutigerLTStd-Roman" w:cs="FrutigerLTStd-Roman"/>
          <w:i/>
        </w:rPr>
        <w:t>.</w:t>
      </w:r>
      <w:r w:rsidRPr="000C7655">
        <w:rPr>
          <w:rFonts w:ascii="FrutigerLTStd-Roman" w:hAnsi="FrutigerLTStd-Roman" w:cs="FrutigerLTStd-Roman"/>
        </w:rPr>
        <w:t xml:space="preserve"> Retrieved on May 23, 2016.</w:t>
      </w:r>
    </w:p>
  </w:footnote>
  <w:footnote w:id="8">
    <w:p w:rsidR="00B6061B" w:rsidRPr="00B6061B" w:rsidRDefault="00B6061B" w:rsidP="00B6061B">
      <w:pPr>
        <w:autoSpaceDE w:val="0"/>
        <w:autoSpaceDN w:val="0"/>
        <w:adjustRightInd w:val="0"/>
        <w:spacing w:after="0" w:line="240" w:lineRule="auto"/>
        <w:rPr>
          <w:rFonts w:ascii="Times-Roman" w:hAnsi="Times-Roman" w:cs="Times-Roman"/>
          <w:sz w:val="18"/>
          <w:szCs w:val="18"/>
        </w:rPr>
      </w:pPr>
      <w:r>
        <w:rPr>
          <w:rStyle w:val="FootnoteReference"/>
        </w:rPr>
        <w:footnoteRef/>
      </w:r>
      <w:r>
        <w:t xml:space="preserve"> </w:t>
      </w:r>
      <w:r w:rsidRPr="00B6061B">
        <w:rPr>
          <w:rFonts w:ascii="Times-Roman" w:hAnsi="Times-Roman" w:cs="Times-Roman"/>
          <w:sz w:val="18"/>
          <w:szCs w:val="18"/>
        </w:rPr>
        <w:t xml:space="preserve">Equity Group Foundation, </w:t>
      </w:r>
      <w:r w:rsidRPr="00B6061B">
        <w:rPr>
          <w:rFonts w:ascii="Times-Italic" w:hAnsi="Times-Italic" w:cs="Times-Italic"/>
          <w:i/>
          <w:iCs/>
          <w:sz w:val="18"/>
          <w:szCs w:val="18"/>
        </w:rPr>
        <w:t xml:space="preserve">General Manager </w:t>
      </w:r>
      <w:r w:rsidRPr="00B6061B">
        <w:rPr>
          <w:rFonts w:ascii="Times-Roman" w:hAnsi="Times-Roman" w:cs="Times-Roman"/>
          <w:sz w:val="18"/>
          <w:szCs w:val="18"/>
        </w:rPr>
        <w:t>interview by Leah Serafini and Frida Svärdby</w:t>
      </w:r>
    </w:p>
    <w:p w:rsidR="00B6061B" w:rsidRDefault="00B6061B" w:rsidP="00B6061B">
      <w:pPr>
        <w:pStyle w:val="FootnoteText"/>
      </w:pPr>
      <w:r w:rsidRPr="00B6061B">
        <w:rPr>
          <w:rFonts w:ascii="Times-Roman" w:hAnsi="Times-Roman" w:cs="Times-Roman"/>
          <w:sz w:val="18"/>
          <w:szCs w:val="18"/>
        </w:rPr>
        <w:t>(September 21, 2011)</w:t>
      </w:r>
    </w:p>
  </w:footnote>
  <w:footnote w:id="9">
    <w:p w:rsidR="00B6061B" w:rsidRDefault="00B6061B">
      <w:pPr>
        <w:pStyle w:val="FootnoteText"/>
      </w:pPr>
      <w:r>
        <w:rPr>
          <w:rStyle w:val="FootnoteReference"/>
        </w:rPr>
        <w:footnoteRef/>
      </w:r>
      <w:r>
        <w:t xml:space="preserve"> </w:t>
      </w:r>
      <w:r w:rsidRPr="00B6061B">
        <w:rPr>
          <w:rFonts w:ascii="Times-Roman" w:hAnsi="Times-Roman" w:cs="Times-Roman"/>
          <w:sz w:val="18"/>
          <w:szCs w:val="18"/>
        </w:rPr>
        <w:t xml:space="preserve">Access Kenya. </w:t>
      </w:r>
      <w:r w:rsidRPr="00B6061B">
        <w:rPr>
          <w:rFonts w:ascii="Times-Italic" w:hAnsi="Times-Italic" w:cs="Times-Italic"/>
          <w:i/>
          <w:iCs/>
          <w:sz w:val="18"/>
          <w:szCs w:val="18"/>
        </w:rPr>
        <w:t xml:space="preserve">Report &amp; Financial Statements. </w:t>
      </w:r>
      <w:r w:rsidRPr="00B6061B">
        <w:rPr>
          <w:rFonts w:ascii="Times-Roman" w:hAnsi="Times-Roman" w:cs="Times-Roman"/>
          <w:sz w:val="18"/>
          <w:szCs w:val="18"/>
        </w:rPr>
        <w:t>Nairobi,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15C4C23"/>
    <w:multiLevelType w:val="hybridMultilevel"/>
    <w:tmpl w:val="63F40C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FD0A04"/>
    <w:rsid w:val="00017398"/>
    <w:rsid w:val="000527D5"/>
    <w:rsid w:val="000C3A9C"/>
    <w:rsid w:val="000C7655"/>
    <w:rsid w:val="001865E7"/>
    <w:rsid w:val="001B3456"/>
    <w:rsid w:val="00220B5C"/>
    <w:rsid w:val="002D0DE6"/>
    <w:rsid w:val="00302559"/>
    <w:rsid w:val="00367B17"/>
    <w:rsid w:val="003A25F6"/>
    <w:rsid w:val="00407024"/>
    <w:rsid w:val="00436474"/>
    <w:rsid w:val="00480C66"/>
    <w:rsid w:val="0049281C"/>
    <w:rsid w:val="004B1720"/>
    <w:rsid w:val="0055122A"/>
    <w:rsid w:val="007922EF"/>
    <w:rsid w:val="007A1C1E"/>
    <w:rsid w:val="0085768E"/>
    <w:rsid w:val="009A20FB"/>
    <w:rsid w:val="00A67B96"/>
    <w:rsid w:val="00AA5A61"/>
    <w:rsid w:val="00AD5A67"/>
    <w:rsid w:val="00B6061B"/>
    <w:rsid w:val="00B63C91"/>
    <w:rsid w:val="00DC7845"/>
    <w:rsid w:val="00E322A5"/>
    <w:rsid w:val="00E95E66"/>
    <w:rsid w:val="00FC37A6"/>
    <w:rsid w:val="00FD06C5"/>
    <w:rsid w:val="00FD0A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65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7024"/>
    <w:pPr>
      <w:ind w:left="720"/>
      <w:contextualSpacing/>
    </w:pPr>
  </w:style>
  <w:style w:type="table" w:styleId="TableGrid">
    <w:name w:val="Table Grid"/>
    <w:basedOn w:val="TableNormal"/>
    <w:uiPriority w:val="59"/>
    <w:rsid w:val="00E322A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0C765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7655"/>
    <w:rPr>
      <w:sz w:val="20"/>
      <w:szCs w:val="20"/>
    </w:rPr>
  </w:style>
  <w:style w:type="character" w:styleId="FootnoteReference">
    <w:name w:val="footnote reference"/>
    <w:basedOn w:val="DefaultParagraphFont"/>
    <w:uiPriority w:val="99"/>
    <w:semiHidden/>
    <w:unhideWhenUsed/>
    <w:rsid w:val="000C7655"/>
    <w:rPr>
      <w:vertAlign w:val="superscript"/>
    </w:rPr>
  </w:style>
  <w:style w:type="character" w:styleId="Hyperlink">
    <w:name w:val="Hyperlink"/>
    <w:basedOn w:val="DefaultParagraphFont"/>
    <w:uiPriority w:val="99"/>
    <w:unhideWhenUsed/>
    <w:rsid w:val="000C765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aipl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1F34EB-DF30-4CFF-9F02-7FE6EDDC0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SOITA</dc:creator>
  <cp:lastModifiedBy>SOITA</cp:lastModifiedBy>
  <cp:revision>8</cp:revision>
  <dcterms:created xsi:type="dcterms:W3CDTF">2016-05-22T17:04:00Z</dcterms:created>
  <dcterms:modified xsi:type="dcterms:W3CDTF">2016-05-23T08:45:00Z</dcterms:modified>
</cp:coreProperties>
</file>