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8724B" w:rsidRPr="002C278E" w:rsidRDefault="00F8724B" w:rsidP="002C278E">
      <w:pPr>
        <w:spacing w:line="360" w:lineRule="auto"/>
        <w:rPr>
          <w:rFonts w:ascii="Times New Roman" w:hAnsi="Times New Roman" w:cs="Times New Roman"/>
          <w:b/>
          <w:sz w:val="24"/>
          <w:szCs w:val="24"/>
          <w:u w:val="single"/>
        </w:rPr>
      </w:pPr>
      <w:r w:rsidRPr="002C278E">
        <w:rPr>
          <w:rFonts w:ascii="Times New Roman" w:hAnsi="Times New Roman" w:cs="Times New Roman"/>
          <w:b/>
          <w:sz w:val="24"/>
          <w:szCs w:val="24"/>
          <w:u w:val="single"/>
        </w:rPr>
        <w:t xml:space="preserve">INTRODUCTION </w:t>
      </w:r>
    </w:p>
    <w:p w:rsidR="00F8724B" w:rsidRPr="002C278E" w:rsidRDefault="00F8724B" w:rsidP="002C278E">
      <w:pPr>
        <w:spacing w:line="360" w:lineRule="auto"/>
        <w:rPr>
          <w:rFonts w:ascii="Times New Roman" w:hAnsi="Times New Roman" w:cs="Times New Roman"/>
          <w:sz w:val="24"/>
          <w:szCs w:val="24"/>
        </w:rPr>
      </w:pPr>
      <w:r w:rsidRPr="002C278E">
        <w:rPr>
          <w:rFonts w:ascii="Times New Roman" w:hAnsi="Times New Roman" w:cs="Times New Roman"/>
          <w:b/>
          <w:sz w:val="24"/>
          <w:szCs w:val="24"/>
        </w:rPr>
        <w:t>The ICJ’s advisory opinions</w:t>
      </w:r>
      <w:r w:rsidRPr="002C278E">
        <w:rPr>
          <w:rFonts w:ascii="Times New Roman" w:hAnsi="Times New Roman" w:cs="Times New Roman"/>
          <w:sz w:val="24"/>
          <w:szCs w:val="24"/>
        </w:rPr>
        <w:t xml:space="preserve"> have been defined as “judicial statements on legal questions submitted to the Court by organs of the United Nations and other legal bodies so authorized”</w:t>
      </w:r>
      <w:r w:rsidRPr="002C278E">
        <w:rPr>
          <w:rFonts w:ascii="Times New Roman" w:hAnsi="Times New Roman" w:cs="Times New Roman"/>
          <w:sz w:val="24"/>
          <w:szCs w:val="24"/>
          <w:vertAlign w:val="superscript"/>
        </w:rPr>
        <w:footnoteReference w:id="1"/>
      </w:r>
      <w:r w:rsidRPr="002C278E">
        <w:rPr>
          <w:rFonts w:ascii="Times New Roman" w:hAnsi="Times New Roman" w:cs="Times New Roman"/>
          <w:sz w:val="24"/>
          <w:szCs w:val="24"/>
        </w:rPr>
        <w:t xml:space="preserve"> </w:t>
      </w:r>
    </w:p>
    <w:p w:rsidR="00F8724B" w:rsidRPr="002C278E" w:rsidRDefault="00F8724B" w:rsidP="002C278E">
      <w:pPr>
        <w:spacing w:line="360" w:lineRule="auto"/>
        <w:rPr>
          <w:rFonts w:ascii="Times New Roman" w:hAnsi="Times New Roman" w:cs="Times New Roman"/>
          <w:sz w:val="24"/>
          <w:szCs w:val="24"/>
        </w:rPr>
      </w:pPr>
      <w:r w:rsidRPr="002C278E">
        <w:rPr>
          <w:rFonts w:ascii="Times New Roman" w:hAnsi="Times New Roman" w:cs="Times New Roman"/>
          <w:sz w:val="24"/>
          <w:szCs w:val="24"/>
        </w:rPr>
        <w:t>The purpose of the advisory function is, however, “not to settle – at least directly – disputes between States, but to offer legal advice to the organs and institutions requesting the opinion”</w:t>
      </w:r>
      <w:r w:rsidRPr="002C278E">
        <w:rPr>
          <w:rFonts w:ascii="Times New Roman" w:hAnsi="Times New Roman" w:cs="Times New Roman"/>
          <w:sz w:val="24"/>
          <w:szCs w:val="24"/>
          <w:vertAlign w:val="superscript"/>
        </w:rPr>
        <w:footnoteReference w:id="2"/>
      </w:r>
    </w:p>
    <w:p w:rsidR="00F8724B" w:rsidRPr="002C278E" w:rsidRDefault="00F8724B" w:rsidP="002C278E">
      <w:pPr>
        <w:spacing w:line="360" w:lineRule="auto"/>
        <w:rPr>
          <w:rFonts w:ascii="Times New Roman" w:hAnsi="Times New Roman" w:cs="Times New Roman"/>
          <w:sz w:val="24"/>
          <w:szCs w:val="24"/>
        </w:rPr>
      </w:pPr>
      <w:r w:rsidRPr="002C278E">
        <w:rPr>
          <w:rFonts w:ascii="Times New Roman" w:hAnsi="Times New Roman" w:cs="Times New Roman"/>
          <w:b/>
          <w:bCs/>
          <w:sz w:val="24"/>
          <w:szCs w:val="24"/>
        </w:rPr>
        <w:t>Advisory opinion</w:t>
      </w:r>
      <w:r w:rsidRPr="002C278E">
        <w:rPr>
          <w:rFonts w:ascii="Times New Roman" w:hAnsi="Times New Roman" w:cs="Times New Roman"/>
          <w:sz w:val="24"/>
          <w:szCs w:val="24"/>
        </w:rPr>
        <w:t>, in law, the opinion of a </w:t>
      </w:r>
      <w:hyperlink r:id="rId7" w:history="1">
        <w:r w:rsidRPr="002C278E">
          <w:rPr>
            <w:rStyle w:val="Hyperlink"/>
            <w:rFonts w:ascii="Times New Roman" w:hAnsi="Times New Roman" w:cs="Times New Roman"/>
            <w:color w:val="000000" w:themeColor="text1"/>
            <w:sz w:val="24"/>
            <w:szCs w:val="24"/>
            <w:u w:val="none"/>
          </w:rPr>
          <w:t>judge</w:t>
        </w:r>
      </w:hyperlink>
      <w:r w:rsidRPr="002C278E">
        <w:rPr>
          <w:rFonts w:ascii="Times New Roman" w:hAnsi="Times New Roman" w:cs="Times New Roman"/>
          <w:color w:val="000000" w:themeColor="text1"/>
          <w:sz w:val="24"/>
          <w:szCs w:val="24"/>
        </w:rPr>
        <w:t>, a </w:t>
      </w:r>
      <w:hyperlink r:id="rId8" w:history="1">
        <w:r w:rsidRPr="002C278E">
          <w:rPr>
            <w:rStyle w:val="Hyperlink"/>
            <w:rFonts w:ascii="Times New Roman" w:hAnsi="Times New Roman" w:cs="Times New Roman"/>
            <w:color w:val="000000" w:themeColor="text1"/>
            <w:sz w:val="24"/>
            <w:szCs w:val="24"/>
            <w:u w:val="none"/>
          </w:rPr>
          <w:t>court</w:t>
        </w:r>
      </w:hyperlink>
      <w:r w:rsidRPr="002C278E">
        <w:rPr>
          <w:rFonts w:ascii="Times New Roman" w:hAnsi="Times New Roman" w:cs="Times New Roman"/>
          <w:sz w:val="24"/>
          <w:szCs w:val="24"/>
        </w:rPr>
        <w:t>, or a law official, such as an </w:t>
      </w:r>
      <w:hyperlink r:id="rId9" w:history="1">
        <w:r w:rsidRPr="002C278E">
          <w:rPr>
            <w:rStyle w:val="Hyperlink"/>
            <w:rFonts w:ascii="Times New Roman" w:hAnsi="Times New Roman" w:cs="Times New Roman"/>
            <w:color w:val="000000" w:themeColor="text1"/>
            <w:sz w:val="24"/>
            <w:szCs w:val="24"/>
            <w:u w:val="none"/>
          </w:rPr>
          <w:t>attorney general</w:t>
        </w:r>
      </w:hyperlink>
      <w:r w:rsidRPr="002C278E">
        <w:rPr>
          <w:rFonts w:ascii="Times New Roman" w:hAnsi="Times New Roman" w:cs="Times New Roman"/>
          <w:color w:val="000000" w:themeColor="text1"/>
          <w:sz w:val="24"/>
          <w:szCs w:val="24"/>
        </w:rPr>
        <w:t xml:space="preserve">, </w:t>
      </w:r>
      <w:r w:rsidRPr="002C278E">
        <w:rPr>
          <w:rFonts w:ascii="Times New Roman" w:hAnsi="Times New Roman" w:cs="Times New Roman"/>
          <w:sz w:val="24"/>
          <w:szCs w:val="24"/>
        </w:rPr>
        <w:t>upon a question of law raised by a public official or legislative body. Advisory opinions </w:t>
      </w:r>
      <w:hyperlink r:id="rId10" w:history="1">
        <w:r w:rsidRPr="002C278E">
          <w:rPr>
            <w:rStyle w:val="Hyperlink"/>
            <w:rFonts w:ascii="Times New Roman" w:hAnsi="Times New Roman" w:cs="Times New Roman"/>
            <w:color w:val="auto"/>
            <w:sz w:val="24"/>
            <w:szCs w:val="24"/>
            <w:u w:val="none"/>
          </w:rPr>
          <w:t>adjudicate</w:t>
        </w:r>
      </w:hyperlink>
      <w:r w:rsidRPr="002C278E">
        <w:rPr>
          <w:rFonts w:ascii="Times New Roman" w:hAnsi="Times New Roman" w:cs="Times New Roman"/>
          <w:sz w:val="24"/>
          <w:szCs w:val="24"/>
        </w:rPr>
        <w:t> nothing and are not binding, though courts sometimes cite them as evidence of the law.</w:t>
      </w:r>
      <w:r w:rsidRPr="002C278E">
        <w:rPr>
          <w:rFonts w:ascii="Times New Roman" w:hAnsi="Times New Roman" w:cs="Times New Roman"/>
          <w:sz w:val="24"/>
          <w:szCs w:val="24"/>
          <w:vertAlign w:val="superscript"/>
        </w:rPr>
        <w:footnoteReference w:id="3"/>
      </w:r>
      <w:r w:rsidRPr="002C278E">
        <w:rPr>
          <w:rFonts w:ascii="Times New Roman" w:hAnsi="Times New Roman" w:cs="Times New Roman"/>
          <w:sz w:val="24"/>
          <w:szCs w:val="24"/>
        </w:rPr>
        <w:t> </w:t>
      </w:r>
    </w:p>
    <w:p w:rsidR="00F8724B" w:rsidRPr="002C278E" w:rsidRDefault="00F8724B" w:rsidP="002C278E">
      <w:pPr>
        <w:spacing w:line="360" w:lineRule="auto"/>
        <w:rPr>
          <w:rFonts w:ascii="Times New Roman" w:hAnsi="Times New Roman" w:cs="Times New Roman"/>
          <w:sz w:val="24"/>
          <w:szCs w:val="24"/>
        </w:rPr>
      </w:pPr>
      <w:r w:rsidRPr="002C278E">
        <w:rPr>
          <w:rFonts w:ascii="Times New Roman" w:hAnsi="Times New Roman" w:cs="Times New Roman"/>
          <w:sz w:val="24"/>
          <w:szCs w:val="24"/>
        </w:rPr>
        <w:t> Black’s Law Dictionary defines an advisory opinion as a non-binding statement by a court on its interpretation of the law on a matter submitted for the purpose, the international legal regime</w:t>
      </w:r>
    </w:p>
    <w:p w:rsidR="002C278E" w:rsidRPr="002C278E" w:rsidRDefault="002C278E" w:rsidP="002C278E">
      <w:pPr>
        <w:spacing w:line="360" w:lineRule="auto"/>
        <w:rPr>
          <w:rFonts w:ascii="Times New Roman" w:hAnsi="Times New Roman" w:cs="Times New Roman"/>
          <w:b/>
          <w:sz w:val="24"/>
          <w:szCs w:val="24"/>
        </w:rPr>
      </w:pPr>
      <w:r w:rsidRPr="002C278E">
        <w:rPr>
          <w:rFonts w:ascii="Times New Roman" w:hAnsi="Times New Roman" w:cs="Times New Roman"/>
          <w:sz w:val="24"/>
          <w:szCs w:val="24"/>
        </w:rPr>
        <w:t> The definition of an advisory opinion, the court, in the landmark case of </w:t>
      </w:r>
      <w:r w:rsidRPr="002C278E">
        <w:rPr>
          <w:rFonts w:ascii="Times New Roman" w:hAnsi="Times New Roman" w:cs="Times New Roman"/>
          <w:b/>
          <w:i/>
          <w:iCs/>
          <w:sz w:val="24"/>
          <w:szCs w:val="24"/>
        </w:rPr>
        <w:t>RE IIEC</w:t>
      </w:r>
      <w:r w:rsidRPr="002C278E">
        <w:rPr>
          <w:rFonts w:ascii="Times New Roman" w:hAnsi="Times New Roman" w:cs="Times New Roman"/>
          <w:b/>
          <w:sz w:val="24"/>
          <w:szCs w:val="24"/>
        </w:rPr>
        <w:t> (</w:t>
      </w:r>
      <w:r w:rsidRPr="002C278E">
        <w:rPr>
          <w:rFonts w:ascii="Times New Roman" w:hAnsi="Times New Roman" w:cs="Times New Roman"/>
          <w:b/>
          <w:i/>
          <w:iCs/>
          <w:sz w:val="24"/>
          <w:szCs w:val="24"/>
        </w:rPr>
        <w:t>[</w:t>
      </w:r>
      <w:r w:rsidRPr="002C278E">
        <w:rPr>
          <w:rFonts w:ascii="Times New Roman" w:hAnsi="Times New Roman" w:cs="Times New Roman"/>
          <w:b/>
          <w:sz w:val="24"/>
          <w:szCs w:val="24"/>
        </w:rPr>
        <w:t xml:space="preserve">2011] </w:t>
      </w:r>
      <w:proofErr w:type="spellStart"/>
      <w:r w:rsidRPr="002C278E">
        <w:rPr>
          <w:rFonts w:ascii="Times New Roman" w:hAnsi="Times New Roman" w:cs="Times New Roman"/>
          <w:b/>
          <w:sz w:val="24"/>
          <w:szCs w:val="24"/>
        </w:rPr>
        <w:t>eKLR</w:t>
      </w:r>
      <w:proofErr w:type="spellEnd"/>
      <w:r w:rsidRPr="002C278E">
        <w:rPr>
          <w:rFonts w:ascii="Times New Roman" w:hAnsi="Times New Roman" w:cs="Times New Roman"/>
          <w:b/>
          <w:sz w:val="24"/>
          <w:szCs w:val="24"/>
        </w:rPr>
        <w:t xml:space="preserve"> Sup. Ct. Const. Application No. 2) had this to say in paragraph 33,</w:t>
      </w:r>
    </w:p>
    <w:p w:rsidR="002C278E" w:rsidRPr="002C278E" w:rsidRDefault="002C278E" w:rsidP="002C278E">
      <w:pPr>
        <w:spacing w:line="360" w:lineRule="auto"/>
        <w:rPr>
          <w:rFonts w:ascii="Times New Roman" w:hAnsi="Times New Roman" w:cs="Times New Roman"/>
          <w:b/>
          <w:sz w:val="24"/>
          <w:szCs w:val="24"/>
        </w:rPr>
      </w:pPr>
      <w:r w:rsidRPr="002C278E">
        <w:rPr>
          <w:rFonts w:ascii="Times New Roman" w:hAnsi="Times New Roman" w:cs="Times New Roman"/>
          <w:b/>
          <w:i/>
          <w:iCs/>
          <w:sz w:val="24"/>
          <w:szCs w:val="24"/>
        </w:rPr>
        <w:t>“(An advisory opinion) means legal advice rendered by the Court to the public body or bodies seeking the same, by virtue of scope created by law. Since such an opinion does not flow from any contest of rights or claims disposed of by regular process, it does not fall in the class of ‘judgment, or ruling, or order, or decree’.</w:t>
      </w:r>
    </w:p>
    <w:p w:rsidR="00F8724B" w:rsidRPr="002C278E" w:rsidRDefault="00F8724B" w:rsidP="002C278E">
      <w:pPr>
        <w:spacing w:line="360" w:lineRule="auto"/>
        <w:rPr>
          <w:rFonts w:ascii="Times New Roman" w:hAnsi="Times New Roman" w:cs="Times New Roman"/>
          <w:sz w:val="24"/>
          <w:szCs w:val="24"/>
        </w:rPr>
      </w:pPr>
      <w:r w:rsidRPr="002C278E">
        <w:rPr>
          <w:rFonts w:ascii="Times New Roman" w:hAnsi="Times New Roman" w:cs="Times New Roman"/>
          <w:b/>
          <w:sz w:val="24"/>
          <w:szCs w:val="24"/>
        </w:rPr>
        <w:t xml:space="preserve">A declaration </w:t>
      </w:r>
      <w:r w:rsidRPr="002C278E">
        <w:rPr>
          <w:rFonts w:ascii="Times New Roman" w:hAnsi="Times New Roman" w:cs="Times New Roman"/>
          <w:sz w:val="24"/>
          <w:szCs w:val="24"/>
        </w:rPr>
        <w:t>is a statement made by a court clarifying the law, or the rights and obligations of one party to another. When a court makes a declaration, it simply ‘declares’ what the law is. It does not direct a party to take any particular action.</w:t>
      </w:r>
    </w:p>
    <w:p w:rsidR="002C278E" w:rsidRDefault="002C278E" w:rsidP="002C278E">
      <w:pPr>
        <w:spacing w:line="360" w:lineRule="auto"/>
        <w:rPr>
          <w:rFonts w:ascii="Times New Roman" w:hAnsi="Times New Roman" w:cs="Times New Roman"/>
          <w:sz w:val="24"/>
          <w:szCs w:val="24"/>
        </w:rPr>
      </w:pPr>
    </w:p>
    <w:p w:rsidR="002C278E" w:rsidRDefault="002C278E" w:rsidP="002C278E">
      <w:pPr>
        <w:spacing w:line="360" w:lineRule="auto"/>
        <w:rPr>
          <w:rFonts w:ascii="Times New Roman" w:hAnsi="Times New Roman" w:cs="Times New Roman"/>
          <w:sz w:val="24"/>
          <w:szCs w:val="24"/>
        </w:rPr>
      </w:pPr>
    </w:p>
    <w:p w:rsidR="002C278E" w:rsidRDefault="002C278E" w:rsidP="002C278E">
      <w:pPr>
        <w:spacing w:line="360" w:lineRule="auto"/>
        <w:rPr>
          <w:rFonts w:ascii="Times New Roman" w:hAnsi="Times New Roman" w:cs="Times New Roman"/>
          <w:sz w:val="24"/>
          <w:szCs w:val="24"/>
        </w:rPr>
      </w:pPr>
    </w:p>
    <w:p w:rsidR="00F8724B" w:rsidRPr="002C278E" w:rsidRDefault="00F8724B" w:rsidP="002C278E">
      <w:pPr>
        <w:spacing w:line="360" w:lineRule="auto"/>
        <w:rPr>
          <w:rFonts w:ascii="Times New Roman" w:hAnsi="Times New Roman" w:cs="Times New Roman"/>
          <w:sz w:val="24"/>
          <w:szCs w:val="24"/>
        </w:rPr>
      </w:pPr>
      <w:r w:rsidRPr="002C278E">
        <w:rPr>
          <w:rFonts w:ascii="Times New Roman" w:hAnsi="Times New Roman" w:cs="Times New Roman"/>
          <w:sz w:val="24"/>
          <w:szCs w:val="24"/>
        </w:rPr>
        <w:lastRenderedPageBreak/>
        <w:t>When people feel that a government action or a law has denied them their rights, or that a law contradicts a section of the Constitution, they may seek a declaration from the courts deciding the issue</w:t>
      </w:r>
      <w:r w:rsidRPr="002C278E">
        <w:rPr>
          <w:rFonts w:ascii="Times New Roman" w:hAnsi="Times New Roman" w:cs="Times New Roman"/>
          <w:sz w:val="24"/>
          <w:szCs w:val="24"/>
          <w:vertAlign w:val="superscript"/>
        </w:rPr>
        <w:footnoteReference w:id="4"/>
      </w:r>
      <w:r w:rsidRPr="002C278E">
        <w:rPr>
          <w:rFonts w:ascii="Times New Roman" w:hAnsi="Times New Roman" w:cs="Times New Roman"/>
          <w:sz w:val="24"/>
          <w:szCs w:val="24"/>
        </w:rPr>
        <w:t>. Courts have stronger powers to compel the government to take specific actions to follow the </w:t>
      </w:r>
      <w:r w:rsidRPr="002C278E">
        <w:rPr>
          <w:rFonts w:ascii="Times New Roman" w:hAnsi="Times New Roman" w:cs="Times New Roman"/>
          <w:i/>
          <w:iCs/>
          <w:sz w:val="24"/>
          <w:szCs w:val="24"/>
        </w:rPr>
        <w:t>Constitution</w:t>
      </w:r>
      <w:r w:rsidRPr="002C278E">
        <w:rPr>
          <w:rFonts w:ascii="Times New Roman" w:hAnsi="Times New Roman" w:cs="Times New Roman"/>
          <w:sz w:val="24"/>
          <w:szCs w:val="24"/>
        </w:rPr>
        <w:t>. However, courts still generally prefer to rely on declarations. This is largely because governments must consider the will of the electorate when creating laws, and must balance many competing interests</w:t>
      </w:r>
      <w:r w:rsidRPr="002C278E">
        <w:rPr>
          <w:rFonts w:ascii="Times New Roman" w:hAnsi="Times New Roman" w:cs="Times New Roman"/>
          <w:sz w:val="24"/>
          <w:szCs w:val="24"/>
          <w:vertAlign w:val="superscript"/>
        </w:rPr>
        <w:footnoteReference w:id="5"/>
      </w:r>
      <w:r w:rsidRPr="002C278E">
        <w:rPr>
          <w:rFonts w:ascii="Times New Roman" w:hAnsi="Times New Roman" w:cs="Times New Roman"/>
          <w:sz w:val="24"/>
          <w:szCs w:val="24"/>
        </w:rPr>
        <w:t>.</w:t>
      </w:r>
    </w:p>
    <w:p w:rsidR="00F8724B" w:rsidRPr="002C278E" w:rsidRDefault="00F8724B" w:rsidP="002C278E">
      <w:pPr>
        <w:spacing w:line="360" w:lineRule="auto"/>
        <w:rPr>
          <w:rFonts w:ascii="Times New Roman" w:hAnsi="Times New Roman" w:cs="Times New Roman"/>
          <w:sz w:val="24"/>
          <w:szCs w:val="24"/>
        </w:rPr>
      </w:pPr>
    </w:p>
    <w:p w:rsidR="00F8724B" w:rsidRPr="002C278E" w:rsidRDefault="00F8724B" w:rsidP="002C278E">
      <w:pPr>
        <w:spacing w:line="360" w:lineRule="auto"/>
        <w:rPr>
          <w:rFonts w:ascii="Times New Roman" w:hAnsi="Times New Roman" w:cs="Times New Roman"/>
          <w:b/>
          <w:sz w:val="24"/>
          <w:szCs w:val="24"/>
          <w:u w:val="single"/>
        </w:rPr>
      </w:pPr>
      <w:r w:rsidRPr="002C278E">
        <w:rPr>
          <w:rFonts w:ascii="Times New Roman" w:hAnsi="Times New Roman" w:cs="Times New Roman"/>
          <w:b/>
          <w:sz w:val="24"/>
          <w:szCs w:val="24"/>
          <w:u w:val="single"/>
        </w:rPr>
        <w:t xml:space="preserve">Advisory proceedings in international court </w:t>
      </w:r>
    </w:p>
    <w:p w:rsidR="00F8724B" w:rsidRPr="002C278E" w:rsidRDefault="00F8724B" w:rsidP="002C278E">
      <w:pPr>
        <w:spacing w:line="360" w:lineRule="auto"/>
        <w:rPr>
          <w:rFonts w:ascii="Times New Roman" w:hAnsi="Times New Roman" w:cs="Times New Roman"/>
          <w:sz w:val="24"/>
          <w:szCs w:val="24"/>
        </w:rPr>
      </w:pPr>
      <w:r w:rsidRPr="002C278E">
        <w:rPr>
          <w:rFonts w:ascii="Times New Roman" w:hAnsi="Times New Roman" w:cs="Times New Roman"/>
          <w:sz w:val="24"/>
          <w:szCs w:val="24"/>
        </w:rPr>
        <w:t>The main provisions governing the Court’s advisory function appear in Art. 96 of the UN Charter and in Art. 65 of the ICJ Statute. Art. 96 of the Charter authorizes two categories of bodies to request advisory opinions</w:t>
      </w:r>
    </w:p>
    <w:p w:rsidR="00F8724B" w:rsidRPr="002C278E" w:rsidRDefault="00F8724B" w:rsidP="002C278E">
      <w:pPr>
        <w:spacing w:line="360" w:lineRule="auto"/>
        <w:rPr>
          <w:rFonts w:ascii="Times New Roman" w:hAnsi="Times New Roman" w:cs="Times New Roman"/>
          <w:b/>
          <w:sz w:val="24"/>
          <w:szCs w:val="24"/>
          <w:u w:val="single"/>
        </w:rPr>
      </w:pPr>
      <w:r w:rsidRPr="002C278E">
        <w:rPr>
          <w:rFonts w:ascii="Times New Roman" w:hAnsi="Times New Roman" w:cs="Times New Roman"/>
          <w:b/>
          <w:sz w:val="24"/>
          <w:szCs w:val="24"/>
          <w:u w:val="single"/>
        </w:rPr>
        <w:t>How do you request an advisory opinion ICJ</w:t>
      </w:r>
    </w:p>
    <w:p w:rsidR="00F8724B" w:rsidRPr="002C278E" w:rsidRDefault="00F8724B" w:rsidP="002C278E">
      <w:pPr>
        <w:spacing w:line="360" w:lineRule="auto"/>
        <w:rPr>
          <w:rFonts w:ascii="Times New Roman" w:hAnsi="Times New Roman" w:cs="Times New Roman"/>
          <w:sz w:val="24"/>
          <w:szCs w:val="24"/>
        </w:rPr>
      </w:pPr>
      <w:r w:rsidRPr="002C278E">
        <w:rPr>
          <w:rFonts w:ascii="Times New Roman" w:hAnsi="Times New Roman" w:cs="Times New Roman"/>
          <w:sz w:val="24"/>
          <w:szCs w:val="24"/>
        </w:rPr>
        <w:t>Advisory proceedings begin with the filing of a written request for an advisory opinion </w:t>
      </w:r>
      <w:r w:rsidRPr="002C278E">
        <w:rPr>
          <w:rFonts w:ascii="Times New Roman" w:hAnsi="Times New Roman" w:cs="Times New Roman"/>
          <w:b/>
          <w:bCs/>
          <w:sz w:val="24"/>
          <w:szCs w:val="24"/>
        </w:rPr>
        <w:t>addressed to the Registrar by the United Nations Secretary-General or the director or secretary-general of the entity requesting the opinion</w:t>
      </w:r>
      <w:r w:rsidRPr="002C278E">
        <w:rPr>
          <w:rFonts w:ascii="Times New Roman" w:hAnsi="Times New Roman" w:cs="Times New Roman"/>
          <w:sz w:val="24"/>
          <w:szCs w:val="24"/>
        </w:rPr>
        <w:t>. In urgent cases the Court may take all appropriate measures to speed up the proceedings.</w:t>
      </w:r>
    </w:p>
    <w:p w:rsidR="00F8724B" w:rsidRPr="002C278E" w:rsidRDefault="00F8724B" w:rsidP="002C278E">
      <w:pPr>
        <w:spacing w:line="360" w:lineRule="auto"/>
        <w:rPr>
          <w:rFonts w:ascii="Times New Roman" w:hAnsi="Times New Roman" w:cs="Times New Roman"/>
          <w:b/>
          <w:sz w:val="24"/>
          <w:szCs w:val="24"/>
          <w:u w:val="single"/>
        </w:rPr>
      </w:pPr>
      <w:r w:rsidRPr="002C278E">
        <w:rPr>
          <w:rFonts w:ascii="Times New Roman" w:hAnsi="Times New Roman" w:cs="Times New Roman"/>
          <w:b/>
          <w:sz w:val="24"/>
          <w:szCs w:val="24"/>
          <w:u w:val="single"/>
        </w:rPr>
        <w:t>Organs and agencies authorized to request advisory opinions</w:t>
      </w:r>
    </w:p>
    <w:p w:rsidR="00F8724B" w:rsidRPr="002C278E" w:rsidRDefault="00F8724B" w:rsidP="002C278E">
      <w:pPr>
        <w:spacing w:line="360" w:lineRule="auto"/>
        <w:rPr>
          <w:rFonts w:ascii="Times New Roman" w:hAnsi="Times New Roman" w:cs="Times New Roman"/>
          <w:sz w:val="24"/>
          <w:szCs w:val="24"/>
        </w:rPr>
      </w:pPr>
      <w:r w:rsidRPr="002C278E">
        <w:rPr>
          <w:rFonts w:ascii="Times New Roman" w:hAnsi="Times New Roman" w:cs="Times New Roman"/>
          <w:sz w:val="24"/>
          <w:szCs w:val="24"/>
        </w:rPr>
        <w:t>In accordance with Article 96, paragraph 1, of the Charter of the United Nations “[t]he General Assembly or the Security Council may request the International Court of Justice to give an advisory opinion on any legal question”.</w:t>
      </w:r>
    </w:p>
    <w:p w:rsidR="00F8724B" w:rsidRPr="002C278E" w:rsidRDefault="00F8724B" w:rsidP="002C278E">
      <w:pPr>
        <w:spacing w:line="360" w:lineRule="auto"/>
        <w:rPr>
          <w:rFonts w:ascii="Times New Roman" w:hAnsi="Times New Roman" w:cs="Times New Roman"/>
          <w:sz w:val="24"/>
          <w:szCs w:val="24"/>
        </w:rPr>
      </w:pPr>
      <w:r w:rsidRPr="002C278E">
        <w:rPr>
          <w:rFonts w:ascii="Times New Roman" w:hAnsi="Times New Roman" w:cs="Times New Roman"/>
          <w:sz w:val="24"/>
          <w:szCs w:val="24"/>
        </w:rPr>
        <w:t>Article 96, paragraph 2, of the Charter provides that “[o]</w:t>
      </w:r>
      <w:proofErr w:type="spellStart"/>
      <w:r w:rsidRPr="002C278E">
        <w:rPr>
          <w:rFonts w:ascii="Times New Roman" w:hAnsi="Times New Roman" w:cs="Times New Roman"/>
          <w:sz w:val="24"/>
          <w:szCs w:val="24"/>
        </w:rPr>
        <w:t>ther</w:t>
      </w:r>
      <w:proofErr w:type="spellEnd"/>
      <w:r w:rsidRPr="002C278E">
        <w:rPr>
          <w:rFonts w:ascii="Times New Roman" w:hAnsi="Times New Roman" w:cs="Times New Roman"/>
          <w:sz w:val="24"/>
          <w:szCs w:val="24"/>
        </w:rPr>
        <w:t xml:space="preserve"> organs of the United Nations and specialized agencies, which may at any time be so authorized by the General Assembly, may also request advisory opinions of the Court on legal questions arising within the scope of their activities”.</w:t>
      </w:r>
    </w:p>
    <w:p w:rsidR="002C278E" w:rsidRDefault="002C278E" w:rsidP="002C278E">
      <w:pPr>
        <w:spacing w:line="360" w:lineRule="auto"/>
        <w:rPr>
          <w:rFonts w:ascii="Times New Roman" w:hAnsi="Times New Roman" w:cs="Times New Roman"/>
          <w:b/>
          <w:sz w:val="24"/>
          <w:szCs w:val="24"/>
          <w:u w:val="single"/>
        </w:rPr>
      </w:pPr>
    </w:p>
    <w:p w:rsidR="00F8724B" w:rsidRPr="002C278E" w:rsidRDefault="00F8724B" w:rsidP="002C278E">
      <w:pPr>
        <w:spacing w:line="360" w:lineRule="auto"/>
        <w:rPr>
          <w:rFonts w:ascii="Times New Roman" w:hAnsi="Times New Roman" w:cs="Times New Roman"/>
          <w:b/>
          <w:sz w:val="24"/>
          <w:szCs w:val="24"/>
          <w:u w:val="single"/>
        </w:rPr>
      </w:pPr>
      <w:r w:rsidRPr="002C278E">
        <w:rPr>
          <w:rFonts w:ascii="Times New Roman" w:hAnsi="Times New Roman" w:cs="Times New Roman"/>
          <w:b/>
          <w:sz w:val="24"/>
          <w:szCs w:val="24"/>
          <w:u w:val="single"/>
        </w:rPr>
        <w:t>UN Organs</w:t>
      </w:r>
    </w:p>
    <w:p w:rsidR="00F8724B" w:rsidRPr="002C278E" w:rsidRDefault="00F8724B" w:rsidP="002C278E">
      <w:pPr>
        <w:spacing w:line="360" w:lineRule="auto"/>
        <w:rPr>
          <w:rFonts w:ascii="Times New Roman" w:hAnsi="Times New Roman" w:cs="Times New Roman"/>
          <w:b/>
          <w:sz w:val="24"/>
          <w:szCs w:val="24"/>
          <w:u w:val="single"/>
        </w:rPr>
      </w:pPr>
      <w:r w:rsidRPr="002C278E">
        <w:rPr>
          <w:rFonts w:ascii="Times New Roman" w:hAnsi="Times New Roman" w:cs="Times New Roman"/>
          <w:b/>
          <w:sz w:val="24"/>
          <w:szCs w:val="24"/>
          <w:u w:val="single"/>
        </w:rPr>
        <w:lastRenderedPageBreak/>
        <w:t>General Assembly</w:t>
      </w:r>
    </w:p>
    <w:p w:rsidR="00F8724B" w:rsidRPr="002C278E" w:rsidRDefault="00F8724B" w:rsidP="002C278E">
      <w:pPr>
        <w:spacing w:line="360" w:lineRule="auto"/>
        <w:rPr>
          <w:rFonts w:ascii="Times New Roman" w:hAnsi="Times New Roman" w:cs="Times New Roman"/>
          <w:sz w:val="24"/>
          <w:szCs w:val="24"/>
        </w:rPr>
      </w:pPr>
      <w:r w:rsidRPr="002C278E">
        <w:rPr>
          <w:rFonts w:ascii="Times New Roman" w:hAnsi="Times New Roman" w:cs="Times New Roman"/>
          <w:sz w:val="24"/>
          <w:szCs w:val="24"/>
        </w:rPr>
        <w:t>The General Assembly has requested advisory opinions of the Court in the following case(s):</w:t>
      </w:r>
    </w:p>
    <w:p w:rsidR="00F8724B" w:rsidRPr="002C278E" w:rsidRDefault="008A6306" w:rsidP="002C278E">
      <w:pPr>
        <w:spacing w:line="360" w:lineRule="auto"/>
        <w:rPr>
          <w:rFonts w:ascii="Times New Roman" w:hAnsi="Times New Roman" w:cs="Times New Roman"/>
          <w:color w:val="000000" w:themeColor="text1"/>
          <w:sz w:val="24"/>
          <w:szCs w:val="24"/>
        </w:rPr>
      </w:pPr>
      <w:hyperlink r:id="rId11" w:history="1">
        <w:r w:rsidR="00F8724B" w:rsidRPr="002C278E">
          <w:rPr>
            <w:rStyle w:val="Hyperlink"/>
            <w:rFonts w:ascii="Times New Roman" w:hAnsi="Times New Roman" w:cs="Times New Roman"/>
            <w:color w:val="000000" w:themeColor="text1"/>
            <w:sz w:val="24"/>
            <w:szCs w:val="24"/>
            <w:u w:val="none"/>
          </w:rPr>
          <w:t> Conditions of Admission of a State to Membership in the United Nations (Article 4 of the Charter)</w:t>
        </w:r>
      </w:hyperlink>
    </w:p>
    <w:p w:rsidR="00F8724B" w:rsidRPr="002C278E" w:rsidRDefault="008A6306" w:rsidP="002C278E">
      <w:pPr>
        <w:spacing w:line="360" w:lineRule="auto"/>
        <w:rPr>
          <w:rFonts w:ascii="Times New Roman" w:hAnsi="Times New Roman" w:cs="Times New Roman"/>
          <w:color w:val="000000" w:themeColor="text1"/>
          <w:sz w:val="24"/>
          <w:szCs w:val="24"/>
        </w:rPr>
      </w:pPr>
      <w:hyperlink r:id="rId12" w:history="1">
        <w:r w:rsidR="00F8724B" w:rsidRPr="002C278E">
          <w:rPr>
            <w:rStyle w:val="Hyperlink"/>
            <w:rFonts w:ascii="Times New Roman" w:hAnsi="Times New Roman" w:cs="Times New Roman"/>
            <w:color w:val="000000" w:themeColor="text1"/>
            <w:sz w:val="24"/>
            <w:szCs w:val="24"/>
            <w:u w:val="none"/>
          </w:rPr>
          <w:t> Reparation for Injuries Suffered in the Service of the United Nations</w:t>
        </w:r>
      </w:hyperlink>
    </w:p>
    <w:p w:rsidR="00F8724B" w:rsidRPr="002C278E" w:rsidRDefault="00F8724B" w:rsidP="002C278E">
      <w:pPr>
        <w:spacing w:line="360" w:lineRule="auto"/>
        <w:rPr>
          <w:rFonts w:ascii="Times New Roman" w:hAnsi="Times New Roman" w:cs="Times New Roman"/>
          <w:b/>
          <w:sz w:val="24"/>
          <w:szCs w:val="24"/>
          <w:u w:val="single"/>
        </w:rPr>
      </w:pPr>
      <w:r w:rsidRPr="002C278E">
        <w:rPr>
          <w:rFonts w:ascii="Times New Roman" w:hAnsi="Times New Roman" w:cs="Times New Roman"/>
          <w:b/>
          <w:sz w:val="24"/>
          <w:szCs w:val="24"/>
          <w:u w:val="single"/>
        </w:rPr>
        <w:t>Security Council</w:t>
      </w:r>
    </w:p>
    <w:p w:rsidR="00F8724B" w:rsidRPr="002C278E" w:rsidRDefault="00F8724B" w:rsidP="002C278E">
      <w:pPr>
        <w:spacing w:line="360" w:lineRule="auto"/>
        <w:rPr>
          <w:rFonts w:ascii="Times New Roman" w:hAnsi="Times New Roman" w:cs="Times New Roman"/>
          <w:color w:val="000000" w:themeColor="text1"/>
          <w:sz w:val="24"/>
          <w:szCs w:val="24"/>
        </w:rPr>
      </w:pPr>
      <w:r w:rsidRPr="002C278E">
        <w:rPr>
          <w:rFonts w:ascii="Times New Roman" w:hAnsi="Times New Roman" w:cs="Times New Roman"/>
          <w:color w:val="000000" w:themeColor="text1"/>
          <w:sz w:val="24"/>
          <w:szCs w:val="24"/>
        </w:rPr>
        <w:t>The Security Council has requested advisory opinions of the Court in the following case(s):</w:t>
      </w:r>
    </w:p>
    <w:p w:rsidR="00F8724B" w:rsidRPr="002C278E" w:rsidRDefault="008A6306" w:rsidP="002C278E">
      <w:pPr>
        <w:spacing w:line="360" w:lineRule="auto"/>
        <w:rPr>
          <w:rFonts w:ascii="Times New Roman" w:hAnsi="Times New Roman" w:cs="Times New Roman"/>
          <w:sz w:val="24"/>
          <w:szCs w:val="24"/>
        </w:rPr>
      </w:pPr>
      <w:hyperlink r:id="rId13" w:history="1">
        <w:r w:rsidR="00F8724B" w:rsidRPr="002C278E">
          <w:rPr>
            <w:rStyle w:val="Hyperlink"/>
            <w:rFonts w:ascii="Times New Roman" w:hAnsi="Times New Roman" w:cs="Times New Roman"/>
            <w:color w:val="000000" w:themeColor="text1"/>
            <w:sz w:val="24"/>
            <w:szCs w:val="24"/>
            <w:u w:val="none"/>
          </w:rPr>
          <w:t> Legal Consequences for States of the Continued Presence of South Africa in Namibia (South West Africa) notwithstanding Security Council Resolution 276 (1970</w:t>
        </w:r>
      </w:hyperlink>
    </w:p>
    <w:p w:rsidR="00F8724B" w:rsidRPr="002C278E" w:rsidRDefault="00F8724B" w:rsidP="002C278E">
      <w:pPr>
        <w:spacing w:line="360" w:lineRule="auto"/>
        <w:rPr>
          <w:rFonts w:ascii="Times New Roman" w:hAnsi="Times New Roman" w:cs="Times New Roman"/>
          <w:b/>
          <w:sz w:val="24"/>
          <w:szCs w:val="24"/>
          <w:u w:val="single"/>
        </w:rPr>
      </w:pPr>
      <w:r w:rsidRPr="002C278E">
        <w:rPr>
          <w:rFonts w:ascii="Times New Roman" w:hAnsi="Times New Roman" w:cs="Times New Roman"/>
          <w:b/>
          <w:sz w:val="24"/>
          <w:szCs w:val="24"/>
          <w:u w:val="single"/>
        </w:rPr>
        <w:t>Economic and Social Council</w:t>
      </w:r>
    </w:p>
    <w:p w:rsidR="00F8724B" w:rsidRPr="002C278E" w:rsidRDefault="00F8724B" w:rsidP="002C278E">
      <w:pPr>
        <w:spacing w:line="360" w:lineRule="auto"/>
        <w:rPr>
          <w:rFonts w:ascii="Times New Roman" w:hAnsi="Times New Roman" w:cs="Times New Roman"/>
          <w:sz w:val="24"/>
          <w:szCs w:val="24"/>
        </w:rPr>
      </w:pPr>
      <w:r w:rsidRPr="002C278E">
        <w:rPr>
          <w:rFonts w:ascii="Times New Roman" w:hAnsi="Times New Roman" w:cs="Times New Roman"/>
          <w:sz w:val="24"/>
          <w:szCs w:val="24"/>
        </w:rPr>
        <w:t>The Economic and Social Council has requested advisory opinions of the Court in the following case(s):</w:t>
      </w:r>
    </w:p>
    <w:p w:rsidR="00F8724B" w:rsidRPr="002C278E" w:rsidRDefault="008A6306" w:rsidP="002C278E">
      <w:pPr>
        <w:spacing w:line="360" w:lineRule="auto"/>
        <w:rPr>
          <w:rFonts w:ascii="Times New Roman" w:hAnsi="Times New Roman" w:cs="Times New Roman"/>
          <w:color w:val="000000" w:themeColor="text1"/>
          <w:sz w:val="24"/>
          <w:szCs w:val="24"/>
        </w:rPr>
      </w:pPr>
      <w:hyperlink r:id="rId14" w:history="1">
        <w:r w:rsidR="00F8724B" w:rsidRPr="002C278E">
          <w:rPr>
            <w:rStyle w:val="Hyperlink"/>
            <w:rFonts w:ascii="Times New Roman" w:hAnsi="Times New Roman" w:cs="Times New Roman"/>
            <w:color w:val="000000" w:themeColor="text1"/>
            <w:sz w:val="24"/>
            <w:szCs w:val="24"/>
            <w:u w:val="none"/>
          </w:rPr>
          <w:t> Applicability of Article VI, Section 22, of the Convention on the Privileges and Immunities of the United Nations</w:t>
        </w:r>
      </w:hyperlink>
    </w:p>
    <w:p w:rsidR="00F8724B" w:rsidRPr="002C278E" w:rsidRDefault="008A6306" w:rsidP="002C278E">
      <w:pPr>
        <w:spacing w:line="360" w:lineRule="auto"/>
        <w:rPr>
          <w:rFonts w:ascii="Times New Roman" w:hAnsi="Times New Roman" w:cs="Times New Roman"/>
          <w:sz w:val="24"/>
          <w:szCs w:val="24"/>
        </w:rPr>
      </w:pPr>
      <w:hyperlink r:id="rId15" w:history="1">
        <w:r w:rsidR="00F8724B" w:rsidRPr="002C278E">
          <w:rPr>
            <w:rStyle w:val="Hyperlink"/>
            <w:rFonts w:ascii="Times New Roman" w:hAnsi="Times New Roman" w:cs="Times New Roman"/>
            <w:color w:val="000000" w:themeColor="text1"/>
            <w:sz w:val="24"/>
            <w:szCs w:val="24"/>
            <w:u w:val="none"/>
          </w:rPr>
          <w:t> Difference Relating to Immunity from Legal Process of a Special Rapporteur of the Commission on Human Rights</w:t>
        </w:r>
      </w:hyperlink>
    </w:p>
    <w:p w:rsidR="00F8724B" w:rsidRPr="002C278E" w:rsidRDefault="00F8724B" w:rsidP="002C278E">
      <w:pPr>
        <w:spacing w:line="360" w:lineRule="auto"/>
        <w:rPr>
          <w:rFonts w:ascii="Times New Roman" w:hAnsi="Times New Roman" w:cs="Times New Roman"/>
          <w:sz w:val="24"/>
          <w:szCs w:val="24"/>
        </w:rPr>
      </w:pPr>
    </w:p>
    <w:p w:rsidR="00F8724B" w:rsidRPr="002C278E" w:rsidRDefault="00F8724B" w:rsidP="002C278E">
      <w:pPr>
        <w:spacing w:line="360" w:lineRule="auto"/>
        <w:rPr>
          <w:rFonts w:ascii="Times New Roman" w:hAnsi="Times New Roman" w:cs="Times New Roman"/>
          <w:sz w:val="24"/>
          <w:szCs w:val="24"/>
        </w:rPr>
      </w:pPr>
    </w:p>
    <w:p w:rsidR="002C278E" w:rsidRDefault="002C278E" w:rsidP="002C278E">
      <w:pPr>
        <w:spacing w:line="360" w:lineRule="auto"/>
        <w:rPr>
          <w:rFonts w:ascii="Times New Roman" w:hAnsi="Times New Roman" w:cs="Times New Roman"/>
          <w:b/>
          <w:sz w:val="24"/>
          <w:szCs w:val="24"/>
          <w:u w:val="single"/>
        </w:rPr>
      </w:pPr>
    </w:p>
    <w:p w:rsidR="002C278E" w:rsidRDefault="002C278E" w:rsidP="002C278E">
      <w:pPr>
        <w:spacing w:line="360" w:lineRule="auto"/>
        <w:rPr>
          <w:rFonts w:ascii="Times New Roman" w:hAnsi="Times New Roman" w:cs="Times New Roman"/>
          <w:b/>
          <w:sz w:val="24"/>
          <w:szCs w:val="24"/>
          <w:u w:val="single"/>
        </w:rPr>
      </w:pPr>
    </w:p>
    <w:p w:rsidR="002C278E" w:rsidRDefault="002C278E" w:rsidP="002C278E">
      <w:pPr>
        <w:spacing w:line="360" w:lineRule="auto"/>
        <w:rPr>
          <w:rFonts w:ascii="Times New Roman" w:hAnsi="Times New Roman" w:cs="Times New Roman"/>
          <w:b/>
          <w:sz w:val="24"/>
          <w:szCs w:val="24"/>
          <w:u w:val="single"/>
        </w:rPr>
      </w:pPr>
    </w:p>
    <w:p w:rsidR="002C278E" w:rsidRDefault="002C278E" w:rsidP="002C278E">
      <w:pPr>
        <w:spacing w:line="360" w:lineRule="auto"/>
        <w:rPr>
          <w:rFonts w:ascii="Times New Roman" w:hAnsi="Times New Roman" w:cs="Times New Roman"/>
          <w:b/>
          <w:sz w:val="24"/>
          <w:szCs w:val="24"/>
          <w:u w:val="single"/>
        </w:rPr>
      </w:pPr>
    </w:p>
    <w:p w:rsidR="00F8724B" w:rsidRPr="002C278E" w:rsidRDefault="00F8724B" w:rsidP="002C278E">
      <w:pPr>
        <w:spacing w:line="360" w:lineRule="auto"/>
        <w:rPr>
          <w:rFonts w:ascii="Times New Roman" w:hAnsi="Times New Roman" w:cs="Times New Roman"/>
          <w:b/>
          <w:sz w:val="24"/>
          <w:szCs w:val="24"/>
          <w:u w:val="single"/>
        </w:rPr>
      </w:pPr>
      <w:r w:rsidRPr="002C278E">
        <w:rPr>
          <w:rFonts w:ascii="Times New Roman" w:hAnsi="Times New Roman" w:cs="Times New Roman"/>
          <w:b/>
          <w:sz w:val="24"/>
          <w:szCs w:val="24"/>
          <w:u w:val="single"/>
        </w:rPr>
        <w:t>On 8 July 1996, the ICJ issued its advisory opinion, The Legality of the Threat or Use of Nuclear Weapons</w:t>
      </w:r>
    </w:p>
    <w:p w:rsidR="00F8724B" w:rsidRPr="002C278E" w:rsidRDefault="00F8724B" w:rsidP="002C278E">
      <w:pPr>
        <w:spacing w:line="360" w:lineRule="auto"/>
        <w:rPr>
          <w:rFonts w:ascii="Times New Roman" w:hAnsi="Times New Roman" w:cs="Times New Roman"/>
          <w:sz w:val="24"/>
          <w:szCs w:val="24"/>
        </w:rPr>
      </w:pPr>
    </w:p>
    <w:p w:rsidR="00F8724B" w:rsidRPr="002C278E" w:rsidRDefault="00F8724B" w:rsidP="002C278E">
      <w:pPr>
        <w:spacing w:line="360" w:lineRule="auto"/>
        <w:rPr>
          <w:rFonts w:ascii="Times New Roman" w:hAnsi="Times New Roman" w:cs="Times New Roman"/>
          <w:sz w:val="24"/>
          <w:szCs w:val="24"/>
        </w:rPr>
      </w:pPr>
      <w:r w:rsidRPr="002C278E">
        <w:rPr>
          <w:rFonts w:ascii="Times New Roman" w:hAnsi="Times New Roman" w:cs="Times New Roman"/>
          <w:sz w:val="24"/>
          <w:szCs w:val="24"/>
        </w:rPr>
        <w:lastRenderedPageBreak/>
        <w:t>This opinion ruled that nuclear weapons are generally illegal, and all states that possess them are obligated to bring to a conclusion negotiations on nuclear disarmament in all its aspects.</w:t>
      </w:r>
    </w:p>
    <w:p w:rsidR="00F8724B" w:rsidRPr="002C278E" w:rsidRDefault="00F8724B" w:rsidP="002C278E">
      <w:pPr>
        <w:spacing w:line="360" w:lineRule="auto"/>
        <w:rPr>
          <w:rFonts w:ascii="Times New Roman" w:hAnsi="Times New Roman" w:cs="Times New Roman"/>
          <w:sz w:val="24"/>
          <w:szCs w:val="24"/>
        </w:rPr>
      </w:pPr>
      <w:r w:rsidRPr="002C278E">
        <w:rPr>
          <w:rFonts w:ascii="Times New Roman" w:hAnsi="Times New Roman" w:cs="Times New Roman"/>
          <w:sz w:val="24"/>
          <w:szCs w:val="24"/>
        </w:rPr>
        <w:t>The ICJ found that: </w:t>
      </w:r>
    </w:p>
    <w:p w:rsidR="00F8724B" w:rsidRPr="002C278E" w:rsidRDefault="00F8724B" w:rsidP="002C278E">
      <w:pPr>
        <w:spacing w:line="360" w:lineRule="auto"/>
        <w:rPr>
          <w:rFonts w:ascii="Times New Roman" w:hAnsi="Times New Roman" w:cs="Times New Roman"/>
          <w:sz w:val="24"/>
          <w:szCs w:val="24"/>
        </w:rPr>
      </w:pPr>
      <w:r w:rsidRPr="002C278E">
        <w:rPr>
          <w:rFonts w:ascii="Times New Roman" w:hAnsi="Times New Roman" w:cs="Times New Roman"/>
          <w:sz w:val="24"/>
          <w:szCs w:val="24"/>
        </w:rPr>
        <w:t>1) the threat or use of nuclear weapons "would generally be contrary" to humanitarian and other international law regulating the conduct of warfare; and </w:t>
      </w:r>
    </w:p>
    <w:p w:rsidR="00F8724B" w:rsidRPr="002C278E" w:rsidRDefault="00F8724B" w:rsidP="002C278E">
      <w:pPr>
        <w:spacing w:line="360" w:lineRule="auto"/>
        <w:rPr>
          <w:rFonts w:ascii="Times New Roman" w:hAnsi="Times New Roman" w:cs="Times New Roman"/>
          <w:sz w:val="24"/>
          <w:szCs w:val="24"/>
        </w:rPr>
      </w:pPr>
      <w:r w:rsidRPr="002C278E">
        <w:rPr>
          <w:rFonts w:ascii="Times New Roman" w:hAnsi="Times New Roman" w:cs="Times New Roman"/>
          <w:sz w:val="24"/>
          <w:szCs w:val="24"/>
        </w:rPr>
        <w:t>2) under Article VI of the nuclear Non-Proliferation Treaty and other international law, states are obligated to "pursue in good faith and bring to a conclusion negotiations leading to nuclear disarmament in all its aspects under strict and effective international control".</w:t>
      </w:r>
    </w:p>
    <w:p w:rsidR="00F8724B" w:rsidRPr="002C278E" w:rsidRDefault="00F8724B" w:rsidP="002C278E">
      <w:pPr>
        <w:spacing w:line="360" w:lineRule="auto"/>
        <w:rPr>
          <w:rFonts w:ascii="Times New Roman" w:hAnsi="Times New Roman" w:cs="Times New Roman"/>
          <w:sz w:val="24"/>
          <w:szCs w:val="24"/>
        </w:rPr>
      </w:pPr>
      <w:r w:rsidRPr="002C278E">
        <w:rPr>
          <w:rFonts w:ascii="Times New Roman" w:hAnsi="Times New Roman" w:cs="Times New Roman"/>
          <w:sz w:val="24"/>
          <w:szCs w:val="24"/>
        </w:rPr>
        <w:t xml:space="preserve">The opinion was issued in response to a request from the UN General Assembly, spurred on and supported by a global civil society campaign, the World Court project </w:t>
      </w:r>
    </w:p>
    <w:p w:rsidR="00F8724B" w:rsidRPr="002C278E" w:rsidRDefault="00F8724B" w:rsidP="002C278E">
      <w:pPr>
        <w:spacing w:line="360" w:lineRule="auto"/>
        <w:rPr>
          <w:rFonts w:ascii="Times New Roman" w:hAnsi="Times New Roman" w:cs="Times New Roman"/>
          <w:sz w:val="24"/>
          <w:szCs w:val="24"/>
        </w:rPr>
      </w:pPr>
      <w:r w:rsidRPr="002C278E">
        <w:rPr>
          <w:rFonts w:ascii="Times New Roman" w:hAnsi="Times New Roman" w:cs="Times New Roman"/>
          <w:b/>
          <w:bCs/>
          <w:sz w:val="24"/>
          <w:szCs w:val="24"/>
        </w:rPr>
        <w:t>The Court's reasoning</w:t>
      </w:r>
    </w:p>
    <w:p w:rsidR="00F8724B" w:rsidRPr="002C278E" w:rsidRDefault="00F8724B" w:rsidP="002C278E">
      <w:pPr>
        <w:spacing w:line="360" w:lineRule="auto"/>
        <w:rPr>
          <w:rFonts w:ascii="Times New Roman" w:hAnsi="Times New Roman" w:cs="Times New Roman"/>
          <w:sz w:val="24"/>
          <w:szCs w:val="24"/>
        </w:rPr>
      </w:pPr>
      <w:r w:rsidRPr="002C278E">
        <w:rPr>
          <w:rFonts w:ascii="Times New Roman" w:hAnsi="Times New Roman" w:cs="Times New Roman"/>
          <w:sz w:val="24"/>
          <w:szCs w:val="24"/>
        </w:rPr>
        <w:t>The Court did not make new law. It merely confirmed certain well-established principles of the law of war, also known as humanitarian law. These are prohibitions against methods and means of warfare which fail to distinguish between civilian and military targets, which result in the infliction of unnecessary suffering on combatants and which violate the neutrality of noncombatant states. The Court described the unique character of nuclear weapons, whose immense destructive power, it said, cannot be contained in either time or space, thus making their use inherently incompatible with the rules of humanitarian law</w:t>
      </w:r>
    </w:p>
    <w:p w:rsidR="002C278E" w:rsidRDefault="002C278E" w:rsidP="002C278E">
      <w:pPr>
        <w:spacing w:line="360" w:lineRule="auto"/>
        <w:rPr>
          <w:rFonts w:ascii="Times New Roman" w:hAnsi="Times New Roman" w:cs="Times New Roman"/>
          <w:b/>
          <w:sz w:val="24"/>
          <w:szCs w:val="24"/>
          <w:u w:val="single"/>
        </w:rPr>
      </w:pPr>
    </w:p>
    <w:p w:rsidR="002C278E" w:rsidRDefault="002C278E" w:rsidP="002C278E">
      <w:pPr>
        <w:spacing w:line="360" w:lineRule="auto"/>
        <w:rPr>
          <w:rFonts w:ascii="Times New Roman" w:hAnsi="Times New Roman" w:cs="Times New Roman"/>
          <w:b/>
          <w:sz w:val="24"/>
          <w:szCs w:val="24"/>
          <w:u w:val="single"/>
        </w:rPr>
      </w:pPr>
    </w:p>
    <w:p w:rsidR="002C278E" w:rsidRDefault="002C278E" w:rsidP="002C278E">
      <w:pPr>
        <w:spacing w:line="360" w:lineRule="auto"/>
        <w:rPr>
          <w:rFonts w:ascii="Times New Roman" w:hAnsi="Times New Roman" w:cs="Times New Roman"/>
          <w:b/>
          <w:sz w:val="24"/>
          <w:szCs w:val="24"/>
          <w:u w:val="single"/>
        </w:rPr>
      </w:pPr>
    </w:p>
    <w:p w:rsidR="002C278E" w:rsidRDefault="002C278E" w:rsidP="002C278E">
      <w:pPr>
        <w:spacing w:line="360" w:lineRule="auto"/>
        <w:rPr>
          <w:rFonts w:ascii="Times New Roman" w:hAnsi="Times New Roman" w:cs="Times New Roman"/>
          <w:b/>
          <w:sz w:val="24"/>
          <w:szCs w:val="24"/>
          <w:u w:val="single"/>
        </w:rPr>
      </w:pPr>
    </w:p>
    <w:p w:rsidR="002C278E" w:rsidRDefault="002C278E" w:rsidP="002C278E">
      <w:pPr>
        <w:spacing w:line="360" w:lineRule="auto"/>
        <w:rPr>
          <w:rFonts w:ascii="Times New Roman" w:hAnsi="Times New Roman" w:cs="Times New Roman"/>
          <w:b/>
          <w:sz w:val="24"/>
          <w:szCs w:val="24"/>
          <w:u w:val="single"/>
        </w:rPr>
      </w:pPr>
    </w:p>
    <w:p w:rsidR="00F8724B" w:rsidRPr="002C278E" w:rsidRDefault="00F8724B" w:rsidP="002C278E">
      <w:pPr>
        <w:spacing w:line="360" w:lineRule="auto"/>
        <w:rPr>
          <w:rFonts w:ascii="Times New Roman" w:hAnsi="Times New Roman" w:cs="Times New Roman"/>
          <w:b/>
          <w:sz w:val="24"/>
          <w:szCs w:val="24"/>
          <w:u w:val="single"/>
        </w:rPr>
      </w:pPr>
      <w:r w:rsidRPr="002C278E">
        <w:rPr>
          <w:rFonts w:ascii="Times New Roman" w:hAnsi="Times New Roman" w:cs="Times New Roman"/>
          <w:b/>
          <w:sz w:val="24"/>
          <w:szCs w:val="24"/>
          <w:u w:val="single"/>
        </w:rPr>
        <w:t xml:space="preserve">Nature and Authority of Advisory Opinions and they binding </w:t>
      </w:r>
    </w:p>
    <w:p w:rsidR="00F8724B" w:rsidRPr="002C278E" w:rsidRDefault="00F8724B" w:rsidP="002C278E">
      <w:pPr>
        <w:numPr>
          <w:ilvl w:val="0"/>
          <w:numId w:val="2"/>
        </w:numPr>
        <w:spacing w:line="360" w:lineRule="auto"/>
        <w:rPr>
          <w:rFonts w:ascii="Times New Roman" w:hAnsi="Times New Roman" w:cs="Times New Roman"/>
          <w:sz w:val="24"/>
          <w:szCs w:val="24"/>
        </w:rPr>
      </w:pPr>
      <w:r w:rsidRPr="002C278E">
        <w:rPr>
          <w:rFonts w:ascii="Times New Roman" w:hAnsi="Times New Roman" w:cs="Times New Roman"/>
          <w:sz w:val="24"/>
          <w:szCs w:val="24"/>
        </w:rPr>
        <w:t xml:space="preserve">Neither the Charter nor the Statute provides advisory opinions with legally binding force. Additional to the lack of a consent requirement of States in advisory proceedings, </w:t>
      </w:r>
    </w:p>
    <w:p w:rsidR="00F8724B" w:rsidRPr="002C278E" w:rsidRDefault="00F8724B" w:rsidP="002C278E">
      <w:pPr>
        <w:numPr>
          <w:ilvl w:val="0"/>
          <w:numId w:val="2"/>
        </w:numPr>
        <w:spacing w:line="360" w:lineRule="auto"/>
        <w:rPr>
          <w:rFonts w:ascii="Times New Roman" w:hAnsi="Times New Roman" w:cs="Times New Roman"/>
          <w:sz w:val="24"/>
          <w:szCs w:val="24"/>
        </w:rPr>
      </w:pPr>
      <w:r w:rsidRPr="002C278E">
        <w:rPr>
          <w:rFonts w:ascii="Times New Roman" w:hAnsi="Times New Roman" w:cs="Times New Roman"/>
          <w:sz w:val="24"/>
          <w:szCs w:val="24"/>
        </w:rPr>
        <w:lastRenderedPageBreak/>
        <w:t>States cannot prevent the rendering of an advisory opinion which an organ or specialized agency of the UN deems necessary</w:t>
      </w:r>
      <w:r w:rsidRPr="002C278E">
        <w:rPr>
          <w:rFonts w:ascii="Times New Roman" w:hAnsi="Times New Roman" w:cs="Times New Roman"/>
          <w:sz w:val="24"/>
          <w:szCs w:val="24"/>
          <w:vertAlign w:val="superscript"/>
        </w:rPr>
        <w:footnoteReference w:id="6"/>
      </w:r>
      <w:r w:rsidRPr="002C278E">
        <w:rPr>
          <w:rFonts w:ascii="Times New Roman" w:hAnsi="Times New Roman" w:cs="Times New Roman"/>
          <w:sz w:val="24"/>
          <w:szCs w:val="24"/>
        </w:rPr>
        <w:t>.</w:t>
      </w:r>
    </w:p>
    <w:p w:rsidR="00F8724B" w:rsidRPr="002C278E" w:rsidRDefault="00F8724B" w:rsidP="002C278E">
      <w:pPr>
        <w:numPr>
          <w:ilvl w:val="0"/>
          <w:numId w:val="2"/>
        </w:numPr>
        <w:spacing w:line="360" w:lineRule="auto"/>
        <w:rPr>
          <w:rFonts w:ascii="Times New Roman" w:hAnsi="Times New Roman" w:cs="Times New Roman"/>
          <w:sz w:val="24"/>
          <w:szCs w:val="24"/>
        </w:rPr>
      </w:pPr>
      <w:r w:rsidRPr="002C278E">
        <w:rPr>
          <w:rFonts w:ascii="Times New Roman" w:hAnsi="Times New Roman" w:cs="Times New Roman"/>
          <w:sz w:val="24"/>
          <w:szCs w:val="24"/>
        </w:rPr>
        <w:t xml:space="preserve">At the same time, an advisory opinion does not have a res judicata effect and creates no obligations for the primary addressee or for an individual State or the community of States as a whole to accept the Court’s answer. </w:t>
      </w:r>
    </w:p>
    <w:p w:rsidR="00F8724B" w:rsidRPr="002C278E" w:rsidRDefault="00F8724B" w:rsidP="002C278E">
      <w:pPr>
        <w:numPr>
          <w:ilvl w:val="0"/>
          <w:numId w:val="2"/>
        </w:numPr>
        <w:spacing w:line="360" w:lineRule="auto"/>
        <w:rPr>
          <w:rFonts w:ascii="Times New Roman" w:hAnsi="Times New Roman" w:cs="Times New Roman"/>
          <w:sz w:val="24"/>
          <w:szCs w:val="24"/>
        </w:rPr>
      </w:pPr>
      <w:r w:rsidRPr="002C278E">
        <w:rPr>
          <w:rFonts w:ascii="Times New Roman" w:hAnsi="Times New Roman" w:cs="Times New Roman"/>
          <w:sz w:val="24"/>
          <w:szCs w:val="24"/>
        </w:rPr>
        <w:t>Still, lack of binding force does not “deprive an advisory opinion of all the moral consequences which are inherent in the dignity of the organ delivering the opinion, or even of its legal consequences</w:t>
      </w:r>
      <w:r w:rsidRPr="002C278E">
        <w:rPr>
          <w:rFonts w:ascii="Times New Roman" w:hAnsi="Times New Roman" w:cs="Times New Roman"/>
          <w:sz w:val="24"/>
          <w:szCs w:val="24"/>
          <w:vertAlign w:val="superscript"/>
        </w:rPr>
        <w:footnoteReference w:id="7"/>
      </w:r>
      <w:r w:rsidRPr="002C278E">
        <w:rPr>
          <w:rFonts w:ascii="Times New Roman" w:hAnsi="Times New Roman" w:cs="Times New Roman"/>
          <w:sz w:val="24"/>
          <w:szCs w:val="24"/>
        </w:rPr>
        <w:t>”</w:t>
      </w:r>
    </w:p>
    <w:p w:rsidR="00F8724B" w:rsidRPr="002C278E" w:rsidRDefault="00F8724B" w:rsidP="002C278E">
      <w:pPr>
        <w:numPr>
          <w:ilvl w:val="0"/>
          <w:numId w:val="2"/>
        </w:numPr>
        <w:spacing w:line="360" w:lineRule="auto"/>
        <w:rPr>
          <w:rFonts w:ascii="Times New Roman" w:hAnsi="Times New Roman" w:cs="Times New Roman"/>
          <w:sz w:val="24"/>
          <w:szCs w:val="24"/>
        </w:rPr>
      </w:pPr>
      <w:r w:rsidRPr="002C278E">
        <w:rPr>
          <w:rFonts w:ascii="Times New Roman" w:hAnsi="Times New Roman" w:cs="Times New Roman"/>
          <w:sz w:val="24"/>
          <w:szCs w:val="24"/>
        </w:rPr>
        <w:t>Fitzmaurice very pointedly spoke of the “persuasive character and substantive authority”18 of advisory opinions and indeed it would be almost blasphemous to call the authoritative character of the ICJ’s advisory opinions into question. It has been argued that, due to the fact that the persuasive nature of advice is often superior to force and coercion, advisory opinions may even be more important in international relations than judgments</w:t>
      </w:r>
      <w:r w:rsidRPr="002C278E">
        <w:rPr>
          <w:rFonts w:ascii="Times New Roman" w:hAnsi="Times New Roman" w:cs="Times New Roman"/>
          <w:sz w:val="24"/>
          <w:szCs w:val="24"/>
          <w:vertAlign w:val="superscript"/>
        </w:rPr>
        <w:footnoteReference w:id="8"/>
      </w:r>
      <w:r w:rsidRPr="002C278E">
        <w:rPr>
          <w:rFonts w:ascii="Times New Roman" w:hAnsi="Times New Roman" w:cs="Times New Roman"/>
          <w:sz w:val="24"/>
          <w:szCs w:val="24"/>
        </w:rPr>
        <w:t>.</w:t>
      </w:r>
    </w:p>
    <w:p w:rsidR="002C278E" w:rsidRDefault="002C278E" w:rsidP="002C278E">
      <w:pPr>
        <w:spacing w:line="360" w:lineRule="auto"/>
        <w:rPr>
          <w:rFonts w:ascii="Times New Roman" w:hAnsi="Times New Roman" w:cs="Times New Roman"/>
          <w:b/>
          <w:sz w:val="24"/>
          <w:szCs w:val="24"/>
          <w:u w:val="single"/>
        </w:rPr>
      </w:pPr>
    </w:p>
    <w:p w:rsidR="002C278E" w:rsidRDefault="002C278E" w:rsidP="002C278E">
      <w:pPr>
        <w:spacing w:line="360" w:lineRule="auto"/>
        <w:rPr>
          <w:rFonts w:ascii="Times New Roman" w:hAnsi="Times New Roman" w:cs="Times New Roman"/>
          <w:b/>
          <w:sz w:val="24"/>
          <w:szCs w:val="24"/>
          <w:u w:val="single"/>
        </w:rPr>
      </w:pPr>
    </w:p>
    <w:p w:rsidR="002C278E" w:rsidRDefault="002C278E" w:rsidP="002C278E">
      <w:pPr>
        <w:spacing w:line="360" w:lineRule="auto"/>
        <w:rPr>
          <w:rFonts w:ascii="Times New Roman" w:hAnsi="Times New Roman" w:cs="Times New Roman"/>
          <w:b/>
          <w:sz w:val="24"/>
          <w:szCs w:val="24"/>
          <w:u w:val="single"/>
        </w:rPr>
      </w:pPr>
    </w:p>
    <w:p w:rsidR="002C278E" w:rsidRDefault="002C278E" w:rsidP="002C278E">
      <w:pPr>
        <w:spacing w:line="360" w:lineRule="auto"/>
        <w:rPr>
          <w:rFonts w:ascii="Times New Roman" w:hAnsi="Times New Roman" w:cs="Times New Roman"/>
          <w:b/>
          <w:sz w:val="24"/>
          <w:szCs w:val="24"/>
          <w:u w:val="single"/>
        </w:rPr>
      </w:pPr>
    </w:p>
    <w:p w:rsidR="002C278E" w:rsidRDefault="002C278E" w:rsidP="002C278E">
      <w:pPr>
        <w:spacing w:line="360" w:lineRule="auto"/>
        <w:rPr>
          <w:rFonts w:ascii="Times New Roman" w:hAnsi="Times New Roman" w:cs="Times New Roman"/>
          <w:b/>
          <w:sz w:val="24"/>
          <w:szCs w:val="24"/>
          <w:u w:val="single"/>
        </w:rPr>
      </w:pPr>
    </w:p>
    <w:p w:rsidR="002C278E" w:rsidRDefault="002C278E" w:rsidP="002C278E">
      <w:pPr>
        <w:spacing w:line="360" w:lineRule="auto"/>
        <w:rPr>
          <w:rFonts w:ascii="Times New Roman" w:hAnsi="Times New Roman" w:cs="Times New Roman"/>
          <w:b/>
          <w:sz w:val="24"/>
          <w:szCs w:val="24"/>
          <w:u w:val="single"/>
        </w:rPr>
      </w:pPr>
    </w:p>
    <w:p w:rsidR="00F8724B" w:rsidRPr="002C278E" w:rsidRDefault="00F8724B" w:rsidP="002C278E">
      <w:pPr>
        <w:spacing w:line="360" w:lineRule="auto"/>
        <w:rPr>
          <w:rFonts w:ascii="Times New Roman" w:hAnsi="Times New Roman" w:cs="Times New Roman"/>
          <w:b/>
          <w:sz w:val="24"/>
          <w:szCs w:val="24"/>
          <w:u w:val="single"/>
        </w:rPr>
      </w:pPr>
      <w:r w:rsidRPr="002C278E">
        <w:rPr>
          <w:rFonts w:ascii="Times New Roman" w:hAnsi="Times New Roman" w:cs="Times New Roman"/>
          <w:b/>
          <w:sz w:val="24"/>
          <w:szCs w:val="24"/>
          <w:u w:val="single"/>
        </w:rPr>
        <w:t>Are advisory opinions binding</w:t>
      </w:r>
    </w:p>
    <w:p w:rsidR="00F8724B" w:rsidRPr="002C278E" w:rsidRDefault="00F8724B" w:rsidP="002C278E">
      <w:pPr>
        <w:spacing w:line="360" w:lineRule="auto"/>
        <w:rPr>
          <w:rFonts w:ascii="Times New Roman" w:hAnsi="Times New Roman" w:cs="Times New Roman"/>
          <w:sz w:val="24"/>
          <w:szCs w:val="24"/>
        </w:rPr>
      </w:pPr>
      <w:r w:rsidRPr="002C278E">
        <w:rPr>
          <w:rFonts w:ascii="Times New Roman" w:hAnsi="Times New Roman" w:cs="Times New Roman"/>
          <w:sz w:val="24"/>
          <w:szCs w:val="24"/>
        </w:rPr>
        <w:t>According to international best practice, they are not. They are mere expressions of intention given beforehand – a pre-empt of the court’s view on a particular matter before the contemplated intention comes to life. It is a court’s unique way of warning against decisio</w:t>
      </w:r>
      <w:r w:rsidR="002C278E" w:rsidRPr="002C278E">
        <w:rPr>
          <w:rFonts w:ascii="Times New Roman" w:hAnsi="Times New Roman" w:cs="Times New Roman"/>
          <w:sz w:val="24"/>
          <w:szCs w:val="24"/>
        </w:rPr>
        <w:t xml:space="preserve">ns mala fides </w:t>
      </w:r>
      <w:r w:rsidRPr="002C278E">
        <w:rPr>
          <w:rFonts w:ascii="Times New Roman" w:hAnsi="Times New Roman" w:cs="Times New Roman"/>
          <w:sz w:val="24"/>
          <w:szCs w:val="24"/>
        </w:rPr>
        <w:t xml:space="preserve">Indeed, </w:t>
      </w:r>
      <w:r w:rsidRPr="002C278E">
        <w:rPr>
          <w:rFonts w:ascii="Times New Roman" w:hAnsi="Times New Roman" w:cs="Times New Roman"/>
          <w:sz w:val="24"/>
          <w:szCs w:val="24"/>
        </w:rPr>
        <w:lastRenderedPageBreak/>
        <w:t>the biggest criticism of binding advisory opinions is that giving them results in a breach of separation of powers (Irving, Helen, 2004).</w:t>
      </w:r>
    </w:p>
    <w:p w:rsidR="002C278E" w:rsidRPr="002C278E" w:rsidRDefault="002C278E" w:rsidP="002C278E">
      <w:pPr>
        <w:spacing w:line="360" w:lineRule="auto"/>
        <w:rPr>
          <w:rFonts w:ascii="Times New Roman" w:hAnsi="Times New Roman" w:cs="Times New Roman"/>
          <w:b/>
          <w:sz w:val="24"/>
          <w:szCs w:val="24"/>
          <w:u w:val="single"/>
        </w:rPr>
      </w:pPr>
    </w:p>
    <w:p w:rsidR="00F8724B" w:rsidRPr="002C278E" w:rsidRDefault="00F8724B" w:rsidP="002C278E">
      <w:pPr>
        <w:spacing w:line="360" w:lineRule="auto"/>
        <w:rPr>
          <w:rFonts w:ascii="Times New Roman" w:hAnsi="Times New Roman" w:cs="Times New Roman"/>
          <w:b/>
          <w:sz w:val="24"/>
          <w:szCs w:val="24"/>
          <w:u w:val="single"/>
        </w:rPr>
      </w:pPr>
      <w:r w:rsidRPr="002C278E">
        <w:rPr>
          <w:rFonts w:ascii="Times New Roman" w:hAnsi="Times New Roman" w:cs="Times New Roman"/>
          <w:b/>
          <w:sz w:val="24"/>
          <w:szCs w:val="24"/>
          <w:u w:val="single"/>
        </w:rPr>
        <w:t>Advisory proceedings in Kenya</w:t>
      </w:r>
    </w:p>
    <w:p w:rsidR="00F8724B" w:rsidRPr="002C278E" w:rsidRDefault="00F8724B" w:rsidP="002C278E">
      <w:pPr>
        <w:spacing w:line="360" w:lineRule="auto"/>
        <w:rPr>
          <w:rFonts w:ascii="Times New Roman" w:hAnsi="Times New Roman" w:cs="Times New Roman"/>
          <w:b/>
          <w:sz w:val="24"/>
          <w:szCs w:val="24"/>
          <w:u w:val="single"/>
        </w:rPr>
      </w:pPr>
      <w:r w:rsidRPr="002C278E">
        <w:rPr>
          <w:rFonts w:ascii="Times New Roman" w:hAnsi="Times New Roman" w:cs="Times New Roman"/>
          <w:sz w:val="24"/>
          <w:szCs w:val="24"/>
        </w:rPr>
        <w:t xml:space="preserve"> </w:t>
      </w:r>
      <w:r w:rsidRPr="002C278E">
        <w:rPr>
          <w:rFonts w:ascii="Times New Roman" w:hAnsi="Times New Roman" w:cs="Times New Roman"/>
          <w:b/>
          <w:sz w:val="24"/>
          <w:szCs w:val="24"/>
          <w:u w:val="single"/>
        </w:rPr>
        <w:t>Does the Supreme Court have Jurisdiction to give an Advisory Opinion?</w:t>
      </w:r>
    </w:p>
    <w:p w:rsidR="00F8724B" w:rsidRPr="002C278E" w:rsidRDefault="00F8724B" w:rsidP="002C278E">
      <w:pPr>
        <w:spacing w:line="360" w:lineRule="auto"/>
        <w:rPr>
          <w:rFonts w:ascii="Times New Roman" w:hAnsi="Times New Roman" w:cs="Times New Roman"/>
          <w:sz w:val="24"/>
          <w:szCs w:val="24"/>
        </w:rPr>
      </w:pPr>
      <w:r w:rsidRPr="002C278E">
        <w:rPr>
          <w:rFonts w:ascii="Times New Roman" w:hAnsi="Times New Roman" w:cs="Times New Roman"/>
          <w:sz w:val="24"/>
          <w:szCs w:val="24"/>
        </w:rPr>
        <w:t>The supreme court have  jurisdiction pursuant to Article 163(6) of the Constitution, which stipulates that:</w:t>
      </w:r>
    </w:p>
    <w:p w:rsidR="00F8724B" w:rsidRPr="002C278E" w:rsidRDefault="00F8724B" w:rsidP="002C278E">
      <w:pPr>
        <w:spacing w:line="360" w:lineRule="auto"/>
        <w:rPr>
          <w:rFonts w:ascii="Times New Roman" w:hAnsi="Times New Roman" w:cs="Times New Roman"/>
          <w:sz w:val="24"/>
          <w:szCs w:val="24"/>
        </w:rPr>
      </w:pPr>
      <w:r w:rsidRPr="002C278E">
        <w:rPr>
          <w:rFonts w:ascii="Times New Roman" w:hAnsi="Times New Roman" w:cs="Times New Roman"/>
          <w:sz w:val="24"/>
          <w:szCs w:val="24"/>
        </w:rPr>
        <w:t>“The Supreme Court may give an advisory opinion at the request of the national government, any State organ, or any county government with respect to any matter concerning county government.”</w:t>
      </w:r>
    </w:p>
    <w:p w:rsidR="00F8724B" w:rsidRPr="002C278E" w:rsidRDefault="00F8724B" w:rsidP="002C278E">
      <w:pPr>
        <w:spacing w:line="360" w:lineRule="auto"/>
        <w:rPr>
          <w:rFonts w:ascii="Times New Roman" w:hAnsi="Times New Roman" w:cs="Times New Roman"/>
          <w:sz w:val="24"/>
          <w:szCs w:val="24"/>
        </w:rPr>
      </w:pPr>
      <w:r w:rsidRPr="002C278E">
        <w:rPr>
          <w:rFonts w:ascii="Times New Roman" w:hAnsi="Times New Roman" w:cs="Times New Roman"/>
          <w:sz w:val="24"/>
          <w:szCs w:val="24"/>
        </w:rPr>
        <w:t xml:space="preserve">The Court, in the case of </w:t>
      </w:r>
      <w:r w:rsidRPr="002C278E">
        <w:rPr>
          <w:rFonts w:ascii="Times New Roman" w:hAnsi="Times New Roman" w:cs="Times New Roman"/>
          <w:b/>
          <w:i/>
          <w:sz w:val="24"/>
          <w:szCs w:val="24"/>
          <w:u w:val="single"/>
        </w:rPr>
        <w:t xml:space="preserve">Re the Matter of the Interim Independent Electoral Commission Sup. Ct. Application No. 2 of 2011; [2011] </w:t>
      </w:r>
      <w:proofErr w:type="spellStart"/>
      <w:r w:rsidRPr="002C278E">
        <w:rPr>
          <w:rFonts w:ascii="Times New Roman" w:hAnsi="Times New Roman" w:cs="Times New Roman"/>
          <w:b/>
          <w:i/>
          <w:sz w:val="24"/>
          <w:szCs w:val="24"/>
          <w:u w:val="single"/>
        </w:rPr>
        <w:t>eKLR</w:t>
      </w:r>
      <w:proofErr w:type="spellEnd"/>
      <w:r w:rsidRPr="002C278E">
        <w:rPr>
          <w:rFonts w:ascii="Times New Roman" w:hAnsi="Times New Roman" w:cs="Times New Roman"/>
          <w:sz w:val="24"/>
          <w:szCs w:val="24"/>
        </w:rPr>
        <w:t>, had set out the guiding principles for the exercise of its Advisory Opinion Jurisdiction, its guidelines reading as follows [paragraph 83]:</w:t>
      </w:r>
    </w:p>
    <w:p w:rsidR="00F8724B" w:rsidRPr="002C278E" w:rsidRDefault="00F8724B" w:rsidP="002C278E">
      <w:pPr>
        <w:spacing w:line="360" w:lineRule="auto"/>
        <w:rPr>
          <w:rFonts w:ascii="Times New Roman" w:hAnsi="Times New Roman" w:cs="Times New Roman"/>
          <w:sz w:val="24"/>
          <w:szCs w:val="24"/>
        </w:rPr>
      </w:pPr>
      <w:r w:rsidRPr="002C278E">
        <w:rPr>
          <w:rFonts w:ascii="Times New Roman" w:hAnsi="Times New Roman" w:cs="Times New Roman"/>
          <w:b/>
          <w:sz w:val="24"/>
          <w:szCs w:val="24"/>
        </w:rPr>
        <w:t>“(</w:t>
      </w:r>
      <w:proofErr w:type="spellStart"/>
      <w:r w:rsidRPr="002C278E">
        <w:rPr>
          <w:rFonts w:ascii="Times New Roman" w:hAnsi="Times New Roman" w:cs="Times New Roman"/>
          <w:b/>
          <w:sz w:val="24"/>
          <w:szCs w:val="24"/>
        </w:rPr>
        <w:t>i</w:t>
      </w:r>
      <w:proofErr w:type="spellEnd"/>
      <w:r w:rsidRPr="002C278E">
        <w:rPr>
          <w:rFonts w:ascii="Times New Roman" w:hAnsi="Times New Roman" w:cs="Times New Roman"/>
          <w:b/>
          <w:sz w:val="24"/>
          <w:szCs w:val="24"/>
        </w:rPr>
        <w:t>)</w:t>
      </w:r>
      <w:r w:rsidRPr="002C278E">
        <w:rPr>
          <w:rFonts w:ascii="Times New Roman" w:hAnsi="Times New Roman" w:cs="Times New Roman"/>
          <w:sz w:val="24"/>
          <w:szCs w:val="24"/>
        </w:rPr>
        <w:t xml:space="preserve">  For a reference to qualify for the Supreme Court’s Advisory-Opinion discretion, it must fall within the four corners of Article 163(6): it must be “a matter concerning county government.” The question as to whether a matter is one “concerning county government”, will be determined by the Court on a case-by-case basis.</w:t>
      </w:r>
    </w:p>
    <w:p w:rsidR="00F8724B" w:rsidRPr="002C278E" w:rsidRDefault="00F8724B" w:rsidP="002C278E">
      <w:pPr>
        <w:spacing w:line="360" w:lineRule="auto"/>
        <w:rPr>
          <w:rFonts w:ascii="Times New Roman" w:hAnsi="Times New Roman" w:cs="Times New Roman"/>
          <w:sz w:val="24"/>
          <w:szCs w:val="24"/>
        </w:rPr>
      </w:pPr>
      <w:r w:rsidRPr="002C278E">
        <w:rPr>
          <w:rFonts w:ascii="Times New Roman" w:hAnsi="Times New Roman" w:cs="Times New Roman"/>
          <w:sz w:val="24"/>
          <w:szCs w:val="24"/>
        </w:rPr>
        <w:t xml:space="preserve"> </w:t>
      </w:r>
      <w:r w:rsidRPr="002C278E">
        <w:rPr>
          <w:rFonts w:ascii="Times New Roman" w:hAnsi="Times New Roman" w:cs="Times New Roman"/>
          <w:b/>
          <w:sz w:val="24"/>
          <w:szCs w:val="24"/>
        </w:rPr>
        <w:t>“(ii)</w:t>
      </w:r>
      <w:r w:rsidRPr="002C278E">
        <w:rPr>
          <w:rFonts w:ascii="Times New Roman" w:hAnsi="Times New Roman" w:cs="Times New Roman"/>
          <w:sz w:val="24"/>
          <w:szCs w:val="24"/>
        </w:rPr>
        <w:t xml:space="preserve"> The only parties that can make a request for an Advisory Opinion are the national government, a State organ, or county government. Any other person or institution may only be enjoined in the proceedings with leave of the Court, either as an intervener (interested party) or as amicus curiae.</w:t>
      </w:r>
    </w:p>
    <w:p w:rsidR="00F8724B" w:rsidRPr="002C278E" w:rsidRDefault="00F8724B" w:rsidP="002C278E">
      <w:pPr>
        <w:spacing w:line="360" w:lineRule="auto"/>
        <w:rPr>
          <w:rFonts w:ascii="Times New Roman" w:hAnsi="Times New Roman" w:cs="Times New Roman"/>
          <w:sz w:val="24"/>
          <w:szCs w:val="24"/>
        </w:rPr>
      </w:pPr>
      <w:r w:rsidRPr="002C278E">
        <w:rPr>
          <w:rFonts w:ascii="Times New Roman" w:hAnsi="Times New Roman" w:cs="Times New Roman"/>
          <w:b/>
          <w:sz w:val="24"/>
          <w:szCs w:val="24"/>
        </w:rPr>
        <w:t>“(iii)</w:t>
      </w:r>
      <w:r w:rsidRPr="002C278E">
        <w:rPr>
          <w:rFonts w:ascii="Times New Roman" w:hAnsi="Times New Roman" w:cs="Times New Roman"/>
          <w:sz w:val="24"/>
          <w:szCs w:val="24"/>
        </w:rPr>
        <w:t xml:space="preserve"> The Court will be hesitant to exercise its discretion to render an Advisory Opinion where the matter in respect of which the reference has been made is a subject of proceedings in a lower Court. However, where the Court proceedings in question have been instituted after a request has been made to this Court for an Advisory Opinion, the Court may if satisfied that it is in the public interest to do so, proceed and render an Advisory Opinion.</w:t>
      </w:r>
    </w:p>
    <w:p w:rsidR="00F8724B" w:rsidRPr="002C278E" w:rsidRDefault="00F8724B" w:rsidP="002C278E">
      <w:pPr>
        <w:spacing w:line="360" w:lineRule="auto"/>
        <w:rPr>
          <w:rFonts w:ascii="Times New Roman" w:hAnsi="Times New Roman" w:cs="Times New Roman"/>
          <w:sz w:val="24"/>
          <w:szCs w:val="24"/>
        </w:rPr>
      </w:pPr>
      <w:r w:rsidRPr="002C278E">
        <w:rPr>
          <w:rFonts w:ascii="Times New Roman" w:hAnsi="Times New Roman" w:cs="Times New Roman"/>
          <w:b/>
          <w:sz w:val="24"/>
          <w:szCs w:val="24"/>
        </w:rPr>
        <w:t>“(iv)</w:t>
      </w:r>
      <w:r w:rsidRPr="002C278E">
        <w:rPr>
          <w:rFonts w:ascii="Times New Roman" w:hAnsi="Times New Roman" w:cs="Times New Roman"/>
          <w:sz w:val="24"/>
          <w:szCs w:val="24"/>
        </w:rPr>
        <w:t xml:space="preserve"> Where a reference has been made to the Court the subject matter of which is also pending in a lower Court, the Court may nonetheless render an Advisory Opinion if the applicant can </w:t>
      </w:r>
      <w:r w:rsidRPr="002C278E">
        <w:rPr>
          <w:rFonts w:ascii="Times New Roman" w:hAnsi="Times New Roman" w:cs="Times New Roman"/>
          <w:sz w:val="24"/>
          <w:szCs w:val="24"/>
        </w:rPr>
        <w:lastRenderedPageBreak/>
        <w:t>demonstrate that the issue is of great public importance and requiring urgent resolution through an Advisory Opinion. In addition, the applicant may be required to demonstrate that the matter in question would not be amenable to expeditious resolution through adversarial Court process.”</w:t>
      </w:r>
    </w:p>
    <w:p w:rsidR="00F8724B" w:rsidRPr="002C278E" w:rsidRDefault="00F8724B" w:rsidP="002C278E">
      <w:pPr>
        <w:spacing w:line="360" w:lineRule="auto"/>
        <w:rPr>
          <w:rFonts w:ascii="Times New Roman" w:hAnsi="Times New Roman" w:cs="Times New Roman"/>
          <w:b/>
          <w:sz w:val="24"/>
          <w:szCs w:val="24"/>
          <w:u w:val="single"/>
        </w:rPr>
      </w:pPr>
      <w:r w:rsidRPr="002C278E">
        <w:rPr>
          <w:rFonts w:ascii="Times New Roman" w:hAnsi="Times New Roman" w:cs="Times New Roman"/>
          <w:b/>
          <w:bCs/>
          <w:sz w:val="24"/>
          <w:szCs w:val="24"/>
        </w:rPr>
        <w:t> </w:t>
      </w:r>
      <w:r w:rsidRPr="002C278E">
        <w:rPr>
          <w:rFonts w:ascii="Times New Roman" w:hAnsi="Times New Roman" w:cs="Times New Roman"/>
          <w:b/>
          <w:sz w:val="24"/>
          <w:szCs w:val="24"/>
          <w:u w:val="single"/>
        </w:rPr>
        <w:t>Can the Supreme Court adjudicate such an issue by rendering an Advisory Opinion? The answer to this question emerges from the established precedents of this Court, which depict the mode of exercise of the Advisory-Opinion jurisdiction</w:t>
      </w:r>
    </w:p>
    <w:p w:rsidR="00F8724B" w:rsidRPr="002C278E" w:rsidRDefault="00F8724B" w:rsidP="002C278E">
      <w:pPr>
        <w:spacing w:line="360" w:lineRule="auto"/>
        <w:rPr>
          <w:rFonts w:ascii="Times New Roman" w:hAnsi="Times New Roman" w:cs="Times New Roman"/>
          <w:sz w:val="24"/>
          <w:szCs w:val="24"/>
        </w:rPr>
      </w:pPr>
      <w:r w:rsidRPr="002C278E">
        <w:rPr>
          <w:rFonts w:ascii="Times New Roman" w:hAnsi="Times New Roman" w:cs="Times New Roman"/>
          <w:sz w:val="24"/>
          <w:szCs w:val="24"/>
        </w:rPr>
        <w:t>In </w:t>
      </w:r>
      <w:r w:rsidRPr="002C278E">
        <w:rPr>
          <w:rFonts w:ascii="Times New Roman" w:hAnsi="Times New Roman" w:cs="Times New Roman"/>
          <w:b/>
          <w:bCs/>
          <w:i/>
          <w:iCs/>
          <w:sz w:val="24"/>
          <w:szCs w:val="24"/>
        </w:rPr>
        <w:t>Re The Matter of Interim Independent Electoral Commission</w:t>
      </w:r>
      <w:r w:rsidRPr="002C278E">
        <w:rPr>
          <w:rFonts w:ascii="Times New Roman" w:hAnsi="Times New Roman" w:cs="Times New Roman"/>
          <w:sz w:val="24"/>
          <w:szCs w:val="24"/>
        </w:rPr>
        <w:t xml:space="preserve"> (Sup. Ct. No. 2 of 2011) </w:t>
      </w:r>
      <w:proofErr w:type="spellStart"/>
      <w:r w:rsidRPr="002C278E">
        <w:rPr>
          <w:rFonts w:ascii="Times New Roman" w:hAnsi="Times New Roman" w:cs="Times New Roman"/>
          <w:sz w:val="24"/>
          <w:szCs w:val="24"/>
        </w:rPr>
        <w:t>eKLR</w:t>
      </w:r>
      <w:proofErr w:type="spellEnd"/>
      <w:r w:rsidRPr="002C278E">
        <w:rPr>
          <w:rFonts w:ascii="Times New Roman" w:hAnsi="Times New Roman" w:cs="Times New Roman"/>
          <w:sz w:val="24"/>
          <w:szCs w:val="24"/>
        </w:rPr>
        <w:t>, this Court made the following statements of principle regarding the nature of its Advisory-Opinion jurisdiction (paragraphs 44, 45):</w:t>
      </w:r>
    </w:p>
    <w:p w:rsidR="00F8724B" w:rsidRPr="002C278E" w:rsidRDefault="00F8724B" w:rsidP="002C278E">
      <w:pPr>
        <w:spacing w:line="360" w:lineRule="auto"/>
        <w:rPr>
          <w:rFonts w:ascii="Times New Roman" w:hAnsi="Times New Roman" w:cs="Times New Roman"/>
          <w:sz w:val="24"/>
          <w:szCs w:val="24"/>
        </w:rPr>
      </w:pPr>
      <w:r w:rsidRPr="002C278E">
        <w:rPr>
          <w:rFonts w:ascii="Times New Roman" w:hAnsi="Times New Roman" w:cs="Times New Roman"/>
          <w:i/>
          <w:iCs/>
          <w:sz w:val="24"/>
          <w:szCs w:val="24"/>
        </w:rPr>
        <w:t>“It follows that the Supreme Court </w:t>
      </w:r>
      <w:r w:rsidRPr="002C278E">
        <w:rPr>
          <w:rFonts w:ascii="Times New Roman" w:hAnsi="Times New Roman" w:cs="Times New Roman"/>
          <w:b/>
          <w:bCs/>
          <w:i/>
          <w:iCs/>
          <w:sz w:val="24"/>
          <w:szCs w:val="24"/>
        </w:rPr>
        <w:t>may,</w:t>
      </w:r>
      <w:r w:rsidRPr="002C278E">
        <w:rPr>
          <w:rFonts w:ascii="Times New Roman" w:hAnsi="Times New Roman" w:cs="Times New Roman"/>
          <w:i/>
          <w:iCs/>
          <w:sz w:val="24"/>
          <w:szCs w:val="24"/>
        </w:rPr>
        <w:t> indeed, while rendering an Advisory Opinion under </w:t>
      </w:r>
      <w:r w:rsidRPr="002C278E">
        <w:rPr>
          <w:rFonts w:ascii="Times New Roman" w:hAnsi="Times New Roman" w:cs="Times New Roman"/>
          <w:b/>
          <w:bCs/>
          <w:i/>
          <w:iCs/>
          <w:sz w:val="24"/>
          <w:szCs w:val="24"/>
        </w:rPr>
        <w:t>Article 163(6)</w:t>
      </w:r>
      <w:r w:rsidRPr="002C278E">
        <w:rPr>
          <w:rFonts w:ascii="Times New Roman" w:hAnsi="Times New Roman" w:cs="Times New Roman"/>
          <w:i/>
          <w:iCs/>
          <w:sz w:val="24"/>
          <w:szCs w:val="24"/>
        </w:rPr>
        <w:t> of the Constitution, undertake any necessary interpretation of the Constitution.</w:t>
      </w:r>
    </w:p>
    <w:p w:rsidR="00F8724B" w:rsidRPr="002C278E" w:rsidRDefault="00F8724B" w:rsidP="002C278E">
      <w:pPr>
        <w:spacing w:line="360" w:lineRule="auto"/>
        <w:rPr>
          <w:rFonts w:ascii="Times New Roman" w:hAnsi="Times New Roman" w:cs="Times New Roman"/>
          <w:sz w:val="24"/>
          <w:szCs w:val="24"/>
        </w:rPr>
      </w:pPr>
      <w:r w:rsidRPr="002C278E">
        <w:rPr>
          <w:rFonts w:ascii="Times New Roman" w:hAnsi="Times New Roman" w:cs="Times New Roman"/>
          <w:i/>
          <w:iCs/>
          <w:sz w:val="24"/>
          <w:szCs w:val="24"/>
        </w:rPr>
        <w:t>“ In this instance similar questions, entailing constitutional interpretation, have been brought simultaneously before the High Court and the Supreme Court; and, as already noted, such a move by parties is apt to precipitate contretemps in resolving the question of jurisdiction.  In principle, the Supreme Court commits itself to order and efficacy in the administration of justice, and to that end it may require that the process of litigation commenced in the High Court, and entailing constitutional interpretation, be exhausted and if need be, followed by appellate procedures. In such circumstances, this Court will be cautious in considering a request for an opinion, to ensure the two jurisdictions do not come into conflict; and each case will be carefully considered on its merits.”</w:t>
      </w:r>
    </w:p>
    <w:p w:rsidR="00F8724B" w:rsidRPr="002C278E" w:rsidRDefault="00F8724B" w:rsidP="002C278E">
      <w:pPr>
        <w:spacing w:line="360" w:lineRule="auto"/>
        <w:rPr>
          <w:rFonts w:ascii="Times New Roman" w:hAnsi="Times New Roman" w:cs="Times New Roman"/>
          <w:sz w:val="24"/>
          <w:szCs w:val="24"/>
        </w:rPr>
      </w:pPr>
      <w:r w:rsidRPr="002C278E">
        <w:rPr>
          <w:rFonts w:ascii="Times New Roman" w:hAnsi="Times New Roman" w:cs="Times New Roman"/>
          <w:b/>
          <w:bCs/>
          <w:sz w:val="24"/>
          <w:szCs w:val="24"/>
        </w:rPr>
        <w:t> </w:t>
      </w:r>
      <w:r w:rsidRPr="002C278E">
        <w:rPr>
          <w:rFonts w:ascii="Times New Roman" w:hAnsi="Times New Roman" w:cs="Times New Roman"/>
          <w:sz w:val="24"/>
          <w:szCs w:val="24"/>
        </w:rPr>
        <w:t>Further, </w:t>
      </w:r>
      <w:r w:rsidRPr="002C278E">
        <w:rPr>
          <w:rFonts w:ascii="Times New Roman" w:hAnsi="Times New Roman" w:cs="Times New Roman"/>
          <w:b/>
          <w:bCs/>
          <w:i/>
          <w:iCs/>
          <w:sz w:val="24"/>
          <w:szCs w:val="24"/>
        </w:rPr>
        <w:t>In the Matter of the Principle of Gender Representation in the National Assembly and the Senate</w:t>
      </w:r>
      <w:r w:rsidRPr="002C278E">
        <w:rPr>
          <w:rFonts w:ascii="Times New Roman" w:hAnsi="Times New Roman" w:cs="Times New Roman"/>
          <w:sz w:val="24"/>
          <w:szCs w:val="24"/>
        </w:rPr>
        <w:t>, Sup. Ct. Appl. No. 2 of 2012 is another instance of this Court’s statement of principle [paragraph 19]:</w:t>
      </w:r>
    </w:p>
    <w:p w:rsidR="00F8724B" w:rsidRPr="002C278E" w:rsidRDefault="00F8724B" w:rsidP="002C278E">
      <w:pPr>
        <w:spacing w:line="360" w:lineRule="auto"/>
        <w:rPr>
          <w:rFonts w:ascii="Times New Roman" w:hAnsi="Times New Roman" w:cs="Times New Roman"/>
          <w:bCs/>
          <w:iCs/>
          <w:sz w:val="24"/>
          <w:szCs w:val="24"/>
        </w:rPr>
      </w:pPr>
      <w:r w:rsidRPr="002C278E">
        <w:rPr>
          <w:rFonts w:ascii="Times New Roman" w:hAnsi="Times New Roman" w:cs="Times New Roman"/>
          <w:b/>
          <w:bCs/>
          <w:i/>
          <w:iCs/>
          <w:sz w:val="24"/>
          <w:szCs w:val="24"/>
        </w:rPr>
        <w:t xml:space="preserve">“The Court recognizes, however, that its Advisory Opinion is an important avenue for settling matters of great public importance which may not be suitable for conventional mechanisms of </w:t>
      </w:r>
      <w:proofErr w:type="spellStart"/>
      <w:r w:rsidRPr="002C278E">
        <w:rPr>
          <w:rFonts w:ascii="Times New Roman" w:hAnsi="Times New Roman" w:cs="Times New Roman"/>
          <w:b/>
          <w:bCs/>
          <w:i/>
          <w:iCs/>
          <w:sz w:val="24"/>
          <w:szCs w:val="24"/>
        </w:rPr>
        <w:t>justiciability</w:t>
      </w:r>
      <w:proofErr w:type="spellEnd"/>
      <w:r w:rsidRPr="002C278E">
        <w:rPr>
          <w:rFonts w:ascii="Times New Roman" w:hAnsi="Times New Roman" w:cs="Times New Roman"/>
          <w:b/>
          <w:bCs/>
          <w:i/>
          <w:iCs/>
          <w:sz w:val="24"/>
          <w:szCs w:val="24"/>
        </w:rPr>
        <w:t xml:space="preserve">. Such novel situations have clear evidence under the new Constitution, which has come with far-reaching innovations, such as those reflected in the institutions of county government. The realization of such a devolved governance scheme raises a variety of structural, management and operational challenges unbeknown to traditional dispute </w:t>
      </w:r>
      <w:r w:rsidRPr="002C278E">
        <w:rPr>
          <w:rFonts w:ascii="Times New Roman" w:hAnsi="Times New Roman" w:cs="Times New Roman"/>
          <w:b/>
          <w:bCs/>
          <w:i/>
          <w:iCs/>
          <w:sz w:val="24"/>
          <w:szCs w:val="24"/>
        </w:rPr>
        <w:lastRenderedPageBreak/>
        <w:t>settlement. This is the typical situation in which the Supreme Court’s Advisory-Opinion jurisdiction will be most propitious; and where such is the case, an obligation rests on the Court to render an Opinion in accordance with the Constitution.</w:t>
      </w:r>
    </w:p>
    <w:p w:rsidR="00F8724B" w:rsidRPr="002C278E" w:rsidRDefault="00F8724B" w:rsidP="002C278E">
      <w:pPr>
        <w:spacing w:line="360" w:lineRule="auto"/>
        <w:rPr>
          <w:rFonts w:ascii="Times New Roman" w:hAnsi="Times New Roman" w:cs="Times New Roman"/>
          <w:sz w:val="24"/>
          <w:szCs w:val="24"/>
        </w:rPr>
      </w:pPr>
      <w:r w:rsidRPr="002C278E">
        <w:rPr>
          <w:rFonts w:ascii="Times New Roman" w:hAnsi="Times New Roman" w:cs="Times New Roman"/>
          <w:sz w:val="24"/>
          <w:szCs w:val="24"/>
        </w:rPr>
        <w:t> A caution which we had sounded in </w:t>
      </w:r>
      <w:r w:rsidRPr="002C278E">
        <w:rPr>
          <w:rFonts w:ascii="Times New Roman" w:hAnsi="Times New Roman" w:cs="Times New Roman"/>
          <w:b/>
          <w:bCs/>
          <w:i/>
          <w:iCs/>
          <w:sz w:val="24"/>
          <w:szCs w:val="24"/>
        </w:rPr>
        <w:t>Speaker of Senate and Another v. The Attorney General and 4 Others, </w:t>
      </w:r>
      <w:r w:rsidRPr="002C278E">
        <w:rPr>
          <w:rFonts w:ascii="Times New Roman" w:hAnsi="Times New Roman" w:cs="Times New Roman"/>
          <w:sz w:val="24"/>
          <w:szCs w:val="24"/>
        </w:rPr>
        <w:t xml:space="preserve">Advisory Opinion No. 2 of 2013 </w:t>
      </w:r>
      <w:proofErr w:type="spellStart"/>
      <w:r w:rsidRPr="002C278E">
        <w:rPr>
          <w:rFonts w:ascii="Times New Roman" w:hAnsi="Times New Roman" w:cs="Times New Roman"/>
          <w:sz w:val="24"/>
          <w:szCs w:val="24"/>
        </w:rPr>
        <w:t>eKLR</w:t>
      </w:r>
      <w:proofErr w:type="spellEnd"/>
      <w:r w:rsidRPr="002C278E">
        <w:rPr>
          <w:rFonts w:ascii="Times New Roman" w:hAnsi="Times New Roman" w:cs="Times New Roman"/>
          <w:sz w:val="24"/>
          <w:szCs w:val="24"/>
        </w:rPr>
        <w:t>, as follows (paragraph 18):</w:t>
      </w:r>
    </w:p>
    <w:p w:rsidR="00F8724B" w:rsidRPr="002C278E" w:rsidRDefault="00F8724B" w:rsidP="002C278E">
      <w:pPr>
        <w:spacing w:line="360" w:lineRule="auto"/>
        <w:rPr>
          <w:rFonts w:ascii="Times New Roman" w:hAnsi="Times New Roman" w:cs="Times New Roman"/>
          <w:sz w:val="24"/>
          <w:szCs w:val="24"/>
        </w:rPr>
      </w:pPr>
      <w:r w:rsidRPr="002C278E">
        <w:rPr>
          <w:rFonts w:ascii="Times New Roman" w:hAnsi="Times New Roman" w:cs="Times New Roman"/>
          <w:b/>
          <w:bCs/>
          <w:i/>
          <w:iCs/>
          <w:sz w:val="24"/>
          <w:szCs w:val="24"/>
        </w:rPr>
        <w:t>“The Supreme Court must guard against improper transformation of normal dispute issues for ordinary litigation into Advisory Opinion causes, as the Court must be disinclined to take a position in discord with the core principles of the Constitution.”</w:t>
      </w:r>
    </w:p>
    <w:p w:rsidR="00F8724B" w:rsidRPr="002C278E" w:rsidRDefault="00F8724B" w:rsidP="002C278E">
      <w:pPr>
        <w:spacing w:line="360" w:lineRule="auto"/>
        <w:rPr>
          <w:rFonts w:ascii="Times New Roman" w:hAnsi="Times New Roman" w:cs="Times New Roman"/>
          <w:b/>
          <w:sz w:val="24"/>
          <w:szCs w:val="24"/>
        </w:rPr>
      </w:pPr>
    </w:p>
    <w:p w:rsidR="00F8724B" w:rsidRPr="002C278E" w:rsidRDefault="00F8724B" w:rsidP="002C278E">
      <w:pPr>
        <w:spacing w:line="360" w:lineRule="auto"/>
        <w:rPr>
          <w:rFonts w:ascii="Times New Roman" w:hAnsi="Times New Roman" w:cs="Times New Roman"/>
          <w:b/>
          <w:sz w:val="24"/>
          <w:szCs w:val="24"/>
          <w:u w:val="single"/>
        </w:rPr>
      </w:pPr>
    </w:p>
    <w:p w:rsidR="00F8724B" w:rsidRPr="002C278E" w:rsidRDefault="00F8724B" w:rsidP="002C278E">
      <w:pPr>
        <w:spacing w:line="360" w:lineRule="auto"/>
        <w:rPr>
          <w:rFonts w:ascii="Times New Roman" w:hAnsi="Times New Roman" w:cs="Times New Roman"/>
          <w:b/>
          <w:sz w:val="24"/>
          <w:szCs w:val="24"/>
          <w:u w:val="single"/>
        </w:rPr>
      </w:pPr>
    </w:p>
    <w:p w:rsidR="00F8724B" w:rsidRPr="002C278E" w:rsidRDefault="00F8724B" w:rsidP="002C278E">
      <w:pPr>
        <w:spacing w:line="360" w:lineRule="auto"/>
        <w:rPr>
          <w:rFonts w:ascii="Times New Roman" w:hAnsi="Times New Roman" w:cs="Times New Roman"/>
          <w:b/>
          <w:sz w:val="24"/>
          <w:szCs w:val="24"/>
          <w:u w:val="single"/>
        </w:rPr>
      </w:pPr>
    </w:p>
    <w:p w:rsidR="002C278E" w:rsidRDefault="002C278E" w:rsidP="002C278E">
      <w:pPr>
        <w:spacing w:line="360" w:lineRule="auto"/>
        <w:rPr>
          <w:rFonts w:ascii="Times New Roman" w:hAnsi="Times New Roman" w:cs="Times New Roman"/>
          <w:b/>
          <w:sz w:val="24"/>
          <w:szCs w:val="24"/>
          <w:u w:val="single"/>
        </w:rPr>
      </w:pPr>
    </w:p>
    <w:p w:rsidR="002C278E" w:rsidRDefault="002C278E" w:rsidP="002C278E">
      <w:pPr>
        <w:spacing w:line="360" w:lineRule="auto"/>
        <w:rPr>
          <w:rFonts w:ascii="Times New Roman" w:hAnsi="Times New Roman" w:cs="Times New Roman"/>
          <w:b/>
          <w:sz w:val="24"/>
          <w:szCs w:val="24"/>
          <w:u w:val="single"/>
        </w:rPr>
      </w:pPr>
    </w:p>
    <w:p w:rsidR="002C278E" w:rsidRDefault="002C278E" w:rsidP="002C278E">
      <w:pPr>
        <w:spacing w:line="360" w:lineRule="auto"/>
        <w:rPr>
          <w:rFonts w:ascii="Times New Roman" w:hAnsi="Times New Roman" w:cs="Times New Roman"/>
          <w:b/>
          <w:sz w:val="24"/>
          <w:szCs w:val="24"/>
          <w:u w:val="single"/>
        </w:rPr>
      </w:pPr>
    </w:p>
    <w:p w:rsidR="002C278E" w:rsidRDefault="002C278E" w:rsidP="002C278E">
      <w:pPr>
        <w:spacing w:line="360" w:lineRule="auto"/>
        <w:rPr>
          <w:rFonts w:ascii="Times New Roman" w:hAnsi="Times New Roman" w:cs="Times New Roman"/>
          <w:b/>
          <w:sz w:val="24"/>
          <w:szCs w:val="24"/>
          <w:u w:val="single"/>
        </w:rPr>
      </w:pPr>
    </w:p>
    <w:p w:rsidR="002C278E" w:rsidRDefault="002C278E" w:rsidP="002C278E">
      <w:pPr>
        <w:spacing w:line="360" w:lineRule="auto"/>
        <w:rPr>
          <w:rFonts w:ascii="Times New Roman" w:hAnsi="Times New Roman" w:cs="Times New Roman"/>
          <w:b/>
          <w:sz w:val="24"/>
          <w:szCs w:val="24"/>
          <w:u w:val="single"/>
        </w:rPr>
      </w:pPr>
    </w:p>
    <w:p w:rsidR="002C278E" w:rsidRDefault="002C278E" w:rsidP="002C278E">
      <w:pPr>
        <w:spacing w:line="360" w:lineRule="auto"/>
        <w:rPr>
          <w:rFonts w:ascii="Times New Roman" w:hAnsi="Times New Roman" w:cs="Times New Roman"/>
          <w:b/>
          <w:sz w:val="24"/>
          <w:szCs w:val="24"/>
          <w:u w:val="single"/>
        </w:rPr>
      </w:pPr>
    </w:p>
    <w:p w:rsidR="002C278E" w:rsidRDefault="002C278E" w:rsidP="002C278E">
      <w:pPr>
        <w:spacing w:line="360" w:lineRule="auto"/>
        <w:rPr>
          <w:rFonts w:ascii="Times New Roman" w:hAnsi="Times New Roman" w:cs="Times New Roman"/>
          <w:b/>
          <w:sz w:val="24"/>
          <w:szCs w:val="24"/>
          <w:u w:val="single"/>
        </w:rPr>
      </w:pPr>
    </w:p>
    <w:p w:rsidR="002C278E" w:rsidRDefault="002C278E" w:rsidP="002C278E">
      <w:pPr>
        <w:spacing w:line="360" w:lineRule="auto"/>
        <w:rPr>
          <w:rFonts w:ascii="Times New Roman" w:hAnsi="Times New Roman" w:cs="Times New Roman"/>
          <w:b/>
          <w:sz w:val="24"/>
          <w:szCs w:val="24"/>
          <w:u w:val="single"/>
        </w:rPr>
      </w:pPr>
    </w:p>
    <w:p w:rsidR="00F8724B" w:rsidRPr="002C278E" w:rsidRDefault="00F8724B" w:rsidP="002C278E">
      <w:pPr>
        <w:spacing w:line="360" w:lineRule="auto"/>
        <w:rPr>
          <w:rFonts w:ascii="Times New Roman" w:hAnsi="Times New Roman" w:cs="Times New Roman"/>
          <w:b/>
          <w:sz w:val="24"/>
          <w:szCs w:val="24"/>
          <w:u w:val="single"/>
        </w:rPr>
      </w:pPr>
      <w:r w:rsidRPr="002C278E">
        <w:rPr>
          <w:rFonts w:ascii="Times New Roman" w:hAnsi="Times New Roman" w:cs="Times New Roman"/>
          <w:b/>
          <w:sz w:val="24"/>
          <w:szCs w:val="24"/>
          <w:u w:val="single"/>
        </w:rPr>
        <w:t xml:space="preserve">Are advisory opinions binding in Kenya </w:t>
      </w:r>
    </w:p>
    <w:p w:rsidR="00F8724B" w:rsidRPr="002C278E" w:rsidRDefault="00F8724B" w:rsidP="002C278E">
      <w:pPr>
        <w:spacing w:line="360" w:lineRule="auto"/>
        <w:rPr>
          <w:rFonts w:ascii="Times New Roman" w:hAnsi="Times New Roman" w:cs="Times New Roman"/>
          <w:sz w:val="24"/>
          <w:szCs w:val="24"/>
        </w:rPr>
      </w:pPr>
      <w:r w:rsidRPr="002C278E">
        <w:rPr>
          <w:rFonts w:ascii="Times New Roman" w:hAnsi="Times New Roman" w:cs="Times New Roman"/>
          <w:sz w:val="24"/>
          <w:szCs w:val="24"/>
        </w:rPr>
        <w:t>The position in Kenya is different</w:t>
      </w:r>
      <w:r w:rsidRPr="002C278E">
        <w:rPr>
          <w:rFonts w:ascii="Times New Roman" w:hAnsi="Times New Roman" w:cs="Times New Roman"/>
          <w:b/>
          <w:i/>
          <w:sz w:val="24"/>
          <w:szCs w:val="24"/>
          <w:u w:val="single"/>
        </w:rPr>
        <w:t>.</w:t>
      </w:r>
      <w:r w:rsidRPr="002C278E">
        <w:rPr>
          <w:rFonts w:ascii="Times New Roman" w:hAnsi="Times New Roman" w:cs="Times New Roman"/>
          <w:b/>
          <w:i/>
          <w:iCs/>
          <w:sz w:val="24"/>
          <w:szCs w:val="24"/>
          <w:u w:val="single"/>
        </w:rPr>
        <w:t> RE IIEC</w:t>
      </w:r>
      <w:r w:rsidRPr="002C278E">
        <w:rPr>
          <w:rFonts w:ascii="Times New Roman" w:hAnsi="Times New Roman" w:cs="Times New Roman"/>
          <w:i/>
          <w:iCs/>
          <w:sz w:val="24"/>
          <w:szCs w:val="24"/>
        </w:rPr>
        <w:t> </w:t>
      </w:r>
      <w:r w:rsidRPr="002C278E">
        <w:rPr>
          <w:rFonts w:ascii="Times New Roman" w:hAnsi="Times New Roman" w:cs="Times New Roman"/>
          <w:sz w:val="24"/>
          <w:szCs w:val="24"/>
        </w:rPr>
        <w:t>settled the law in this area holding that</w:t>
      </w:r>
      <w:r w:rsidRPr="002C278E">
        <w:rPr>
          <w:rFonts w:ascii="Times New Roman" w:hAnsi="Times New Roman" w:cs="Times New Roman"/>
          <w:i/>
          <w:iCs/>
          <w:sz w:val="24"/>
          <w:szCs w:val="24"/>
        </w:rPr>
        <w:t> </w:t>
      </w:r>
      <w:r w:rsidRPr="002C278E">
        <w:rPr>
          <w:rFonts w:ascii="Times New Roman" w:hAnsi="Times New Roman" w:cs="Times New Roman"/>
          <w:sz w:val="24"/>
          <w:szCs w:val="24"/>
        </w:rPr>
        <w:t>advisory opinions are binding. Most emphatically in paragraphs 92 and 93 the court held:</w:t>
      </w:r>
    </w:p>
    <w:p w:rsidR="00F8724B" w:rsidRPr="002C278E" w:rsidRDefault="00F8724B" w:rsidP="002C278E">
      <w:pPr>
        <w:spacing w:line="360" w:lineRule="auto"/>
        <w:rPr>
          <w:rFonts w:ascii="Times New Roman" w:hAnsi="Times New Roman" w:cs="Times New Roman"/>
          <w:sz w:val="24"/>
          <w:szCs w:val="24"/>
        </w:rPr>
      </w:pPr>
      <w:r w:rsidRPr="002C278E">
        <w:rPr>
          <w:rFonts w:ascii="Times New Roman" w:hAnsi="Times New Roman" w:cs="Times New Roman"/>
          <w:b/>
          <w:i/>
          <w:iCs/>
          <w:sz w:val="24"/>
          <w:szCs w:val="24"/>
          <w:u w:val="single"/>
        </w:rPr>
        <w:t xml:space="preserve">“All these aspects of the Constitution are critical, in considering the effect of an Advisory Opinion. We, therefore, hold that an Advisory Opinion, in this context, is a ‘decision’ of the Court, within the terms of Article 163(7), and is thus binding on those who bring the issue </w:t>
      </w:r>
      <w:r w:rsidRPr="002C278E">
        <w:rPr>
          <w:rFonts w:ascii="Times New Roman" w:hAnsi="Times New Roman" w:cs="Times New Roman"/>
          <w:b/>
          <w:i/>
          <w:iCs/>
          <w:sz w:val="24"/>
          <w:szCs w:val="24"/>
          <w:u w:val="single"/>
        </w:rPr>
        <w:lastRenderedPageBreak/>
        <w:t>before the Court, and upon lower Courts, in the same way as other decisions. “In our discussion of the advisory jurisdiction, we have adopted a</w:t>
      </w:r>
      <w:r w:rsidRPr="002C278E">
        <w:rPr>
          <w:rFonts w:ascii="Times New Roman" w:hAnsi="Times New Roman" w:cs="Times New Roman"/>
          <w:i/>
          <w:iCs/>
          <w:sz w:val="24"/>
          <w:szCs w:val="24"/>
        </w:rPr>
        <w:t xml:space="preserve"> circumscribed mandate in relation to the exercise of that jurisdiction. From such a reserved position, and in view of the pragmatic and discretionary nature of the mandate as we conceive it, we perceive that the Supreme Court’s decisions in this domain may significantly touch on legal, policy, political, social and economic situations. On this account, it is inappropriate that the Supreme Court’s Advisory Opinion should be sought as mere advice. Where a government or State organ makes a request for an Opinion, it is to be supposed that such organ would abide by that Opinion; the Opinion is sought to clarify a doubt, and to enable it to act in accordance with the law. If the Applicant were not to be bound in this way, then it would be seeking an Opinion merely in the hope that the Court would endorse its position and, otherwise, the Applicant would consider itself free to disregard the Opinion. This is not fair, and cannot be right.”</w:t>
      </w:r>
    </w:p>
    <w:p w:rsidR="00F8724B" w:rsidRPr="002C278E" w:rsidRDefault="00F8724B" w:rsidP="002C278E">
      <w:pPr>
        <w:spacing w:line="360" w:lineRule="auto"/>
        <w:rPr>
          <w:rFonts w:ascii="Times New Roman" w:hAnsi="Times New Roman" w:cs="Times New Roman"/>
          <w:sz w:val="24"/>
          <w:szCs w:val="24"/>
        </w:rPr>
      </w:pPr>
      <w:r w:rsidRPr="002C278E">
        <w:rPr>
          <w:rFonts w:ascii="Times New Roman" w:hAnsi="Times New Roman" w:cs="Times New Roman"/>
          <w:sz w:val="24"/>
          <w:szCs w:val="24"/>
        </w:rPr>
        <w:t>With regard to enforcement which is an area that clearly needs revisiting, the court held, </w:t>
      </w:r>
      <w:r w:rsidRPr="002C278E">
        <w:rPr>
          <w:rFonts w:ascii="Times New Roman" w:hAnsi="Times New Roman" w:cs="Times New Roman"/>
          <w:i/>
          <w:iCs/>
          <w:sz w:val="24"/>
          <w:szCs w:val="24"/>
        </w:rPr>
        <w:t>“While an Advisory Opinion may not be capable of enforcement in the same way as ordinary decisions of the Courts (in the shape of Rulings, Judgments, Decrees or Orders), it must be treated as an authoritative statement of the law. The Opinion must guide the conduct of not just the organ(s) that sought it, but all governmental or public action thereafter. To hold otherwise, would be to reduce Article 163(6) of the Constitution to an ‘idle provision’, of little juridical value. The binding nature of Advisory Opinions is consistent with the values of the Constitution, particularly the rule of law.”</w:t>
      </w:r>
    </w:p>
    <w:p w:rsidR="002C278E" w:rsidRDefault="002C278E" w:rsidP="002C278E">
      <w:pPr>
        <w:spacing w:line="360" w:lineRule="auto"/>
        <w:rPr>
          <w:rFonts w:ascii="Times New Roman" w:hAnsi="Times New Roman" w:cs="Times New Roman"/>
          <w:b/>
          <w:sz w:val="24"/>
          <w:szCs w:val="24"/>
          <w:u w:val="single"/>
        </w:rPr>
      </w:pPr>
    </w:p>
    <w:p w:rsidR="002C278E" w:rsidRDefault="002C278E" w:rsidP="002C278E">
      <w:pPr>
        <w:spacing w:line="360" w:lineRule="auto"/>
        <w:rPr>
          <w:rFonts w:ascii="Times New Roman" w:hAnsi="Times New Roman" w:cs="Times New Roman"/>
          <w:b/>
          <w:sz w:val="24"/>
          <w:szCs w:val="24"/>
          <w:u w:val="single"/>
        </w:rPr>
      </w:pPr>
    </w:p>
    <w:p w:rsidR="00F8724B" w:rsidRPr="002C278E" w:rsidRDefault="00F8724B" w:rsidP="002C278E">
      <w:pPr>
        <w:spacing w:line="360" w:lineRule="auto"/>
        <w:rPr>
          <w:rFonts w:ascii="Times New Roman" w:hAnsi="Times New Roman" w:cs="Times New Roman"/>
          <w:sz w:val="24"/>
          <w:szCs w:val="24"/>
        </w:rPr>
      </w:pPr>
      <w:r w:rsidRPr="002C278E">
        <w:rPr>
          <w:rFonts w:ascii="Times New Roman" w:hAnsi="Times New Roman" w:cs="Times New Roman"/>
          <w:b/>
          <w:sz w:val="24"/>
          <w:szCs w:val="24"/>
          <w:u w:val="single"/>
        </w:rPr>
        <w:t>The court further held that the purpose of an Advisory Opinion is not only to settle the specific</w:t>
      </w:r>
      <w:r w:rsidRPr="002C278E">
        <w:rPr>
          <w:rFonts w:ascii="Times New Roman" w:hAnsi="Times New Roman" w:cs="Times New Roman"/>
          <w:sz w:val="24"/>
          <w:szCs w:val="24"/>
        </w:rPr>
        <w:t xml:space="preserve"> issues raised, but also to present a pragmatic course for problematic aspects of the operation of State organs, which position has been adopted ever since and most recently </w:t>
      </w:r>
      <w:r w:rsidRPr="002C278E">
        <w:rPr>
          <w:rFonts w:ascii="Times New Roman" w:hAnsi="Times New Roman" w:cs="Times New Roman"/>
          <w:b/>
          <w:sz w:val="24"/>
          <w:szCs w:val="24"/>
        </w:rPr>
        <w:t xml:space="preserve">in In the Matter of the National Land Commission ([2014] </w:t>
      </w:r>
      <w:proofErr w:type="spellStart"/>
      <w:r w:rsidRPr="002C278E">
        <w:rPr>
          <w:rFonts w:ascii="Times New Roman" w:hAnsi="Times New Roman" w:cs="Times New Roman"/>
          <w:b/>
          <w:sz w:val="24"/>
          <w:szCs w:val="24"/>
        </w:rPr>
        <w:t>eKLR</w:t>
      </w:r>
      <w:proofErr w:type="spellEnd"/>
      <w:r w:rsidRPr="002C278E">
        <w:rPr>
          <w:rFonts w:ascii="Times New Roman" w:hAnsi="Times New Roman" w:cs="Times New Roman"/>
          <w:b/>
          <w:sz w:val="24"/>
          <w:szCs w:val="24"/>
        </w:rPr>
        <w:t xml:space="preserve"> Sup.Ct. Const. Application no. 2).</w:t>
      </w:r>
    </w:p>
    <w:p w:rsidR="00F8724B" w:rsidRPr="002C278E" w:rsidRDefault="00F8724B" w:rsidP="002C278E">
      <w:pPr>
        <w:spacing w:line="360" w:lineRule="auto"/>
        <w:rPr>
          <w:rFonts w:ascii="Times New Roman" w:hAnsi="Times New Roman" w:cs="Times New Roman"/>
          <w:b/>
          <w:sz w:val="24"/>
          <w:szCs w:val="24"/>
          <w:u w:val="single"/>
        </w:rPr>
      </w:pPr>
      <w:r w:rsidRPr="002C278E">
        <w:rPr>
          <w:rFonts w:ascii="Times New Roman" w:hAnsi="Times New Roman" w:cs="Times New Roman"/>
          <w:b/>
          <w:sz w:val="24"/>
          <w:szCs w:val="24"/>
          <w:u w:val="single"/>
        </w:rPr>
        <w:t>DIFFERENCES</w:t>
      </w:r>
    </w:p>
    <w:p w:rsidR="00F8724B" w:rsidRPr="002C278E" w:rsidRDefault="00086C0A" w:rsidP="002C278E">
      <w:pPr>
        <w:numPr>
          <w:ilvl w:val="0"/>
          <w:numId w:val="3"/>
        </w:numPr>
        <w:spacing w:line="360" w:lineRule="auto"/>
        <w:rPr>
          <w:rFonts w:ascii="Times New Roman" w:hAnsi="Times New Roman" w:cs="Times New Roman"/>
          <w:b/>
          <w:sz w:val="24"/>
          <w:szCs w:val="24"/>
          <w:u w:val="single"/>
        </w:rPr>
      </w:pPr>
      <w:r w:rsidRPr="002C278E">
        <w:rPr>
          <w:rFonts w:ascii="Times New Roman" w:hAnsi="Times New Roman" w:cs="Times New Roman"/>
          <w:sz w:val="24"/>
          <w:szCs w:val="24"/>
        </w:rPr>
        <w:t xml:space="preserve">A declaratory judgment still needs to be about an actual dispute between two or more parties while advisory opinion does not involve actual dispute mostly question on law </w:t>
      </w:r>
      <w:r w:rsidR="00F8724B" w:rsidRPr="002C278E">
        <w:rPr>
          <w:rFonts w:ascii="Times New Roman" w:hAnsi="Times New Roman" w:cs="Times New Roman"/>
          <w:sz w:val="24"/>
          <w:szCs w:val="24"/>
        </w:rPr>
        <w:t>.</w:t>
      </w:r>
    </w:p>
    <w:p w:rsidR="00F8724B" w:rsidRPr="002C278E" w:rsidRDefault="00F8724B" w:rsidP="002C278E">
      <w:pPr>
        <w:numPr>
          <w:ilvl w:val="0"/>
          <w:numId w:val="3"/>
        </w:numPr>
        <w:spacing w:line="360" w:lineRule="auto"/>
        <w:rPr>
          <w:rFonts w:ascii="Times New Roman" w:hAnsi="Times New Roman" w:cs="Times New Roman"/>
          <w:b/>
          <w:sz w:val="24"/>
          <w:szCs w:val="24"/>
          <w:u w:val="single"/>
        </w:rPr>
      </w:pPr>
      <w:r w:rsidRPr="002C278E">
        <w:rPr>
          <w:rFonts w:ascii="Times New Roman" w:hAnsi="Times New Roman" w:cs="Times New Roman"/>
          <w:sz w:val="24"/>
          <w:szCs w:val="24"/>
        </w:rPr>
        <w:lastRenderedPageBreak/>
        <w:t xml:space="preserve">Declaration can be granted by the lower courts such as High </w:t>
      </w:r>
      <w:r w:rsidR="002C278E" w:rsidRPr="002C278E">
        <w:rPr>
          <w:rFonts w:ascii="Times New Roman" w:hAnsi="Times New Roman" w:cs="Times New Roman"/>
          <w:sz w:val="24"/>
          <w:szCs w:val="24"/>
        </w:rPr>
        <w:t>courts where’s</w:t>
      </w:r>
      <w:r w:rsidRPr="002C278E">
        <w:rPr>
          <w:rFonts w:ascii="Times New Roman" w:hAnsi="Times New Roman" w:cs="Times New Roman"/>
          <w:sz w:val="24"/>
          <w:szCs w:val="24"/>
        </w:rPr>
        <w:t xml:space="preserve"> when it comes to Advisory opinion is usually granted by the supreme </w:t>
      </w:r>
      <w:r w:rsidR="002C278E" w:rsidRPr="002C278E">
        <w:rPr>
          <w:rFonts w:ascii="Times New Roman" w:hAnsi="Times New Roman" w:cs="Times New Roman"/>
          <w:sz w:val="24"/>
          <w:szCs w:val="24"/>
        </w:rPr>
        <w:t>court and</w:t>
      </w:r>
      <w:r w:rsidRPr="002C278E">
        <w:rPr>
          <w:rFonts w:ascii="Times New Roman" w:hAnsi="Times New Roman" w:cs="Times New Roman"/>
          <w:sz w:val="24"/>
          <w:szCs w:val="24"/>
        </w:rPr>
        <w:t xml:space="preserve"> the ICJ under international law .</w:t>
      </w:r>
    </w:p>
    <w:p w:rsidR="00F8724B" w:rsidRPr="002C278E" w:rsidRDefault="00F8724B" w:rsidP="002C278E">
      <w:pPr>
        <w:numPr>
          <w:ilvl w:val="0"/>
          <w:numId w:val="3"/>
        </w:numPr>
        <w:spacing w:line="360" w:lineRule="auto"/>
        <w:rPr>
          <w:rFonts w:ascii="Times New Roman" w:hAnsi="Times New Roman" w:cs="Times New Roman"/>
          <w:b/>
          <w:sz w:val="24"/>
          <w:szCs w:val="24"/>
          <w:u w:val="single"/>
        </w:rPr>
      </w:pPr>
      <w:r w:rsidRPr="002C278E">
        <w:rPr>
          <w:rFonts w:ascii="Times New Roman" w:hAnsi="Times New Roman" w:cs="Times New Roman"/>
          <w:sz w:val="24"/>
          <w:szCs w:val="24"/>
        </w:rPr>
        <w:t>Declaration claim need not to be of public interest however when it comes to Advisory opinion there mainly granted where the matter comes under public interest</w:t>
      </w:r>
    </w:p>
    <w:p w:rsidR="00F8724B" w:rsidRPr="002C278E" w:rsidRDefault="00F8724B" w:rsidP="002C278E">
      <w:pPr>
        <w:numPr>
          <w:ilvl w:val="0"/>
          <w:numId w:val="3"/>
        </w:numPr>
        <w:spacing w:line="360" w:lineRule="auto"/>
        <w:rPr>
          <w:rFonts w:ascii="Times New Roman" w:hAnsi="Times New Roman" w:cs="Times New Roman"/>
          <w:b/>
          <w:sz w:val="24"/>
          <w:szCs w:val="24"/>
          <w:u w:val="single"/>
        </w:rPr>
      </w:pPr>
      <w:r w:rsidRPr="002C278E">
        <w:rPr>
          <w:rFonts w:ascii="Times New Roman" w:hAnsi="Times New Roman" w:cs="Times New Roman"/>
          <w:sz w:val="24"/>
          <w:szCs w:val="24"/>
        </w:rPr>
        <w:t xml:space="preserve">  </w:t>
      </w:r>
      <w:r w:rsidRPr="002C278E">
        <w:rPr>
          <w:rFonts w:ascii="Times New Roman" w:hAnsi="Times New Roman" w:cs="Times New Roman"/>
          <w:b/>
          <w:sz w:val="24"/>
          <w:szCs w:val="24"/>
        </w:rPr>
        <w:t xml:space="preserve">A declaration </w:t>
      </w:r>
      <w:r w:rsidRPr="002C278E">
        <w:rPr>
          <w:rFonts w:ascii="Times New Roman" w:hAnsi="Times New Roman" w:cs="Times New Roman"/>
          <w:sz w:val="24"/>
          <w:szCs w:val="24"/>
        </w:rPr>
        <w:t xml:space="preserve">is a statement made by a court clarifying the law, or the rights and obligations of one party to </w:t>
      </w:r>
      <w:proofErr w:type="spellStart"/>
      <w:r w:rsidRPr="002C278E">
        <w:rPr>
          <w:rFonts w:ascii="Times New Roman" w:hAnsi="Times New Roman" w:cs="Times New Roman"/>
          <w:sz w:val="24"/>
          <w:szCs w:val="24"/>
        </w:rPr>
        <w:t>another.whrere</w:t>
      </w:r>
      <w:proofErr w:type="spellEnd"/>
      <w:r w:rsidRPr="002C278E">
        <w:rPr>
          <w:rFonts w:ascii="Times New Roman" w:hAnsi="Times New Roman" w:cs="Times New Roman"/>
          <w:sz w:val="24"/>
          <w:szCs w:val="24"/>
        </w:rPr>
        <w:t xml:space="preserve"> as in of the advisory </w:t>
      </w:r>
      <w:proofErr w:type="spellStart"/>
      <w:r w:rsidRPr="002C278E">
        <w:rPr>
          <w:rFonts w:ascii="Times New Roman" w:hAnsi="Times New Roman" w:cs="Times New Roman"/>
          <w:sz w:val="24"/>
          <w:szCs w:val="24"/>
        </w:rPr>
        <w:t>opnion</w:t>
      </w:r>
      <w:proofErr w:type="spellEnd"/>
      <w:r w:rsidRPr="002C278E">
        <w:rPr>
          <w:rFonts w:ascii="Times New Roman" w:hAnsi="Times New Roman" w:cs="Times New Roman"/>
          <w:sz w:val="24"/>
          <w:szCs w:val="24"/>
        </w:rPr>
        <w:t xml:space="preserve">  is, however, “not to settle at least directly  but to offer legal advice to the organs and institutions requesting the opinion</w:t>
      </w:r>
    </w:p>
    <w:p w:rsidR="00F8724B" w:rsidRPr="002C278E" w:rsidRDefault="00F8724B" w:rsidP="002C278E">
      <w:pPr>
        <w:numPr>
          <w:ilvl w:val="0"/>
          <w:numId w:val="3"/>
        </w:numPr>
        <w:spacing w:line="360" w:lineRule="auto"/>
        <w:rPr>
          <w:rFonts w:ascii="Times New Roman" w:hAnsi="Times New Roman" w:cs="Times New Roman"/>
          <w:sz w:val="24"/>
          <w:szCs w:val="24"/>
        </w:rPr>
      </w:pPr>
      <w:r w:rsidRPr="002C278E">
        <w:rPr>
          <w:rFonts w:ascii="Times New Roman" w:hAnsi="Times New Roman" w:cs="Times New Roman"/>
          <w:sz w:val="24"/>
          <w:szCs w:val="24"/>
        </w:rPr>
        <w:t>When a court makes a declaration, it simply ‘declares’ what the law is. It does not direct a party to take any particular action  , in Advisory opinions it  </w:t>
      </w:r>
      <w:hyperlink r:id="rId16" w:history="1">
        <w:r w:rsidRPr="002C278E">
          <w:rPr>
            <w:rStyle w:val="Hyperlink"/>
            <w:rFonts w:ascii="Times New Roman" w:hAnsi="Times New Roman" w:cs="Times New Roman"/>
            <w:color w:val="000000" w:themeColor="text1"/>
            <w:sz w:val="24"/>
            <w:szCs w:val="24"/>
            <w:u w:val="none"/>
          </w:rPr>
          <w:t>adjudicate</w:t>
        </w:r>
      </w:hyperlink>
      <w:r w:rsidRPr="002C278E">
        <w:rPr>
          <w:rFonts w:ascii="Times New Roman" w:hAnsi="Times New Roman" w:cs="Times New Roman"/>
          <w:sz w:val="24"/>
          <w:szCs w:val="24"/>
        </w:rPr>
        <w:t> nothing and are not binding, though courts sometimes cite them as evidence of the law.</w:t>
      </w:r>
    </w:p>
    <w:p w:rsidR="0080431B" w:rsidRPr="002C278E" w:rsidRDefault="008A6306" w:rsidP="002C278E">
      <w:pPr>
        <w:spacing w:line="360" w:lineRule="auto"/>
        <w:rPr>
          <w:rFonts w:ascii="Times New Roman" w:hAnsi="Times New Roman" w:cs="Times New Roman"/>
          <w:b/>
          <w:sz w:val="24"/>
          <w:szCs w:val="24"/>
          <w:u w:val="single"/>
        </w:rPr>
      </w:pPr>
    </w:p>
    <w:p w:rsidR="00F8724B" w:rsidRPr="002C278E" w:rsidRDefault="00F8724B" w:rsidP="002C278E">
      <w:pPr>
        <w:spacing w:line="360" w:lineRule="auto"/>
        <w:rPr>
          <w:rFonts w:ascii="Times New Roman" w:hAnsi="Times New Roman" w:cs="Times New Roman"/>
          <w:sz w:val="24"/>
          <w:szCs w:val="24"/>
        </w:rPr>
      </w:pPr>
    </w:p>
    <w:p w:rsidR="00F8724B" w:rsidRPr="002C278E" w:rsidRDefault="00F8724B" w:rsidP="002C278E">
      <w:pPr>
        <w:spacing w:line="360" w:lineRule="auto"/>
        <w:rPr>
          <w:rFonts w:ascii="Times New Roman" w:hAnsi="Times New Roman" w:cs="Times New Roman"/>
          <w:sz w:val="24"/>
          <w:szCs w:val="24"/>
        </w:rPr>
      </w:pPr>
    </w:p>
    <w:p w:rsidR="00F8724B" w:rsidRPr="002C278E" w:rsidRDefault="00F8724B" w:rsidP="002C278E">
      <w:pPr>
        <w:spacing w:line="360" w:lineRule="auto"/>
        <w:rPr>
          <w:rFonts w:ascii="Times New Roman" w:hAnsi="Times New Roman" w:cs="Times New Roman"/>
          <w:sz w:val="24"/>
          <w:szCs w:val="24"/>
        </w:rPr>
      </w:pPr>
    </w:p>
    <w:p w:rsidR="00F8724B" w:rsidRPr="002C278E" w:rsidRDefault="00F8724B" w:rsidP="002C278E">
      <w:pPr>
        <w:spacing w:line="360" w:lineRule="auto"/>
        <w:rPr>
          <w:rFonts w:ascii="Times New Roman" w:hAnsi="Times New Roman" w:cs="Times New Roman"/>
          <w:sz w:val="24"/>
          <w:szCs w:val="24"/>
        </w:rPr>
      </w:pPr>
    </w:p>
    <w:p w:rsidR="00F8724B" w:rsidRPr="002C278E" w:rsidRDefault="00F8724B" w:rsidP="002C278E">
      <w:pPr>
        <w:spacing w:line="360" w:lineRule="auto"/>
        <w:rPr>
          <w:rFonts w:ascii="Times New Roman" w:hAnsi="Times New Roman" w:cs="Times New Roman"/>
          <w:sz w:val="24"/>
          <w:szCs w:val="24"/>
        </w:rPr>
      </w:pPr>
    </w:p>
    <w:p w:rsidR="00F8724B" w:rsidRPr="002C278E" w:rsidRDefault="00F8724B" w:rsidP="002C278E">
      <w:pPr>
        <w:spacing w:line="360" w:lineRule="auto"/>
        <w:rPr>
          <w:rFonts w:ascii="Times New Roman" w:hAnsi="Times New Roman" w:cs="Times New Roman"/>
          <w:sz w:val="24"/>
          <w:szCs w:val="24"/>
        </w:rPr>
      </w:pPr>
    </w:p>
    <w:p w:rsidR="00F8724B" w:rsidRPr="002C278E" w:rsidRDefault="00F8724B" w:rsidP="002C278E">
      <w:pPr>
        <w:spacing w:line="360" w:lineRule="auto"/>
        <w:rPr>
          <w:rFonts w:ascii="Times New Roman" w:hAnsi="Times New Roman" w:cs="Times New Roman"/>
          <w:sz w:val="24"/>
          <w:szCs w:val="24"/>
        </w:rPr>
      </w:pPr>
    </w:p>
    <w:p w:rsidR="00F8724B" w:rsidRPr="002C278E" w:rsidRDefault="00F8724B" w:rsidP="002C278E">
      <w:pPr>
        <w:spacing w:line="360" w:lineRule="auto"/>
        <w:rPr>
          <w:rFonts w:ascii="Times New Roman" w:hAnsi="Times New Roman" w:cs="Times New Roman"/>
          <w:sz w:val="24"/>
          <w:szCs w:val="24"/>
        </w:rPr>
      </w:pPr>
    </w:p>
    <w:p w:rsidR="00F8724B" w:rsidRPr="002C278E" w:rsidRDefault="00F8724B" w:rsidP="002C278E">
      <w:pPr>
        <w:spacing w:line="360" w:lineRule="auto"/>
        <w:rPr>
          <w:rFonts w:ascii="Times New Roman" w:hAnsi="Times New Roman" w:cs="Times New Roman"/>
          <w:sz w:val="24"/>
          <w:szCs w:val="24"/>
        </w:rPr>
      </w:pPr>
    </w:p>
    <w:p w:rsidR="00F8724B" w:rsidRPr="002C278E" w:rsidRDefault="00F8724B" w:rsidP="002C278E">
      <w:pPr>
        <w:spacing w:line="360" w:lineRule="auto"/>
        <w:rPr>
          <w:rFonts w:ascii="Times New Roman" w:hAnsi="Times New Roman" w:cs="Times New Roman"/>
          <w:sz w:val="24"/>
          <w:szCs w:val="24"/>
        </w:rPr>
      </w:pPr>
    </w:p>
    <w:p w:rsidR="00F8724B" w:rsidRPr="002C278E" w:rsidRDefault="00F8724B" w:rsidP="002C278E">
      <w:pPr>
        <w:spacing w:line="360" w:lineRule="auto"/>
        <w:rPr>
          <w:rFonts w:ascii="Times New Roman" w:hAnsi="Times New Roman" w:cs="Times New Roman"/>
          <w:sz w:val="24"/>
          <w:szCs w:val="24"/>
        </w:rPr>
      </w:pPr>
    </w:p>
    <w:p w:rsidR="00F8724B" w:rsidRPr="002C278E" w:rsidRDefault="00F8724B" w:rsidP="002C278E">
      <w:pPr>
        <w:spacing w:line="360" w:lineRule="auto"/>
        <w:rPr>
          <w:rFonts w:ascii="Times New Roman" w:hAnsi="Times New Roman" w:cs="Times New Roman"/>
          <w:sz w:val="24"/>
          <w:szCs w:val="24"/>
        </w:rPr>
      </w:pPr>
    </w:p>
    <w:p w:rsidR="00F8724B" w:rsidRPr="002C278E" w:rsidRDefault="00F8724B" w:rsidP="002C278E">
      <w:pPr>
        <w:spacing w:line="360" w:lineRule="auto"/>
        <w:rPr>
          <w:rFonts w:ascii="Times New Roman" w:hAnsi="Times New Roman" w:cs="Times New Roman"/>
          <w:sz w:val="24"/>
          <w:szCs w:val="24"/>
        </w:rPr>
      </w:pPr>
    </w:p>
    <w:sectPr w:rsidR="00F8724B" w:rsidRPr="002C278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86C0A" w:rsidRDefault="00086C0A" w:rsidP="00F8724B">
      <w:pPr>
        <w:spacing w:after="0" w:line="240" w:lineRule="auto"/>
      </w:pPr>
      <w:r>
        <w:separator/>
      </w:r>
    </w:p>
  </w:endnote>
  <w:endnote w:type="continuationSeparator" w:id="0">
    <w:p w:rsidR="00086C0A" w:rsidRDefault="00086C0A" w:rsidP="00F872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86C0A" w:rsidRDefault="00086C0A" w:rsidP="00F8724B">
      <w:pPr>
        <w:spacing w:after="0" w:line="240" w:lineRule="auto"/>
      </w:pPr>
      <w:r>
        <w:separator/>
      </w:r>
    </w:p>
  </w:footnote>
  <w:footnote w:type="continuationSeparator" w:id="0">
    <w:p w:rsidR="00086C0A" w:rsidRDefault="00086C0A" w:rsidP="00F8724B">
      <w:pPr>
        <w:spacing w:after="0" w:line="240" w:lineRule="auto"/>
      </w:pPr>
      <w:r>
        <w:continuationSeparator/>
      </w:r>
    </w:p>
  </w:footnote>
  <w:footnote w:id="1">
    <w:p w:rsidR="00F8724B" w:rsidRDefault="00F8724B" w:rsidP="00F8724B">
      <w:pPr>
        <w:pStyle w:val="FootnoteText"/>
      </w:pPr>
      <w:r>
        <w:rPr>
          <w:rStyle w:val="FootnoteReference"/>
        </w:rPr>
        <w:footnoteRef/>
      </w:r>
      <w:r>
        <w:t xml:space="preserve"> </w:t>
      </w:r>
      <w:r w:rsidRPr="00D07DE6">
        <w:t>K. Oellers-Frahm, Article 96, in: B. Simma/D.-E. Khan/G. Nolte/A. Paulus (eds.), The Charter of the United Nations: A Commentary, Vol. II, 3rd ed. 2012, 1976</w:t>
      </w:r>
    </w:p>
  </w:footnote>
  <w:footnote w:id="2">
    <w:p w:rsidR="00F8724B" w:rsidRDefault="00F8724B" w:rsidP="00F8724B">
      <w:pPr>
        <w:pStyle w:val="FootnoteText"/>
      </w:pPr>
      <w:r>
        <w:rPr>
          <w:rStyle w:val="FootnoteReference"/>
        </w:rPr>
        <w:footnoteRef/>
      </w:r>
      <w:r>
        <w:t xml:space="preserve"> </w:t>
      </w:r>
      <w:r w:rsidRPr="00D07DE6">
        <w:t>E.g. Legality of the Threat or Use of Nuclear Weapons, ICJ Reports 1996, 226, at 236</w:t>
      </w:r>
    </w:p>
  </w:footnote>
  <w:footnote w:id="3">
    <w:p w:rsidR="00F8724B" w:rsidRDefault="00F8724B" w:rsidP="00F8724B">
      <w:pPr>
        <w:pStyle w:val="FootnoteText"/>
      </w:pPr>
      <w:r>
        <w:rPr>
          <w:rStyle w:val="FootnoteReference"/>
        </w:rPr>
        <w:footnoteRef/>
      </w:r>
      <w:r>
        <w:t xml:space="preserve"> </w:t>
      </w:r>
      <w:r w:rsidRPr="00D00005">
        <w:t>https://www.britannica.com/topic/advisory-opinion</w:t>
      </w:r>
    </w:p>
  </w:footnote>
  <w:footnote w:id="4">
    <w:p w:rsidR="00F8724B" w:rsidRDefault="00F8724B" w:rsidP="00F8724B">
      <w:pPr>
        <w:pStyle w:val="FootnoteText"/>
      </w:pPr>
      <w:r>
        <w:rPr>
          <w:rStyle w:val="FootnoteReference"/>
        </w:rPr>
        <w:footnoteRef/>
      </w:r>
      <w:r>
        <w:t xml:space="preserve"> </w:t>
      </w:r>
      <w:r w:rsidRPr="006A548E">
        <w:t>https://www.constitutionalstudies.ca/2019/07/declarations/#</w:t>
      </w:r>
    </w:p>
  </w:footnote>
  <w:footnote w:id="5">
    <w:p w:rsidR="00F8724B" w:rsidRDefault="00F8724B" w:rsidP="00F8724B">
      <w:pPr>
        <w:pStyle w:val="FootnoteText"/>
      </w:pPr>
      <w:r>
        <w:rPr>
          <w:rStyle w:val="FootnoteReference"/>
        </w:rPr>
        <w:footnoteRef/>
      </w:r>
      <w:r>
        <w:t xml:space="preserve"> </w:t>
      </w:r>
      <w:r w:rsidRPr="00BB13BE">
        <w:rPr>
          <w:i/>
          <w:iCs/>
        </w:rPr>
        <w:t>Newfoundland (Treasury Board) v NAPE</w:t>
      </w:r>
      <w:r w:rsidRPr="00BB13BE">
        <w:t>, 2004 SCC 66 at para 114, 3 SCR 381</w:t>
      </w:r>
    </w:p>
  </w:footnote>
  <w:footnote w:id="6">
    <w:p w:rsidR="00F8724B" w:rsidRDefault="00F8724B" w:rsidP="00F8724B">
      <w:pPr>
        <w:pStyle w:val="FootnoteText"/>
      </w:pPr>
      <w:r>
        <w:rPr>
          <w:rStyle w:val="FootnoteReference"/>
        </w:rPr>
        <w:footnoteRef/>
      </w:r>
      <w:r>
        <w:t xml:space="preserve"> </w:t>
      </w:r>
      <w:r w:rsidRPr="00E333B2">
        <w:t>Wall Opinion (note 11),157 et seq.</w:t>
      </w:r>
    </w:p>
  </w:footnote>
  <w:footnote w:id="7">
    <w:p w:rsidR="00F8724B" w:rsidRDefault="00F8724B" w:rsidP="00F8724B">
      <w:pPr>
        <w:pStyle w:val="FootnoteText"/>
      </w:pPr>
      <w:r>
        <w:rPr>
          <w:rStyle w:val="FootnoteReference"/>
        </w:rPr>
        <w:footnoteRef/>
      </w:r>
      <w:r>
        <w:t xml:space="preserve"> </w:t>
      </w:r>
      <w:r w:rsidRPr="00E333B2">
        <w:t xml:space="preserve">Interpretation of Peace Treaties with Bulgaria, Hungary and Romania, ICJ Reports 1950, 65, Separate Opinion of Judge </w:t>
      </w:r>
      <w:r w:rsidRPr="00E333B2">
        <w:t>Azevedo.</w:t>
      </w:r>
    </w:p>
  </w:footnote>
  <w:footnote w:id="8">
    <w:p w:rsidR="00F8724B" w:rsidRDefault="00F8724B" w:rsidP="00F8724B">
      <w:pPr>
        <w:pStyle w:val="FootnoteText"/>
      </w:pPr>
      <w:r>
        <w:rPr>
          <w:rStyle w:val="FootnoteReference"/>
        </w:rPr>
        <w:footnoteRef/>
      </w:r>
      <w:r>
        <w:t xml:space="preserve"> </w:t>
      </w:r>
      <w:r w:rsidRPr="00E333B2">
        <w:t xml:space="preserve">K. </w:t>
      </w:r>
      <w:r w:rsidRPr="00E333B2">
        <w:t>Oellers-Frahm, Lawmaking Through Advisory Opinions?, GLJ 12 (2011), 1033, at 1050 quoting Fitzmaurice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30A2A"/>
    <w:multiLevelType w:val="hybridMultilevel"/>
    <w:tmpl w:val="3A76200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8F5762"/>
    <w:multiLevelType w:val="hybridMultilevel"/>
    <w:tmpl w:val="08E454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391026"/>
    <w:multiLevelType w:val="hybridMultilevel"/>
    <w:tmpl w:val="4928D71A"/>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num w:numId="1" w16cid:durableId="610627711">
    <w:abstractNumId w:val="1"/>
  </w:num>
  <w:num w:numId="2" w16cid:durableId="655912212">
    <w:abstractNumId w:val="0"/>
  </w:num>
  <w:num w:numId="3" w16cid:durableId="18681772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24B"/>
    <w:rsid w:val="00086C0A"/>
    <w:rsid w:val="002C278E"/>
    <w:rsid w:val="008A6306"/>
    <w:rsid w:val="00D6430E"/>
    <w:rsid w:val="00F872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D3B03B-40C5-4401-A0B6-96C53487F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F8724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8724B"/>
    <w:rPr>
      <w:sz w:val="20"/>
      <w:szCs w:val="20"/>
    </w:rPr>
  </w:style>
  <w:style w:type="character" w:styleId="FootnoteReference">
    <w:name w:val="footnote reference"/>
    <w:basedOn w:val="DefaultParagraphFont"/>
    <w:uiPriority w:val="99"/>
    <w:semiHidden/>
    <w:unhideWhenUsed/>
    <w:rsid w:val="00F8724B"/>
    <w:rPr>
      <w:vertAlign w:val="superscript"/>
    </w:rPr>
  </w:style>
  <w:style w:type="character" w:styleId="Hyperlink">
    <w:name w:val="Hyperlink"/>
    <w:basedOn w:val="DefaultParagraphFont"/>
    <w:uiPriority w:val="99"/>
    <w:unhideWhenUsed/>
    <w:rsid w:val="00F8724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9675041">
      <w:bodyDiv w:val="1"/>
      <w:marLeft w:val="0"/>
      <w:marRight w:val="0"/>
      <w:marTop w:val="0"/>
      <w:marBottom w:val="0"/>
      <w:divBdr>
        <w:top w:val="none" w:sz="0" w:space="0" w:color="auto"/>
        <w:left w:val="none" w:sz="0" w:space="0" w:color="auto"/>
        <w:bottom w:val="none" w:sz="0" w:space="0" w:color="auto"/>
        <w:right w:val="none" w:sz="0" w:space="0" w:color="auto"/>
      </w:divBdr>
    </w:div>
    <w:div w:id="1529874980">
      <w:bodyDiv w:val="1"/>
      <w:marLeft w:val="0"/>
      <w:marRight w:val="0"/>
      <w:marTop w:val="0"/>
      <w:marBottom w:val="0"/>
      <w:divBdr>
        <w:top w:val="none" w:sz="0" w:space="0" w:color="auto"/>
        <w:left w:val="none" w:sz="0" w:space="0" w:color="auto"/>
        <w:bottom w:val="none" w:sz="0" w:space="0" w:color="auto"/>
        <w:right w:val="none" w:sz="0" w:space="0" w:color="auto"/>
      </w:divBdr>
    </w:div>
    <w:div w:id="1546209927">
      <w:bodyDiv w:val="1"/>
      <w:marLeft w:val="0"/>
      <w:marRight w:val="0"/>
      <w:marTop w:val="0"/>
      <w:marBottom w:val="0"/>
      <w:divBdr>
        <w:top w:val="none" w:sz="0" w:space="0" w:color="auto"/>
        <w:left w:val="none" w:sz="0" w:space="0" w:color="auto"/>
        <w:bottom w:val="none" w:sz="0" w:space="0" w:color="auto"/>
        <w:right w:val="none" w:sz="0" w:space="0" w:color="auto"/>
      </w:divBdr>
    </w:div>
    <w:div w:id="1975601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itannica.com/topic/court-law" TargetMode="External" /><Relationship Id="rId13" Type="http://schemas.openxmlformats.org/officeDocument/2006/relationships/hyperlink" Target="https://www.icj-cij.org/en/case/53" TargetMode="External" /><Relationship Id="rId1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hyperlink" Target="https://www.britannica.com/topic/judge-law" TargetMode="External" /><Relationship Id="rId12" Type="http://schemas.openxmlformats.org/officeDocument/2006/relationships/hyperlink" Target="https://www.icj-cij.org/en/case/4" TargetMode="External" /><Relationship Id="rId17"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hyperlink" Target="https://www.merriam-webster.com/dictionary/adjudicate" TargetMode="Externa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yperlink" Target="https://www.icj-cij.org/en/case/3" TargetMode="External" /><Relationship Id="rId5" Type="http://schemas.openxmlformats.org/officeDocument/2006/relationships/footnotes" Target="footnotes.xml" /><Relationship Id="rId15" Type="http://schemas.openxmlformats.org/officeDocument/2006/relationships/hyperlink" Target="https://www.icj-cij.org/en/case/100" TargetMode="External" /><Relationship Id="rId10" Type="http://schemas.openxmlformats.org/officeDocument/2006/relationships/hyperlink" Target="https://www.merriam-webster.com/dictionary/adjudicate" TargetMode="External" /><Relationship Id="rId4" Type="http://schemas.openxmlformats.org/officeDocument/2006/relationships/webSettings" Target="webSettings.xml" /><Relationship Id="rId9" Type="http://schemas.openxmlformats.org/officeDocument/2006/relationships/hyperlink" Target="https://www.britannica.com/topic/attorney-general" TargetMode="External" /><Relationship Id="rId14" Type="http://schemas.openxmlformats.org/officeDocument/2006/relationships/hyperlink" Target="https://www.icj-cij.org/en/case/8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2527</Words>
  <Characters>14410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library</dc:creator>
  <cp:keywords/>
  <dc:description/>
  <cp:lastModifiedBy>Doreen Kavoi</cp:lastModifiedBy>
  <cp:revision>2</cp:revision>
  <dcterms:created xsi:type="dcterms:W3CDTF">2022-05-13T10:57:00Z</dcterms:created>
  <dcterms:modified xsi:type="dcterms:W3CDTF">2022-05-13T10:57:00Z</dcterms:modified>
</cp:coreProperties>
</file>