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50B" w:rsidRDefault="00016FBC" w:rsidP="001B250B">
      <w:pPr>
        <w:spacing w:line="360" w:lineRule="auto"/>
        <w:jc w:val="center"/>
        <w:rPr>
          <w:rFonts w:ascii="Times New Roman" w:hAnsi="Times New Roman"/>
          <w:b/>
          <w:bCs/>
          <w:sz w:val="24"/>
          <w:szCs w:val="24"/>
        </w:rPr>
      </w:pPr>
      <w:r>
        <w:rPr>
          <w:rFonts w:ascii="Times New Roman" w:eastAsia="Calibri" w:hAnsi="Times New Roman"/>
          <w:noProof/>
          <w:color w:val="000000"/>
          <w:sz w:val="24"/>
          <w:szCs w:val="24"/>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34.25pt;height:135.75pt;visibility:visible;mso-wrap-style:square">
            <v:imagedata r:id="rId9" o:title=""/>
            <o:lock v:ext="edit" aspectratio="f"/>
          </v:shape>
        </w:pict>
      </w:r>
    </w:p>
    <w:p w:rsidR="001B250B" w:rsidRPr="00192E08" w:rsidRDefault="001B250B" w:rsidP="001C1418">
      <w:pPr>
        <w:spacing w:line="360" w:lineRule="auto"/>
        <w:jc w:val="center"/>
        <w:rPr>
          <w:rFonts w:ascii="Times New Roman" w:hAnsi="Times New Roman"/>
          <w:b/>
          <w:bCs/>
          <w:sz w:val="24"/>
          <w:szCs w:val="24"/>
        </w:rPr>
      </w:pPr>
      <w:r>
        <w:rPr>
          <w:rFonts w:ascii="Times New Roman" w:hAnsi="Times New Roman"/>
          <w:b/>
          <w:bCs/>
          <w:sz w:val="24"/>
          <w:szCs w:val="24"/>
        </w:rPr>
        <w:t>KENYA SCHOOL OF LAW</w:t>
      </w:r>
    </w:p>
    <w:p w:rsidR="001B250B" w:rsidRDefault="001B250B" w:rsidP="001B250B">
      <w:pPr>
        <w:spacing w:line="360" w:lineRule="auto"/>
        <w:jc w:val="center"/>
        <w:rPr>
          <w:rFonts w:ascii="Times New Roman" w:hAnsi="Times New Roman"/>
          <w:b/>
          <w:bCs/>
          <w:sz w:val="24"/>
          <w:szCs w:val="24"/>
        </w:rPr>
      </w:pPr>
      <w:r>
        <w:rPr>
          <w:rFonts w:ascii="Times New Roman" w:hAnsi="Times New Roman"/>
          <w:b/>
          <w:bCs/>
          <w:sz w:val="24"/>
          <w:szCs w:val="24"/>
        </w:rPr>
        <w:t>CIVIL LITIGATION-ATP 100</w:t>
      </w:r>
    </w:p>
    <w:p w:rsidR="001B250B" w:rsidRDefault="001B250B" w:rsidP="001B250B">
      <w:pPr>
        <w:spacing w:line="360" w:lineRule="auto"/>
        <w:jc w:val="center"/>
        <w:rPr>
          <w:rFonts w:ascii="Times New Roman" w:hAnsi="Times New Roman"/>
          <w:b/>
          <w:bCs/>
          <w:sz w:val="24"/>
          <w:szCs w:val="24"/>
        </w:rPr>
      </w:pPr>
      <w:r w:rsidRPr="00335656">
        <w:rPr>
          <w:rFonts w:ascii="Times New Roman" w:hAnsi="Times New Roman"/>
          <w:b/>
          <w:bCs/>
          <w:sz w:val="24"/>
          <w:szCs w:val="24"/>
        </w:rPr>
        <w:t>FIRM 2</w:t>
      </w:r>
      <w:r w:rsidR="00DE132A">
        <w:rPr>
          <w:rFonts w:ascii="Times New Roman" w:hAnsi="Times New Roman"/>
          <w:b/>
          <w:bCs/>
          <w:sz w:val="24"/>
          <w:szCs w:val="24"/>
        </w:rPr>
        <w:t xml:space="preserve"> CLASS G</w:t>
      </w:r>
      <w:r>
        <w:rPr>
          <w:rFonts w:ascii="Times New Roman" w:hAnsi="Times New Roman"/>
          <w:b/>
          <w:bCs/>
          <w:sz w:val="24"/>
          <w:szCs w:val="24"/>
        </w:rPr>
        <w:t xml:space="preserve">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410"/>
      </w:tblGrid>
      <w:tr w:rsidR="00740B28" w:rsidTr="00740B28">
        <w:tc>
          <w:tcPr>
            <w:tcW w:w="4675"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NAME</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REG. NUMBERS</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ALUSA ELVIS</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20240035</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MARY GITAARI</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20240038</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JIMMY MWANGI</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20240039</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TEDDY OKOTH</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20240043</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DAVID KIRAGURI W</w:t>
            </w:r>
            <w:r w:rsidR="00B15E68" w:rsidRPr="00740B28">
              <w:rPr>
                <w:rFonts w:ascii="Times New Roman" w:hAnsi="Times New Roman"/>
                <w:b/>
                <w:bCs/>
                <w:kern w:val="2"/>
                <w:sz w:val="24"/>
                <w:szCs w:val="24"/>
              </w:rPr>
              <w:t>A</w:t>
            </w:r>
            <w:r w:rsidRPr="00740B28">
              <w:rPr>
                <w:rFonts w:ascii="Times New Roman" w:hAnsi="Times New Roman"/>
                <w:b/>
                <w:bCs/>
                <w:kern w:val="2"/>
                <w:sz w:val="24"/>
                <w:szCs w:val="24"/>
              </w:rPr>
              <w:t>NJIRU</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20240046</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CHARLES NDOLO</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20240048</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LOISE THUGE</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20240052</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PRISCO MACHARIA</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20240053</w:t>
            </w:r>
          </w:p>
        </w:tc>
      </w:tr>
      <w:tr w:rsidR="009B236F" w:rsidTr="00740B28">
        <w:tc>
          <w:tcPr>
            <w:tcW w:w="4675" w:type="dxa"/>
            <w:shd w:val="clear" w:color="auto" w:fill="auto"/>
          </w:tcPr>
          <w:p w:rsidR="009B236F" w:rsidRPr="00740B28" w:rsidRDefault="00B15E68"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TSUWI THOMAS KALAMA</w:t>
            </w:r>
          </w:p>
        </w:tc>
        <w:tc>
          <w:tcPr>
            <w:tcW w:w="4410" w:type="dxa"/>
            <w:shd w:val="clear" w:color="auto" w:fill="auto"/>
          </w:tcPr>
          <w:p w:rsidR="009B236F" w:rsidRPr="00740B28" w:rsidRDefault="00B15E68"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20240675</w:t>
            </w:r>
          </w:p>
        </w:tc>
      </w:tr>
      <w:tr w:rsidR="00623A9E" w:rsidTr="00740B28">
        <w:tc>
          <w:tcPr>
            <w:tcW w:w="4675" w:type="dxa"/>
            <w:shd w:val="clear" w:color="auto" w:fill="auto"/>
          </w:tcPr>
          <w:p w:rsidR="00623A9E" w:rsidRPr="00740B28" w:rsidRDefault="00623A9E"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 xml:space="preserve"> CYNTHIA BENSON</w:t>
            </w:r>
          </w:p>
        </w:tc>
        <w:tc>
          <w:tcPr>
            <w:tcW w:w="4410" w:type="dxa"/>
            <w:shd w:val="clear" w:color="auto" w:fill="auto"/>
          </w:tcPr>
          <w:p w:rsidR="00623A9E" w:rsidRPr="00740B28" w:rsidRDefault="00623A9E"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20241941</w:t>
            </w:r>
          </w:p>
        </w:tc>
      </w:tr>
    </w:tbl>
    <w:p w:rsidR="001B250B" w:rsidRDefault="001B250B" w:rsidP="00015786">
      <w:pPr>
        <w:spacing w:after="0" w:line="360" w:lineRule="auto"/>
        <w:jc w:val="both"/>
        <w:rPr>
          <w:rFonts w:ascii="Times New Roman" w:hAnsi="Times New Roman"/>
          <w:b/>
          <w:sz w:val="24"/>
          <w:szCs w:val="24"/>
          <w:u w:val="single"/>
        </w:rPr>
      </w:pPr>
    </w:p>
    <w:p w:rsidR="00AC3EE9" w:rsidRPr="00015786" w:rsidRDefault="001B250B" w:rsidP="00015786">
      <w:pPr>
        <w:spacing w:after="0" w:line="360" w:lineRule="auto"/>
        <w:jc w:val="both"/>
        <w:rPr>
          <w:rFonts w:ascii="Times New Roman" w:hAnsi="Times New Roman"/>
          <w:b/>
          <w:sz w:val="24"/>
          <w:szCs w:val="24"/>
          <w:u w:val="single"/>
        </w:rPr>
      </w:pPr>
      <w:r w:rsidRPr="00FE0447">
        <w:rPr>
          <w:rFonts w:ascii="Times New Roman" w:hAnsi="Times New Roman"/>
          <w:b/>
          <w:sz w:val="24"/>
          <w:szCs w:val="24"/>
        </w:rPr>
        <w:br w:type="page"/>
      </w:r>
      <w:r w:rsidR="00AC3EE9" w:rsidRPr="00015786">
        <w:rPr>
          <w:rFonts w:ascii="Times New Roman" w:hAnsi="Times New Roman"/>
          <w:b/>
          <w:sz w:val="24"/>
          <w:szCs w:val="24"/>
          <w:u w:val="single"/>
        </w:rPr>
        <w:lastRenderedPageBreak/>
        <w:t>STATUTORY CONFERMENT OF JURISDITION</w:t>
      </w:r>
    </w:p>
    <w:p w:rsidR="00694B28" w:rsidRPr="00015786" w:rsidRDefault="006C4FBA" w:rsidP="00015786">
      <w:pPr>
        <w:spacing w:after="0" w:line="360" w:lineRule="auto"/>
        <w:jc w:val="both"/>
        <w:rPr>
          <w:rFonts w:ascii="Times New Roman" w:hAnsi="Times New Roman"/>
          <w:sz w:val="24"/>
          <w:szCs w:val="24"/>
        </w:rPr>
      </w:pPr>
      <w:r>
        <w:rPr>
          <w:rFonts w:ascii="Times New Roman" w:hAnsi="Times New Roman"/>
          <w:sz w:val="24"/>
          <w:szCs w:val="24"/>
        </w:rPr>
        <w:t>A court’s jurisdiction can emanate ei</w:t>
      </w:r>
      <w:r w:rsidR="00083A34">
        <w:rPr>
          <w:rFonts w:ascii="Times New Roman" w:hAnsi="Times New Roman"/>
          <w:sz w:val="24"/>
          <w:szCs w:val="24"/>
        </w:rPr>
        <w:t xml:space="preserve">ther from the constitution or </w:t>
      </w:r>
      <w:r>
        <w:rPr>
          <w:rFonts w:ascii="Times New Roman" w:hAnsi="Times New Roman"/>
          <w:sz w:val="24"/>
          <w:szCs w:val="24"/>
        </w:rPr>
        <w:t xml:space="preserve">legislation or both as illustrated </w:t>
      </w:r>
      <w:r w:rsidR="00694B28" w:rsidRPr="00015786">
        <w:rPr>
          <w:rFonts w:ascii="Times New Roman" w:hAnsi="Times New Roman"/>
          <w:sz w:val="24"/>
          <w:szCs w:val="24"/>
        </w:rPr>
        <w:t xml:space="preserve">In </w:t>
      </w:r>
      <w:r w:rsidR="00694B28" w:rsidRPr="00015786">
        <w:rPr>
          <w:rFonts w:ascii="Times New Roman" w:hAnsi="Times New Roman"/>
          <w:i/>
          <w:sz w:val="24"/>
          <w:szCs w:val="24"/>
        </w:rPr>
        <w:t>Samuel Kamau Macharia &amp; Another v. Kenya Commercial Bank Ltd. &amp; 2 Others</w:t>
      </w:r>
      <w:r w:rsidR="00694B28" w:rsidRPr="00015786">
        <w:rPr>
          <w:rStyle w:val="FootnoteReference"/>
          <w:rFonts w:ascii="Times New Roman" w:hAnsi="Times New Roman"/>
          <w:i/>
          <w:sz w:val="24"/>
          <w:szCs w:val="24"/>
        </w:rPr>
        <w:footnoteReference w:id="1"/>
      </w:r>
      <w:r w:rsidR="00694B28" w:rsidRPr="00015786">
        <w:rPr>
          <w:rFonts w:ascii="Times New Roman" w:hAnsi="Times New Roman"/>
          <w:i/>
          <w:sz w:val="24"/>
          <w:szCs w:val="24"/>
        </w:rPr>
        <w:t xml:space="preserve"> </w:t>
      </w:r>
      <w:r>
        <w:rPr>
          <w:rFonts w:ascii="Times New Roman" w:hAnsi="Times New Roman"/>
          <w:sz w:val="24"/>
          <w:szCs w:val="24"/>
        </w:rPr>
        <w:t xml:space="preserve">where </w:t>
      </w:r>
      <w:r w:rsidR="00694B28" w:rsidRPr="00015786">
        <w:rPr>
          <w:rFonts w:ascii="Times New Roman" w:hAnsi="Times New Roman"/>
          <w:sz w:val="24"/>
          <w:szCs w:val="24"/>
        </w:rPr>
        <w:t>it was held that:</w:t>
      </w:r>
    </w:p>
    <w:p w:rsidR="00887D3A" w:rsidRPr="00015786" w:rsidRDefault="00887D3A" w:rsidP="006C4FBA">
      <w:pPr>
        <w:spacing w:after="0" w:line="360" w:lineRule="auto"/>
        <w:ind w:left="720"/>
        <w:jc w:val="both"/>
        <w:rPr>
          <w:rFonts w:ascii="Times New Roman" w:hAnsi="Times New Roman"/>
          <w:sz w:val="24"/>
          <w:szCs w:val="24"/>
        </w:rPr>
      </w:pPr>
      <w:r w:rsidRPr="00015786">
        <w:rPr>
          <w:rFonts w:ascii="Times New Roman" w:hAnsi="Times New Roman"/>
          <w:sz w:val="24"/>
          <w:szCs w:val="24"/>
        </w:rPr>
        <w:t>A Court’s jurisdiction flows from either the Constitution or legislation or both. Thus, a Court of law can only exercise jurisdiction as conferred by the Constitution or other written law. It cannot arrogate to itself jurisdiction exceeding that which is conferred upon it by law. We agree with counsel for the first and second respondents in his submission that the issue as to whether a Court of law has jurisdiction to entertain a matter before it, is not one of mere procedural technicality; it goes to the very heart of the matter, for without jurisdiction, the Court cannot entertain any proceedings. This Court dealt with the question of jurisdiction extensively in, In the Matter of the Interim Independent El</w:t>
      </w:r>
      <w:r w:rsidR="00F866C2" w:rsidRPr="00015786">
        <w:rPr>
          <w:rFonts w:ascii="Times New Roman" w:hAnsi="Times New Roman"/>
          <w:sz w:val="24"/>
          <w:szCs w:val="24"/>
        </w:rPr>
        <w:t>ectoral Commission (Applicant).</w:t>
      </w:r>
      <w:r w:rsidR="00F866C2" w:rsidRPr="00015786">
        <w:rPr>
          <w:rStyle w:val="FootnoteReference"/>
          <w:rFonts w:ascii="Times New Roman" w:hAnsi="Times New Roman"/>
          <w:sz w:val="24"/>
          <w:szCs w:val="24"/>
        </w:rPr>
        <w:footnoteReference w:id="2"/>
      </w:r>
      <w:r w:rsidR="00F866C2" w:rsidRPr="00015786">
        <w:rPr>
          <w:rFonts w:ascii="Times New Roman" w:hAnsi="Times New Roman"/>
          <w:sz w:val="24"/>
          <w:szCs w:val="24"/>
        </w:rPr>
        <w:t xml:space="preserve"> </w:t>
      </w:r>
      <w:r w:rsidRPr="00015786">
        <w:rPr>
          <w:rFonts w:ascii="Times New Roman" w:hAnsi="Times New Roman"/>
          <w:sz w:val="24"/>
          <w:szCs w:val="24"/>
        </w:rPr>
        <w:t>Where the Constitution exhaustively provides for the jurisdiction of a Court of law, the Court must operate within the constitutional limits. It cannot expand its jurisdiction through judicial craft or innovation. Nor can Parliament confer jurisdiction upon a Court of law beyond the scope defined by the Constitution. Where the Constitution confers power upon Parliament to set the jurisdiction of a Court of law or tribunal, the legislature would be within its authority to prescribe the jurisdiction of such a Court or Tribunal by Statute law</w:t>
      </w:r>
    </w:p>
    <w:p w:rsidR="00F866C2" w:rsidRPr="00015786" w:rsidRDefault="00887D3A" w:rsidP="00015786">
      <w:pPr>
        <w:spacing w:after="0" w:line="360" w:lineRule="auto"/>
        <w:jc w:val="both"/>
        <w:rPr>
          <w:rFonts w:ascii="Times New Roman" w:hAnsi="Times New Roman"/>
          <w:sz w:val="24"/>
          <w:szCs w:val="24"/>
        </w:rPr>
      </w:pPr>
      <w:r w:rsidRPr="00015786">
        <w:rPr>
          <w:rFonts w:ascii="Times New Roman" w:hAnsi="Times New Roman"/>
          <w:sz w:val="24"/>
          <w:szCs w:val="24"/>
        </w:rPr>
        <w:t>Further, a</w:t>
      </w:r>
      <w:r w:rsidR="003A2132" w:rsidRPr="00015786">
        <w:rPr>
          <w:rFonts w:ascii="Times New Roman" w:hAnsi="Times New Roman"/>
          <w:sz w:val="24"/>
          <w:szCs w:val="24"/>
        </w:rPr>
        <w:t>s Nyara</w:t>
      </w:r>
      <w:r w:rsidR="00A16D48" w:rsidRPr="00015786">
        <w:rPr>
          <w:rFonts w:ascii="Times New Roman" w:hAnsi="Times New Roman"/>
          <w:sz w:val="24"/>
          <w:szCs w:val="24"/>
        </w:rPr>
        <w:t>n</w:t>
      </w:r>
      <w:r w:rsidR="006C4FBA">
        <w:rPr>
          <w:rFonts w:ascii="Times New Roman" w:hAnsi="Times New Roman"/>
          <w:sz w:val="24"/>
          <w:szCs w:val="24"/>
        </w:rPr>
        <w:t>gi J opined</w:t>
      </w:r>
      <w:r w:rsidR="003A2132" w:rsidRPr="00015786">
        <w:rPr>
          <w:rFonts w:ascii="Times New Roman" w:hAnsi="Times New Roman"/>
          <w:sz w:val="24"/>
          <w:szCs w:val="24"/>
        </w:rPr>
        <w:t xml:space="preserve">, </w:t>
      </w:r>
      <w:r w:rsidR="00A16D48" w:rsidRPr="00015786">
        <w:rPr>
          <w:rFonts w:ascii="Times New Roman" w:hAnsi="Times New Roman"/>
          <w:sz w:val="24"/>
          <w:szCs w:val="24"/>
        </w:rPr>
        <w:t>‘</w:t>
      </w:r>
      <w:r w:rsidR="00AC3EE9" w:rsidRPr="00015786">
        <w:rPr>
          <w:rFonts w:ascii="Times New Roman" w:hAnsi="Times New Roman"/>
          <w:sz w:val="24"/>
          <w:szCs w:val="24"/>
        </w:rPr>
        <w:t xml:space="preserve">Jurisdiction is </w:t>
      </w:r>
      <w:r w:rsidR="00230265" w:rsidRPr="00015786">
        <w:rPr>
          <w:rFonts w:ascii="Times New Roman" w:hAnsi="Times New Roman"/>
          <w:sz w:val="24"/>
          <w:szCs w:val="24"/>
        </w:rPr>
        <w:t>everything</w:t>
      </w:r>
      <w:r w:rsidR="00AC3EE9" w:rsidRPr="00015786">
        <w:rPr>
          <w:rFonts w:ascii="Times New Roman" w:hAnsi="Times New Roman"/>
          <w:sz w:val="24"/>
          <w:szCs w:val="24"/>
        </w:rPr>
        <w:t xml:space="preserve">. Without it, the court has no power to make one more step. A court lays down its tools in respect of the matter </w:t>
      </w:r>
      <w:r w:rsidR="00230265" w:rsidRPr="00015786">
        <w:rPr>
          <w:rFonts w:ascii="Times New Roman" w:hAnsi="Times New Roman"/>
          <w:sz w:val="24"/>
          <w:szCs w:val="24"/>
        </w:rPr>
        <w:t>before it</w:t>
      </w:r>
      <w:r w:rsidR="00AC3EE9" w:rsidRPr="00015786">
        <w:rPr>
          <w:rFonts w:ascii="Times New Roman" w:hAnsi="Times New Roman"/>
          <w:sz w:val="24"/>
          <w:szCs w:val="24"/>
        </w:rPr>
        <w:t xml:space="preserve"> the moment it holds the opinion that it is without jurisdiction.</w:t>
      </w:r>
      <w:r w:rsidR="00A16D48" w:rsidRPr="00015786">
        <w:rPr>
          <w:rFonts w:ascii="Times New Roman" w:hAnsi="Times New Roman"/>
          <w:sz w:val="24"/>
          <w:szCs w:val="24"/>
        </w:rPr>
        <w:t>’</w:t>
      </w:r>
      <w:r w:rsidR="00A16D48" w:rsidRPr="00015786">
        <w:rPr>
          <w:rStyle w:val="FootnoteReference"/>
          <w:rFonts w:ascii="Times New Roman" w:hAnsi="Times New Roman"/>
          <w:sz w:val="24"/>
          <w:szCs w:val="24"/>
        </w:rPr>
        <w:footnoteReference w:id="3"/>
      </w:r>
      <w:r w:rsidR="00BA0802" w:rsidRPr="00015786">
        <w:rPr>
          <w:rFonts w:ascii="Times New Roman" w:hAnsi="Times New Roman"/>
          <w:sz w:val="24"/>
          <w:szCs w:val="24"/>
        </w:rPr>
        <w:t xml:space="preserve"> In </w:t>
      </w:r>
      <w:r w:rsidR="00BA0802" w:rsidRPr="00015786">
        <w:rPr>
          <w:rFonts w:ascii="Times New Roman" w:hAnsi="Times New Roman"/>
          <w:b/>
          <w:i/>
          <w:sz w:val="24"/>
          <w:szCs w:val="24"/>
        </w:rPr>
        <w:t>Desai v warsama</w:t>
      </w:r>
      <w:r w:rsidR="00BA0802" w:rsidRPr="00015786">
        <w:rPr>
          <w:rFonts w:ascii="Times New Roman" w:hAnsi="Times New Roman"/>
          <w:sz w:val="24"/>
          <w:szCs w:val="24"/>
        </w:rPr>
        <w:t xml:space="preserve">, it was ruled that: </w:t>
      </w:r>
    </w:p>
    <w:p w:rsidR="004037F9" w:rsidRPr="00015786" w:rsidRDefault="00F866C2" w:rsidP="00B057FA">
      <w:pPr>
        <w:spacing w:after="0" w:line="360" w:lineRule="auto"/>
        <w:ind w:left="720"/>
        <w:jc w:val="both"/>
        <w:rPr>
          <w:rFonts w:ascii="Times New Roman" w:hAnsi="Times New Roman"/>
          <w:sz w:val="24"/>
          <w:szCs w:val="24"/>
        </w:rPr>
      </w:pPr>
      <w:r w:rsidRPr="00015786">
        <w:rPr>
          <w:rFonts w:ascii="Times New Roman" w:hAnsi="Times New Roman"/>
          <w:sz w:val="24"/>
          <w:szCs w:val="24"/>
        </w:rPr>
        <w:t>N</w:t>
      </w:r>
      <w:r w:rsidR="00BA0802" w:rsidRPr="00015786">
        <w:rPr>
          <w:rFonts w:ascii="Times New Roman" w:hAnsi="Times New Roman"/>
          <w:sz w:val="24"/>
          <w:szCs w:val="24"/>
        </w:rPr>
        <w:t>o court can confer jurisdiction upon itself and where a court assumes jurisdiction and proceeds to hear and matter determine a matter not within its jurisdiction, the proceedings and determination are nullities.</w:t>
      </w:r>
      <w:r w:rsidR="00BA0802" w:rsidRPr="00015786">
        <w:rPr>
          <w:rStyle w:val="FootnoteReference"/>
          <w:rFonts w:ascii="Times New Roman" w:hAnsi="Times New Roman"/>
          <w:sz w:val="24"/>
          <w:szCs w:val="24"/>
        </w:rPr>
        <w:footnoteReference w:id="4"/>
      </w:r>
    </w:p>
    <w:p w:rsidR="004037F9" w:rsidRPr="004037F9" w:rsidRDefault="00015786" w:rsidP="00015786">
      <w:pPr>
        <w:numPr>
          <w:ilvl w:val="0"/>
          <w:numId w:val="13"/>
        </w:numPr>
        <w:spacing w:after="0" w:line="360" w:lineRule="auto"/>
        <w:jc w:val="both"/>
        <w:rPr>
          <w:rFonts w:ascii="Times New Roman" w:eastAsia="Calibri" w:hAnsi="Times New Roman"/>
          <w:b/>
          <w:color w:val="2F2F2F"/>
          <w:sz w:val="24"/>
          <w:szCs w:val="24"/>
          <w:u w:val="single"/>
          <w:shd w:val="clear" w:color="auto" w:fill="FFFFFF"/>
          <w:lang w:val="en-GB" w:eastAsia="en-US"/>
        </w:rPr>
      </w:pPr>
      <w:r>
        <w:rPr>
          <w:rFonts w:ascii="Times New Roman" w:eastAsia="Calibri" w:hAnsi="Times New Roman"/>
          <w:b/>
          <w:color w:val="2F2F2F"/>
          <w:sz w:val="24"/>
          <w:szCs w:val="24"/>
          <w:u w:val="single"/>
          <w:shd w:val="clear" w:color="auto" w:fill="FFFFFF"/>
          <w:lang w:val="en-GB" w:eastAsia="en-US"/>
        </w:rPr>
        <w:t>JURISDICTION OF THE</w:t>
      </w:r>
      <w:r w:rsidRPr="004037F9">
        <w:rPr>
          <w:rFonts w:ascii="Times New Roman" w:eastAsia="Calibri" w:hAnsi="Times New Roman"/>
          <w:b/>
          <w:color w:val="2F2F2F"/>
          <w:sz w:val="24"/>
          <w:szCs w:val="24"/>
          <w:u w:val="single"/>
          <w:shd w:val="clear" w:color="auto" w:fill="FFFFFF"/>
          <w:lang w:val="en-GB" w:eastAsia="en-US"/>
        </w:rPr>
        <w:t xml:space="preserve"> SUPREME COURT</w:t>
      </w:r>
    </w:p>
    <w:p w:rsidR="004037F9" w:rsidRPr="004037F9" w:rsidRDefault="004037F9" w:rsidP="00015786">
      <w:pPr>
        <w:spacing w:after="0" w:line="360" w:lineRule="auto"/>
        <w:jc w:val="both"/>
        <w:rPr>
          <w:rFonts w:ascii="Times New Roman" w:eastAsia="Calibri" w:hAnsi="Times New Roman"/>
          <w:color w:val="2F2F2F"/>
          <w:sz w:val="24"/>
          <w:szCs w:val="24"/>
          <w:shd w:val="clear" w:color="auto" w:fill="FFFFFF"/>
          <w:lang w:val="en-GB" w:eastAsia="en-US"/>
        </w:rPr>
      </w:pPr>
      <w:r w:rsidRPr="004037F9">
        <w:rPr>
          <w:rFonts w:ascii="Times New Roman" w:eastAsia="Calibri" w:hAnsi="Times New Roman"/>
          <w:color w:val="2F2F2F"/>
          <w:sz w:val="24"/>
          <w:szCs w:val="24"/>
          <w:shd w:val="clear" w:color="auto" w:fill="FFFFFF"/>
          <w:lang w:val="en-GB" w:eastAsia="en-US"/>
        </w:rPr>
        <w:t>According to article 163(3) of the constitution</w:t>
      </w:r>
      <w:r w:rsidRPr="00015786">
        <w:rPr>
          <w:rFonts w:ascii="Times New Roman" w:eastAsia="Calibri" w:hAnsi="Times New Roman"/>
          <w:color w:val="2F2F2F"/>
          <w:sz w:val="24"/>
          <w:szCs w:val="24"/>
          <w:shd w:val="clear" w:color="auto" w:fill="FFFFFF"/>
          <w:vertAlign w:val="superscript"/>
          <w:lang w:val="en-GB" w:eastAsia="en-US"/>
        </w:rPr>
        <w:footnoteReference w:id="5"/>
      </w:r>
      <w:r w:rsidRPr="004037F9">
        <w:rPr>
          <w:rFonts w:ascii="Times New Roman" w:eastAsia="Calibri" w:hAnsi="Times New Roman"/>
          <w:color w:val="2F2F2F"/>
          <w:sz w:val="24"/>
          <w:szCs w:val="24"/>
          <w:shd w:val="clear" w:color="auto" w:fill="FFFFFF"/>
          <w:lang w:val="en-GB" w:eastAsia="en-US"/>
        </w:rPr>
        <w:t xml:space="preserve">The Supreme Court is conferred with exclusive and original jurisdiction to determine presidential election disputes and with appellate </w:t>
      </w:r>
      <w:r w:rsidRPr="004037F9">
        <w:rPr>
          <w:rFonts w:ascii="Times New Roman" w:eastAsia="Calibri" w:hAnsi="Times New Roman"/>
          <w:color w:val="2F2F2F"/>
          <w:sz w:val="24"/>
          <w:szCs w:val="24"/>
          <w:shd w:val="clear" w:color="auto" w:fill="FFFFFF"/>
          <w:lang w:val="en-GB" w:eastAsia="en-US"/>
        </w:rPr>
        <w:lastRenderedPageBreak/>
        <w:t>jurisdiction to determine appeals from the Court of Appeal that are of as of right involving the interpretation or application of the constitution or any other court or tribunal prescribed by law.</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Supreme Court act is an Act of Parliament to make further provision with respect to the operation of the Supreme Court pursuant to Article 163 (9) of the Constitution, and for connected purposes.</w:t>
      </w:r>
      <w:r w:rsidRPr="00015786">
        <w:rPr>
          <w:rFonts w:ascii="Times New Roman" w:eastAsia="Calibri" w:hAnsi="Times New Roman"/>
          <w:sz w:val="24"/>
          <w:szCs w:val="24"/>
          <w:vertAlign w:val="superscript"/>
          <w:lang w:val="en-GB" w:eastAsia="en-US"/>
        </w:rPr>
        <w:footnoteReference w:id="6"/>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According to section 12 of the Act</w:t>
      </w:r>
      <w:r w:rsidRPr="00015786">
        <w:rPr>
          <w:rFonts w:ascii="Times New Roman" w:eastAsia="Calibri" w:hAnsi="Times New Roman"/>
          <w:sz w:val="24"/>
          <w:szCs w:val="24"/>
          <w:vertAlign w:val="superscript"/>
          <w:lang w:val="en-GB" w:eastAsia="en-US"/>
        </w:rPr>
        <w:footnoteReference w:id="7"/>
      </w:r>
      <w:r w:rsidRPr="004037F9">
        <w:rPr>
          <w:rFonts w:ascii="Times New Roman" w:eastAsia="Calibri" w:hAnsi="Times New Roman"/>
          <w:sz w:val="24"/>
          <w:szCs w:val="24"/>
          <w:lang w:val="en-GB" w:eastAsia="en-US"/>
        </w:rPr>
        <w:t xml:space="preserve"> on the original jurisdiction of the Supreme Court, The court normally handles;</w:t>
      </w:r>
    </w:p>
    <w:p w:rsidR="004037F9" w:rsidRDefault="004037F9" w:rsidP="001F071E">
      <w:p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Determination of disputes arising out of presidential elections </w:t>
      </w:r>
      <w:r w:rsidR="001F071E">
        <w:rPr>
          <w:rFonts w:ascii="Times New Roman" w:eastAsia="Calibri" w:hAnsi="Times New Roman"/>
          <w:sz w:val="24"/>
          <w:szCs w:val="24"/>
          <w:lang w:val="en-GB" w:eastAsia="en-US"/>
        </w:rPr>
        <w:t xml:space="preserve">and provide further at sub-section two that </w:t>
      </w:r>
      <w:r w:rsidR="001F071E" w:rsidRPr="001F071E">
        <w:rPr>
          <w:rFonts w:ascii="Times New Roman" w:eastAsia="Calibri" w:hAnsi="Times New Roman"/>
          <w:sz w:val="24"/>
          <w:szCs w:val="24"/>
          <w:lang w:val="en-GB" w:eastAsia="en-US"/>
        </w:rPr>
        <w:t>he Independent Electoral and Bounda</w:t>
      </w:r>
      <w:r w:rsidR="001F071E">
        <w:rPr>
          <w:rFonts w:ascii="Times New Roman" w:eastAsia="Calibri" w:hAnsi="Times New Roman"/>
          <w:sz w:val="24"/>
          <w:szCs w:val="24"/>
          <w:lang w:val="en-GB" w:eastAsia="en-US"/>
        </w:rPr>
        <w:t xml:space="preserve">ries Commission shall, within a </w:t>
      </w:r>
      <w:r w:rsidR="001F071E" w:rsidRPr="001F071E">
        <w:rPr>
          <w:rFonts w:ascii="Times New Roman" w:eastAsia="Calibri" w:hAnsi="Times New Roman"/>
          <w:sz w:val="24"/>
          <w:szCs w:val="24"/>
          <w:lang w:val="en-GB" w:eastAsia="en-US"/>
        </w:rPr>
        <w:t>period of forty-eight hours from the date of the ser</w:t>
      </w:r>
      <w:r w:rsidR="001F071E">
        <w:rPr>
          <w:rFonts w:ascii="Times New Roman" w:eastAsia="Calibri" w:hAnsi="Times New Roman"/>
          <w:sz w:val="24"/>
          <w:szCs w:val="24"/>
          <w:lang w:val="en-GB" w:eastAsia="en-US"/>
        </w:rPr>
        <w:t xml:space="preserve">vice of a presidential election </w:t>
      </w:r>
      <w:r w:rsidR="001F071E" w:rsidRPr="001F071E">
        <w:rPr>
          <w:rFonts w:ascii="Times New Roman" w:eastAsia="Calibri" w:hAnsi="Times New Roman"/>
          <w:sz w:val="24"/>
          <w:szCs w:val="24"/>
          <w:lang w:val="en-GB" w:eastAsia="en-US"/>
        </w:rPr>
        <w:t>petition, submit to the Supreme Court certifi</w:t>
      </w:r>
      <w:r w:rsidR="001F071E">
        <w:rPr>
          <w:rFonts w:ascii="Times New Roman" w:eastAsia="Calibri" w:hAnsi="Times New Roman"/>
          <w:sz w:val="24"/>
          <w:szCs w:val="24"/>
          <w:lang w:val="en-GB" w:eastAsia="en-US"/>
        </w:rPr>
        <w:t xml:space="preserve">ed copies of the documents used </w:t>
      </w:r>
      <w:r w:rsidR="001F071E" w:rsidRPr="001F071E">
        <w:rPr>
          <w:rFonts w:ascii="Times New Roman" w:eastAsia="Calibri" w:hAnsi="Times New Roman"/>
          <w:sz w:val="24"/>
          <w:szCs w:val="24"/>
          <w:lang w:val="en-GB" w:eastAsia="en-US"/>
        </w:rPr>
        <w:t>to declare the results of the presidential electi</w:t>
      </w:r>
      <w:r w:rsidR="001F071E">
        <w:rPr>
          <w:rFonts w:ascii="Times New Roman" w:eastAsia="Calibri" w:hAnsi="Times New Roman"/>
          <w:sz w:val="24"/>
          <w:szCs w:val="24"/>
          <w:lang w:val="en-GB" w:eastAsia="en-US"/>
        </w:rPr>
        <w:t xml:space="preserve">on, including the forms used to </w:t>
      </w:r>
      <w:r w:rsidR="001F071E" w:rsidRPr="001F071E">
        <w:rPr>
          <w:rFonts w:ascii="Times New Roman" w:eastAsia="Calibri" w:hAnsi="Times New Roman"/>
          <w:sz w:val="24"/>
          <w:szCs w:val="24"/>
          <w:lang w:val="en-GB" w:eastAsia="en-US"/>
        </w:rPr>
        <w:t>announce the results of the election at the polli</w:t>
      </w:r>
      <w:r w:rsidR="001F071E">
        <w:rPr>
          <w:rFonts w:ascii="Times New Roman" w:eastAsia="Calibri" w:hAnsi="Times New Roman"/>
          <w:sz w:val="24"/>
          <w:szCs w:val="24"/>
          <w:lang w:val="en-GB" w:eastAsia="en-US"/>
        </w:rPr>
        <w:t xml:space="preserve">ng station and the constituency </w:t>
      </w:r>
      <w:r w:rsidR="001F071E" w:rsidRPr="001F071E">
        <w:rPr>
          <w:rFonts w:ascii="Times New Roman" w:eastAsia="Calibri" w:hAnsi="Times New Roman"/>
          <w:sz w:val="24"/>
          <w:szCs w:val="24"/>
          <w:lang w:val="en-GB" w:eastAsia="en-US"/>
        </w:rPr>
        <w:t>tallying centre and to declare the result at the national tallying centre.</w:t>
      </w:r>
    </w:p>
    <w:p w:rsidR="009F4A3C" w:rsidRPr="009F4A3C" w:rsidRDefault="009F4A3C" w:rsidP="001F071E">
      <w:pPr>
        <w:spacing w:after="0" w:line="360" w:lineRule="auto"/>
        <w:contextualSpacing/>
        <w:jc w:val="both"/>
        <w:rPr>
          <w:rFonts w:ascii="Times New Roman" w:eastAsia="Calibri" w:hAnsi="Times New Roman"/>
          <w:b/>
          <w:sz w:val="24"/>
          <w:szCs w:val="24"/>
          <w:u w:val="single"/>
          <w:lang w:val="en-GB" w:eastAsia="en-US"/>
        </w:rPr>
      </w:pPr>
      <w:r w:rsidRPr="009F4A3C">
        <w:rPr>
          <w:rFonts w:ascii="Times New Roman" w:eastAsia="Calibri" w:hAnsi="Times New Roman"/>
          <w:b/>
          <w:sz w:val="24"/>
          <w:szCs w:val="24"/>
          <w:u w:val="single"/>
          <w:lang w:val="en-GB" w:eastAsia="en-US"/>
        </w:rPr>
        <w:t>Advisory Opinion</w:t>
      </w:r>
    </w:p>
    <w:p w:rsidR="001F071E" w:rsidRDefault="00BB17D1" w:rsidP="00015786">
      <w:pPr>
        <w:spacing w:after="0" w:line="360" w:lineRule="auto"/>
        <w:jc w:val="both"/>
        <w:rPr>
          <w:rFonts w:ascii="Times New Roman" w:eastAsia="Calibri" w:hAnsi="Times New Roman"/>
          <w:sz w:val="24"/>
          <w:szCs w:val="24"/>
          <w:lang w:val="en-GB" w:eastAsia="en-US"/>
        </w:rPr>
      </w:pPr>
      <w:r>
        <w:rPr>
          <w:rFonts w:ascii="Times New Roman" w:eastAsia="Calibri" w:hAnsi="Times New Roman"/>
          <w:sz w:val="24"/>
          <w:szCs w:val="24"/>
          <w:lang w:val="en-GB" w:eastAsia="en-US"/>
        </w:rPr>
        <w:t>The court may give advisory opinion</w:t>
      </w:r>
      <w:r w:rsidR="001F071E">
        <w:rPr>
          <w:rFonts w:ascii="Times New Roman" w:eastAsia="Calibri" w:hAnsi="Times New Roman"/>
          <w:sz w:val="24"/>
          <w:szCs w:val="24"/>
          <w:lang w:val="en-GB" w:eastAsia="en-US"/>
        </w:rPr>
        <w:t xml:space="preserve"> under article 163(6)</w:t>
      </w:r>
      <w:r w:rsidR="004037F9" w:rsidRPr="004037F9">
        <w:rPr>
          <w:rFonts w:ascii="Times New Roman" w:eastAsia="Calibri" w:hAnsi="Times New Roman"/>
          <w:sz w:val="24"/>
          <w:szCs w:val="24"/>
          <w:lang w:val="en-GB" w:eastAsia="en-US"/>
        </w:rPr>
        <w:t xml:space="preserve"> of the Constitution to the</w:t>
      </w:r>
      <w:r w:rsidR="001F071E">
        <w:rPr>
          <w:rFonts w:ascii="Times New Roman" w:eastAsia="Calibri" w:hAnsi="Times New Roman"/>
          <w:sz w:val="24"/>
          <w:szCs w:val="24"/>
          <w:lang w:val="en-GB" w:eastAsia="en-US"/>
        </w:rPr>
        <w:t xml:space="preserve"> </w:t>
      </w:r>
    </w:p>
    <w:p w:rsidR="001F071E" w:rsidRDefault="001F071E" w:rsidP="001F071E">
      <w:pPr>
        <w:numPr>
          <w:ilvl w:val="0"/>
          <w:numId w:val="33"/>
        </w:numPr>
        <w:spacing w:after="0" w:line="360" w:lineRule="auto"/>
        <w:jc w:val="both"/>
        <w:rPr>
          <w:rFonts w:ascii="Times New Roman" w:eastAsia="Calibri" w:hAnsi="Times New Roman"/>
          <w:sz w:val="24"/>
          <w:szCs w:val="24"/>
          <w:lang w:val="en-GB" w:eastAsia="en-US"/>
        </w:rPr>
      </w:pPr>
      <w:r>
        <w:rPr>
          <w:rFonts w:ascii="Times New Roman" w:eastAsia="Calibri" w:hAnsi="Times New Roman"/>
          <w:sz w:val="24"/>
          <w:szCs w:val="24"/>
          <w:lang w:val="en-GB" w:eastAsia="en-US"/>
        </w:rPr>
        <w:t>N</w:t>
      </w:r>
      <w:r w:rsidR="004037F9" w:rsidRPr="004037F9">
        <w:rPr>
          <w:rFonts w:ascii="Times New Roman" w:eastAsia="Calibri" w:hAnsi="Times New Roman"/>
          <w:sz w:val="24"/>
          <w:szCs w:val="24"/>
          <w:lang w:val="en-GB" w:eastAsia="en-US"/>
        </w:rPr>
        <w:t>ational government,</w:t>
      </w:r>
    </w:p>
    <w:p w:rsidR="001F071E" w:rsidRDefault="001F071E" w:rsidP="001F071E">
      <w:pPr>
        <w:numPr>
          <w:ilvl w:val="0"/>
          <w:numId w:val="33"/>
        </w:numPr>
        <w:spacing w:after="0" w:line="360" w:lineRule="auto"/>
        <w:jc w:val="both"/>
        <w:rPr>
          <w:rFonts w:ascii="Times New Roman" w:eastAsia="Calibri" w:hAnsi="Times New Roman"/>
          <w:sz w:val="24"/>
          <w:szCs w:val="24"/>
          <w:lang w:val="en-GB" w:eastAsia="en-US"/>
        </w:rPr>
      </w:pPr>
      <w:r>
        <w:rPr>
          <w:rFonts w:ascii="Times New Roman" w:eastAsia="Calibri" w:hAnsi="Times New Roman"/>
          <w:sz w:val="24"/>
          <w:szCs w:val="24"/>
          <w:lang w:val="en-GB" w:eastAsia="en-US"/>
        </w:rPr>
        <w:t>A</w:t>
      </w:r>
      <w:r w:rsidR="004037F9" w:rsidRPr="004037F9">
        <w:rPr>
          <w:rFonts w:ascii="Times New Roman" w:eastAsia="Calibri" w:hAnsi="Times New Roman"/>
          <w:sz w:val="24"/>
          <w:szCs w:val="24"/>
          <w:lang w:val="en-GB" w:eastAsia="en-US"/>
        </w:rPr>
        <w:t xml:space="preserve">ny state organ, </w:t>
      </w:r>
    </w:p>
    <w:p w:rsidR="004037F9" w:rsidRPr="004037F9" w:rsidRDefault="001F071E" w:rsidP="001F071E">
      <w:pPr>
        <w:numPr>
          <w:ilvl w:val="0"/>
          <w:numId w:val="33"/>
        </w:numPr>
        <w:spacing w:after="0" w:line="360" w:lineRule="auto"/>
        <w:jc w:val="both"/>
        <w:rPr>
          <w:rFonts w:ascii="Times New Roman" w:eastAsia="Calibri" w:hAnsi="Times New Roman"/>
          <w:sz w:val="24"/>
          <w:szCs w:val="24"/>
          <w:lang w:val="en-GB" w:eastAsia="en-US"/>
        </w:rPr>
      </w:pPr>
      <w:r>
        <w:rPr>
          <w:rFonts w:ascii="Times New Roman" w:eastAsia="Calibri" w:hAnsi="Times New Roman"/>
          <w:sz w:val="24"/>
          <w:szCs w:val="24"/>
          <w:lang w:val="en-GB" w:eastAsia="en-US"/>
        </w:rPr>
        <w:t>O</w:t>
      </w:r>
      <w:r w:rsidR="004037F9" w:rsidRPr="004037F9">
        <w:rPr>
          <w:rFonts w:ascii="Times New Roman" w:eastAsia="Calibri" w:hAnsi="Times New Roman"/>
          <w:sz w:val="24"/>
          <w:szCs w:val="24"/>
          <w:lang w:val="en-GB" w:eastAsia="en-US"/>
        </w:rPr>
        <w:t>r any county government with respect to any matter concerning county government.</w:t>
      </w:r>
      <w:r>
        <w:rPr>
          <w:rStyle w:val="FootnoteReference"/>
          <w:rFonts w:ascii="Times New Roman" w:eastAsia="Calibri" w:hAnsi="Times New Roman"/>
          <w:sz w:val="24"/>
          <w:szCs w:val="24"/>
          <w:lang w:val="en-GB" w:eastAsia="en-US"/>
        </w:rPr>
        <w:footnoteReference w:id="8"/>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In the Matter of the Interim Independent Electoral Commission the Court held:</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The only parties that can make a request for an Advisory Opinion are the national government, a State organ, or county government. Any other person or institution may only be enjoined in the proceedings with leave of the Court, either as an intervener (interested party) or as amicus curiae’</w:t>
      </w:r>
      <w:r w:rsidRPr="00015786">
        <w:rPr>
          <w:rFonts w:ascii="Times New Roman" w:eastAsia="Calibri" w:hAnsi="Times New Roman"/>
          <w:sz w:val="24"/>
          <w:szCs w:val="24"/>
          <w:vertAlign w:val="superscript"/>
          <w:lang w:val="en-GB" w:eastAsia="en-US"/>
        </w:rPr>
        <w:footnoteReference w:id="9"/>
      </w:r>
    </w:p>
    <w:p w:rsid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However, the Court may decline to assume jurisdiction on the subject matter in question, and state its reasons.  An advisory opinion has the same binding effect as any other decided case.</w:t>
      </w:r>
    </w:p>
    <w:p w:rsidR="009F4A3C" w:rsidRDefault="009F4A3C" w:rsidP="00015786">
      <w:pPr>
        <w:spacing w:after="0" w:line="360" w:lineRule="auto"/>
        <w:jc w:val="both"/>
        <w:rPr>
          <w:rFonts w:ascii="Times New Roman" w:eastAsia="Calibri" w:hAnsi="Times New Roman"/>
          <w:sz w:val="24"/>
          <w:szCs w:val="24"/>
          <w:lang w:val="en-GB" w:eastAsia="en-US"/>
        </w:rPr>
      </w:pPr>
    </w:p>
    <w:p w:rsidR="009F4A3C" w:rsidRDefault="009F4A3C" w:rsidP="00015786">
      <w:pPr>
        <w:spacing w:after="0" w:line="360" w:lineRule="auto"/>
        <w:jc w:val="both"/>
        <w:rPr>
          <w:rFonts w:ascii="Times New Roman" w:eastAsia="Calibri" w:hAnsi="Times New Roman"/>
          <w:sz w:val="24"/>
          <w:szCs w:val="24"/>
          <w:lang w:val="en-GB" w:eastAsia="en-US"/>
        </w:rPr>
      </w:pPr>
    </w:p>
    <w:p w:rsidR="009F4A3C" w:rsidRDefault="009F4A3C" w:rsidP="00015786">
      <w:pPr>
        <w:spacing w:after="0" w:line="360" w:lineRule="auto"/>
        <w:jc w:val="both"/>
        <w:rPr>
          <w:rFonts w:ascii="Times New Roman" w:eastAsia="Calibri" w:hAnsi="Times New Roman"/>
          <w:b/>
          <w:sz w:val="24"/>
          <w:szCs w:val="24"/>
          <w:u w:val="single"/>
          <w:lang w:val="en-GB" w:eastAsia="en-US"/>
        </w:rPr>
      </w:pPr>
      <w:r w:rsidRPr="009F4A3C">
        <w:rPr>
          <w:rFonts w:ascii="Times New Roman" w:eastAsia="Calibri" w:hAnsi="Times New Roman"/>
          <w:b/>
          <w:sz w:val="24"/>
          <w:szCs w:val="24"/>
          <w:u w:val="single"/>
          <w:lang w:val="en-GB" w:eastAsia="en-US"/>
        </w:rPr>
        <w:lastRenderedPageBreak/>
        <w:t>Determination of state of emergency</w:t>
      </w:r>
      <w:r w:rsidR="006C5626">
        <w:rPr>
          <w:rFonts w:ascii="Times New Roman" w:eastAsia="Calibri" w:hAnsi="Times New Roman"/>
          <w:b/>
          <w:sz w:val="24"/>
          <w:szCs w:val="24"/>
          <w:u w:val="single"/>
          <w:lang w:val="en-GB" w:eastAsia="en-US"/>
        </w:rPr>
        <w:t xml:space="preserve"> </w:t>
      </w:r>
    </w:p>
    <w:p w:rsidR="009F4A3C" w:rsidRPr="009F4A3C" w:rsidRDefault="009F4A3C" w:rsidP="00015786">
      <w:pPr>
        <w:spacing w:after="0" w:line="360" w:lineRule="auto"/>
        <w:jc w:val="both"/>
        <w:rPr>
          <w:rFonts w:ascii="Times New Roman" w:eastAsia="Calibri" w:hAnsi="Times New Roman"/>
          <w:sz w:val="24"/>
          <w:szCs w:val="24"/>
          <w:lang w:val="en-GB" w:eastAsia="en-US"/>
        </w:rPr>
      </w:pPr>
      <w:r>
        <w:rPr>
          <w:rFonts w:ascii="Times New Roman" w:eastAsia="Calibri" w:hAnsi="Times New Roman"/>
          <w:sz w:val="24"/>
          <w:szCs w:val="24"/>
          <w:lang w:val="en-GB" w:eastAsia="en-US"/>
        </w:rPr>
        <w:t xml:space="preserve">The </w:t>
      </w:r>
      <w:r w:rsidR="005B69FE">
        <w:rPr>
          <w:rFonts w:ascii="Times New Roman" w:eastAsia="Calibri" w:hAnsi="Times New Roman"/>
          <w:sz w:val="24"/>
          <w:szCs w:val="24"/>
          <w:lang w:val="en-GB" w:eastAsia="en-US"/>
        </w:rPr>
        <w:t>S</w:t>
      </w:r>
      <w:r>
        <w:rPr>
          <w:rFonts w:ascii="Times New Roman" w:eastAsia="Calibri" w:hAnsi="Times New Roman"/>
          <w:sz w:val="24"/>
          <w:szCs w:val="24"/>
          <w:lang w:val="en-GB" w:eastAsia="en-US"/>
        </w:rPr>
        <w:t xml:space="preserve">upreme </w:t>
      </w:r>
      <w:r w:rsidR="005B69FE">
        <w:rPr>
          <w:rFonts w:ascii="Times New Roman" w:eastAsia="Calibri" w:hAnsi="Times New Roman"/>
          <w:sz w:val="24"/>
          <w:szCs w:val="24"/>
          <w:lang w:val="en-GB" w:eastAsia="en-US"/>
        </w:rPr>
        <w:t>C</w:t>
      </w:r>
      <w:r>
        <w:rPr>
          <w:rFonts w:ascii="Times New Roman" w:eastAsia="Calibri" w:hAnsi="Times New Roman"/>
          <w:sz w:val="24"/>
          <w:szCs w:val="24"/>
          <w:lang w:val="en-GB" w:eastAsia="en-US"/>
        </w:rPr>
        <w:t xml:space="preserve">ourt has the original jurisdiction to here </w:t>
      </w:r>
      <w:proofErr w:type="gramStart"/>
      <w:r w:rsidR="005B69FE">
        <w:rPr>
          <w:rFonts w:ascii="Times New Roman" w:eastAsia="Calibri" w:hAnsi="Times New Roman"/>
          <w:sz w:val="24"/>
          <w:szCs w:val="24"/>
          <w:lang w:val="en-GB" w:eastAsia="en-US"/>
        </w:rPr>
        <w:t>matters</w:t>
      </w:r>
      <w:proofErr w:type="gramEnd"/>
      <w:r w:rsidR="005B69FE">
        <w:rPr>
          <w:rFonts w:ascii="Times New Roman" w:eastAsia="Calibri" w:hAnsi="Times New Roman"/>
          <w:sz w:val="24"/>
          <w:szCs w:val="24"/>
          <w:lang w:val="en-GB" w:eastAsia="en-US"/>
        </w:rPr>
        <w:t xml:space="preserve"> </w:t>
      </w:r>
      <w:r>
        <w:rPr>
          <w:rFonts w:ascii="Times New Roman" w:eastAsia="Calibri" w:hAnsi="Times New Roman"/>
          <w:sz w:val="24"/>
          <w:szCs w:val="24"/>
          <w:lang w:val="en-GB" w:eastAsia="en-US"/>
        </w:rPr>
        <w:t>pertaining a stat</w:t>
      </w:r>
      <w:r w:rsidR="005B69FE">
        <w:rPr>
          <w:rFonts w:ascii="Times New Roman" w:eastAsia="Calibri" w:hAnsi="Times New Roman"/>
          <w:sz w:val="24"/>
          <w:szCs w:val="24"/>
          <w:lang w:val="en-GB" w:eastAsia="en-US"/>
        </w:rPr>
        <w:t>e of emergency and the Supreme C</w:t>
      </w:r>
      <w:r>
        <w:rPr>
          <w:rFonts w:ascii="Times New Roman" w:eastAsia="Calibri" w:hAnsi="Times New Roman"/>
          <w:sz w:val="24"/>
          <w:szCs w:val="24"/>
          <w:lang w:val="en-GB" w:eastAsia="en-US"/>
        </w:rPr>
        <w:t>ourt Act provides</w:t>
      </w:r>
      <w:r w:rsidR="005B69FE">
        <w:rPr>
          <w:rFonts w:ascii="Times New Roman" w:eastAsia="Calibri" w:hAnsi="Times New Roman"/>
          <w:sz w:val="24"/>
          <w:szCs w:val="24"/>
          <w:lang w:val="en-GB" w:eastAsia="en-US"/>
        </w:rPr>
        <w:t>:</w:t>
      </w:r>
    </w:p>
    <w:p w:rsidR="004037F9" w:rsidRPr="004037F9" w:rsidRDefault="004037F9" w:rsidP="00015786">
      <w:pPr>
        <w:numPr>
          <w:ilvl w:val="0"/>
          <w:numId w:val="8"/>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Determinations in a state of emergency Pursuant to Article 58(5) of the Constitution, a person may petition the Supreme Court for determination of the validity of — </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 declaration of a state of emergency</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Any extension of a declaration of a state of emergency</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Any legislation enacted or other action taken in consequence of a declaration of a state of emergency.</w:t>
      </w:r>
      <w:r w:rsidR="006C5626">
        <w:rPr>
          <w:rStyle w:val="FootnoteReference"/>
          <w:rFonts w:ascii="Times New Roman" w:eastAsia="Calibri" w:hAnsi="Times New Roman"/>
          <w:sz w:val="24"/>
          <w:szCs w:val="24"/>
          <w:lang w:val="en-GB" w:eastAsia="en-US"/>
        </w:rPr>
        <w:footnoteReference w:id="10"/>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Any petition concerning the state of emergency is to be made in accordance with the Rules made under the Act.</w:t>
      </w:r>
    </w:p>
    <w:p w:rsidR="004037F9" w:rsidRPr="004037F9" w:rsidRDefault="00265A79" w:rsidP="00015786">
      <w:pPr>
        <w:spacing w:after="0" w:line="360" w:lineRule="auto"/>
        <w:jc w:val="both"/>
        <w:rPr>
          <w:rFonts w:ascii="Times New Roman" w:eastAsia="Calibri" w:hAnsi="Times New Roman"/>
          <w:b/>
          <w:sz w:val="24"/>
          <w:szCs w:val="24"/>
          <w:u w:val="single"/>
          <w:lang w:val="en-GB" w:eastAsia="en-US"/>
        </w:rPr>
      </w:pPr>
      <w:r>
        <w:rPr>
          <w:rFonts w:ascii="Times New Roman" w:eastAsia="Calibri" w:hAnsi="Times New Roman"/>
          <w:b/>
          <w:sz w:val="24"/>
          <w:szCs w:val="24"/>
          <w:u w:val="single"/>
          <w:lang w:val="en-GB" w:eastAsia="en-US"/>
        </w:rPr>
        <w:t>Appellate Jurisdiction o</w:t>
      </w:r>
      <w:r w:rsidR="004037F9" w:rsidRPr="004037F9">
        <w:rPr>
          <w:rFonts w:ascii="Times New Roman" w:eastAsia="Calibri" w:hAnsi="Times New Roman"/>
          <w:b/>
          <w:sz w:val="24"/>
          <w:szCs w:val="24"/>
          <w:u w:val="single"/>
          <w:lang w:val="en-GB" w:eastAsia="en-US"/>
        </w:rPr>
        <w:t xml:space="preserve">f The Supreme Court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b/>
          <w:sz w:val="24"/>
          <w:szCs w:val="24"/>
          <w:u w:val="single"/>
          <w:lang w:val="en-GB" w:eastAsia="en-US"/>
        </w:rPr>
        <w:t>Appeals by leave</w:t>
      </w:r>
      <w:r w:rsidRPr="004037F9">
        <w:rPr>
          <w:rFonts w:ascii="Times New Roman" w:eastAsia="Calibri" w:hAnsi="Times New Roman"/>
          <w:sz w:val="24"/>
          <w:szCs w:val="24"/>
          <w:lang w:val="en-GB" w:eastAsia="en-US"/>
        </w:rPr>
        <w:t xml:space="preserve"> </w:t>
      </w:r>
    </w:p>
    <w:p w:rsidR="00015786" w:rsidRPr="00015786"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Appeals to the Supreme Court shall be heard only with the leave of the Court except to appeals from the Court of Appeal in respect of matters relating to the interpretation or application of the Constitution.</w:t>
      </w:r>
      <w:r w:rsidRPr="00015786">
        <w:rPr>
          <w:rFonts w:ascii="Times New Roman" w:eastAsia="Calibri" w:hAnsi="Times New Roman"/>
          <w:sz w:val="24"/>
          <w:szCs w:val="24"/>
          <w:vertAlign w:val="superscript"/>
          <w:lang w:val="en-GB" w:eastAsia="en-US"/>
        </w:rPr>
        <w:footnoteReference w:id="11"/>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b/>
          <w:sz w:val="24"/>
          <w:szCs w:val="24"/>
          <w:u w:val="single"/>
          <w:lang w:val="en-GB" w:eastAsia="en-US"/>
        </w:rPr>
        <w:t>Appeal as of right</w:t>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sz w:val="24"/>
          <w:szCs w:val="24"/>
          <w:lang w:val="en-GB" w:eastAsia="en-US"/>
        </w:rPr>
        <w:t>Pursuant to Article 163 (4)(a) of the Constitution, appeals shall lie from the Court of Appeal to the Supreme Court as of right in any case involving the interpretation of the Constitution.</w:t>
      </w:r>
      <w:r w:rsidRPr="00015786">
        <w:rPr>
          <w:rFonts w:ascii="Times New Roman" w:eastAsia="Calibri" w:hAnsi="Times New Roman"/>
          <w:sz w:val="24"/>
          <w:szCs w:val="24"/>
          <w:vertAlign w:val="superscript"/>
          <w:lang w:val="en-GB" w:eastAsia="en-US"/>
        </w:rPr>
        <w:footnoteReference w:id="12"/>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b/>
          <w:sz w:val="24"/>
          <w:szCs w:val="24"/>
          <w:u w:val="single"/>
          <w:lang w:val="en-GB" w:eastAsia="en-US"/>
        </w:rPr>
        <w:t>Appeal upon certification</w:t>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 Any appeal to the Supreme Court involving a matter of general public importance shall only be made—</w:t>
      </w:r>
    </w:p>
    <w:p w:rsidR="004037F9" w:rsidRPr="004037F9" w:rsidRDefault="004037F9" w:rsidP="00015786">
      <w:pPr>
        <w:numPr>
          <w:ilvl w:val="0"/>
          <w:numId w:val="10"/>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Upon certification by the Court of Appeal or</w:t>
      </w:r>
    </w:p>
    <w:p w:rsidR="004037F9" w:rsidRPr="004037F9" w:rsidRDefault="004037F9" w:rsidP="00015786">
      <w:pPr>
        <w:numPr>
          <w:ilvl w:val="0"/>
          <w:numId w:val="10"/>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Upon certification by the Supreme Court in accordance with Article 163 (4) (b) of the Constitution.</w:t>
      </w:r>
      <w:r w:rsidRPr="00015786">
        <w:rPr>
          <w:rFonts w:ascii="Times New Roman" w:eastAsia="Calibri" w:hAnsi="Times New Roman"/>
          <w:sz w:val="24"/>
          <w:szCs w:val="24"/>
          <w:vertAlign w:val="superscript"/>
          <w:lang w:val="en-GB" w:eastAsia="en-US"/>
        </w:rPr>
        <w:footnoteReference w:id="13"/>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 An application for certification shall be filed before, and determined by the Court of Appeal at the first instance.</w:t>
      </w:r>
      <w:r w:rsidRPr="00015786">
        <w:rPr>
          <w:rFonts w:ascii="Times New Roman" w:eastAsia="Calibri" w:hAnsi="Times New Roman"/>
          <w:sz w:val="24"/>
          <w:szCs w:val="24"/>
          <w:vertAlign w:val="superscript"/>
          <w:lang w:val="en-GB" w:eastAsia="en-US"/>
        </w:rPr>
        <w:footnoteReference w:id="14"/>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lastRenderedPageBreak/>
        <w:t xml:space="preserve"> </w:t>
      </w:r>
      <w:r w:rsidRPr="004037F9">
        <w:rPr>
          <w:rFonts w:ascii="Times New Roman" w:eastAsia="Calibri" w:hAnsi="Times New Roman"/>
          <w:b/>
          <w:sz w:val="24"/>
          <w:szCs w:val="24"/>
          <w:u w:val="single"/>
          <w:lang w:val="en-GB" w:eastAsia="en-US"/>
        </w:rPr>
        <w:t>Direct appeals from tribunals</w:t>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Act provides that, a judge of a superior court aggrieved by the decision of a tribunal made under Article 168 of the Constitution may appeal directly to the Supreme Court, within ten days after the tribunal makes its recommendations.</w:t>
      </w:r>
      <w:r w:rsidRPr="00015786">
        <w:rPr>
          <w:rFonts w:ascii="Times New Roman" w:eastAsia="Calibri" w:hAnsi="Times New Roman"/>
          <w:sz w:val="24"/>
          <w:szCs w:val="24"/>
          <w:vertAlign w:val="superscript"/>
          <w:lang w:val="en-GB" w:eastAsia="en-US"/>
        </w:rPr>
        <w:footnoteReference w:id="15"/>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appeal shall be heard and determined in accordance with the procedure set out under the Rules.</w:t>
      </w:r>
      <w:r w:rsidRPr="00015786">
        <w:rPr>
          <w:rFonts w:ascii="Times New Roman" w:eastAsia="Calibri" w:hAnsi="Times New Roman"/>
          <w:sz w:val="24"/>
          <w:szCs w:val="24"/>
          <w:vertAlign w:val="superscript"/>
          <w:lang w:val="en-GB" w:eastAsia="en-US"/>
        </w:rPr>
        <w:footnoteReference w:id="16"/>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b/>
          <w:sz w:val="24"/>
          <w:szCs w:val="24"/>
          <w:u w:val="single"/>
          <w:lang w:val="en-GB" w:eastAsia="en-US"/>
        </w:rPr>
        <w:t>Review of own decision</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Supreme Court may review its own decision, either on its own motion, or upon application by a party in any</w:t>
      </w:r>
      <w:r w:rsidR="002A7785">
        <w:rPr>
          <w:rFonts w:ascii="Times New Roman" w:eastAsia="Calibri" w:hAnsi="Times New Roman"/>
          <w:sz w:val="24"/>
          <w:szCs w:val="24"/>
          <w:lang w:val="en-GB" w:eastAsia="en-US"/>
        </w:rPr>
        <w:t xml:space="preserve"> of the following circumstances:</w:t>
      </w:r>
      <w:r w:rsidR="002A7785">
        <w:rPr>
          <w:rStyle w:val="FootnoteReference"/>
          <w:rFonts w:ascii="Times New Roman" w:eastAsia="Calibri" w:hAnsi="Times New Roman"/>
          <w:sz w:val="24"/>
          <w:szCs w:val="24"/>
          <w:lang w:val="en-GB" w:eastAsia="en-US"/>
        </w:rPr>
        <w:footnoteReference w:id="17"/>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judgement, ruling or order was obtained through fraud, deceit or misrepresentation of facts;</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 xml:space="preserve"> Where the judgement, ruling or order is a nullity by virtue of being made by a court which was not competent;</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court was misled into giving a judgement, ruling or order under the belief that the parties have consented; or</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judgement, ruling or order was rendered on the basis of repealed law, or as a result of a deliberate concealment of a statutory provision</w:t>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sz w:val="24"/>
          <w:szCs w:val="24"/>
          <w:lang w:val="en-GB" w:eastAsia="en-US"/>
        </w:rPr>
        <w:t xml:space="preserve">In </w:t>
      </w:r>
      <w:r w:rsidRPr="004037F9">
        <w:rPr>
          <w:rFonts w:ascii="Times New Roman" w:eastAsia="Calibri" w:hAnsi="Times New Roman"/>
          <w:i/>
          <w:sz w:val="24"/>
          <w:szCs w:val="24"/>
          <w:lang w:val="en-GB" w:eastAsia="en-US"/>
        </w:rPr>
        <w:t xml:space="preserve">Wanjigi v Chebukati &amp; 2 others </w:t>
      </w:r>
      <w:r w:rsidRPr="004037F9">
        <w:rPr>
          <w:rFonts w:ascii="Times New Roman" w:eastAsia="Calibri" w:hAnsi="Times New Roman"/>
          <w:sz w:val="24"/>
          <w:szCs w:val="24"/>
          <w:lang w:val="en-GB" w:eastAsia="en-US"/>
        </w:rPr>
        <w:t>the court set the principles a party should comply with when appealing to the Supreme Court in a matter which had originated in the High Court by way of judicial review were as follows;</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Not all judicial review matters were appealable to the Supreme Court, as of right;</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It was open to the party concerned to move the court on appeal under article 163(4)(b) of the </w:t>
      </w:r>
      <w:hyperlink r:id="rId10" w:tgtFrame="_blank" w:history="1">
        <w:r w:rsidRPr="004037F9">
          <w:rPr>
            <w:rFonts w:ascii="Times New Roman" w:eastAsia="Times New Roman" w:hAnsi="Times New Roman"/>
            <w:sz w:val="24"/>
            <w:szCs w:val="24"/>
            <w:lang w:val="en-GB" w:eastAsia="en-GB"/>
          </w:rPr>
          <w:t>Constitution</w:t>
        </w:r>
      </w:hyperlink>
      <w:r w:rsidRPr="004037F9">
        <w:rPr>
          <w:rFonts w:ascii="Times New Roman" w:eastAsia="Times New Roman" w:hAnsi="Times New Roman"/>
          <w:sz w:val="24"/>
          <w:szCs w:val="24"/>
          <w:lang w:val="en-GB" w:eastAsia="en-GB"/>
        </w:rPr>
        <w:t>, in which, the normal certification process applied;</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such an appeal came under article 163(4)(a) the </w:t>
      </w:r>
      <w:hyperlink r:id="rId11" w:tgtFrame="_blank" w:history="1">
        <w:r w:rsidRPr="004037F9">
          <w:rPr>
            <w:rFonts w:ascii="Times New Roman" w:eastAsia="Times New Roman" w:hAnsi="Times New Roman"/>
            <w:sz w:val="24"/>
            <w:szCs w:val="24"/>
            <w:lang w:val="en-GB" w:eastAsia="en-GB"/>
          </w:rPr>
          <w:t>Constitution</w:t>
        </w:r>
      </w:hyperlink>
      <w:r w:rsidRPr="004037F9">
        <w:rPr>
          <w:rFonts w:ascii="Times New Roman" w:eastAsia="Times New Roman" w:hAnsi="Times New Roman"/>
          <w:sz w:val="24"/>
          <w:szCs w:val="24"/>
          <w:lang w:val="en-GB" w:eastAsia="en-GB"/>
        </w:rPr>
        <w:t>, the petitioner was to identify the particular(s) of constitutional character that was canvassed at both the High Court and the Court of Appeal;</w:t>
      </w:r>
    </w:p>
    <w:p w:rsidR="004037F9" w:rsidRPr="00015786"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 xml:space="preserve">The party concerned should demonstrate that the superior courts had misdirected themselves in relation to prescribed constitutional principles, and either granted, or failed </w:t>
      </w:r>
      <w:r w:rsidRPr="004037F9">
        <w:rPr>
          <w:rFonts w:ascii="Times New Roman" w:eastAsia="Times New Roman" w:hAnsi="Times New Roman"/>
          <w:sz w:val="24"/>
          <w:szCs w:val="24"/>
          <w:lang w:val="en-GB" w:eastAsia="en-GB"/>
        </w:rPr>
        <w:lastRenderedPageBreak/>
        <w:t>to grant judicial review remedies, the resulting decisions standing out as illegal, irrational, and/or unprocedural, hence unconstitutional.</w:t>
      </w:r>
    </w:p>
    <w:p w:rsidR="009C08C2" w:rsidRPr="00015786" w:rsidRDefault="00015786" w:rsidP="00015786">
      <w:pPr>
        <w:numPr>
          <w:ilvl w:val="0"/>
          <w:numId w:val="13"/>
        </w:numPr>
        <w:spacing w:after="0" w:line="360" w:lineRule="auto"/>
        <w:jc w:val="both"/>
        <w:rPr>
          <w:rFonts w:ascii="Times New Roman" w:hAnsi="Times New Roman"/>
          <w:b/>
          <w:sz w:val="24"/>
          <w:szCs w:val="24"/>
        </w:rPr>
      </w:pPr>
      <w:r w:rsidRPr="00015786">
        <w:rPr>
          <w:rFonts w:ascii="Times New Roman" w:hAnsi="Times New Roman"/>
          <w:b/>
          <w:sz w:val="24"/>
          <w:szCs w:val="24"/>
          <w:u w:val="single"/>
        </w:rPr>
        <w:t>JURISDICTION OF THE COURT OF APPEAL</w:t>
      </w:r>
      <w:r w:rsidRPr="00015786">
        <w:rPr>
          <w:rFonts w:ascii="Times New Roman" w:hAnsi="Times New Roman"/>
          <w:b/>
          <w:sz w:val="24"/>
          <w:szCs w:val="24"/>
        </w:rPr>
        <w:tab/>
      </w:r>
    </w:p>
    <w:p w:rsidR="00E844E7" w:rsidRPr="00015786" w:rsidRDefault="00E844E7" w:rsidP="00015786">
      <w:pPr>
        <w:spacing w:after="0" w:line="360" w:lineRule="auto"/>
        <w:jc w:val="both"/>
        <w:rPr>
          <w:rFonts w:ascii="Times New Roman" w:hAnsi="Times New Roman"/>
          <w:b/>
          <w:sz w:val="24"/>
          <w:szCs w:val="24"/>
          <w:u w:val="single"/>
        </w:rPr>
      </w:pPr>
      <w:r w:rsidRPr="00015786">
        <w:rPr>
          <w:rFonts w:ascii="Times New Roman" w:hAnsi="Times New Roman"/>
          <w:sz w:val="24"/>
          <w:szCs w:val="24"/>
        </w:rPr>
        <w:t>The</w:t>
      </w:r>
      <w:r w:rsidR="00520EBA" w:rsidRPr="00015786">
        <w:rPr>
          <w:rFonts w:ascii="Times New Roman" w:hAnsi="Times New Roman"/>
          <w:sz w:val="24"/>
          <w:szCs w:val="24"/>
        </w:rPr>
        <w:t xml:space="preserve"> statute conferring</w:t>
      </w:r>
      <w:r w:rsidRPr="00015786">
        <w:rPr>
          <w:rFonts w:ascii="Times New Roman" w:hAnsi="Times New Roman"/>
          <w:sz w:val="24"/>
          <w:szCs w:val="24"/>
        </w:rPr>
        <w:t xml:space="preserve"> </w:t>
      </w:r>
      <w:r w:rsidR="00520EBA" w:rsidRPr="00015786">
        <w:rPr>
          <w:rFonts w:ascii="Times New Roman" w:hAnsi="Times New Roman"/>
          <w:sz w:val="24"/>
          <w:szCs w:val="24"/>
        </w:rPr>
        <w:t>jurisdiction on</w:t>
      </w:r>
      <w:r w:rsidRPr="00015786">
        <w:rPr>
          <w:rFonts w:ascii="Times New Roman" w:hAnsi="Times New Roman"/>
          <w:sz w:val="24"/>
          <w:szCs w:val="24"/>
        </w:rPr>
        <w:t xml:space="preserve"> the court of appeal of Kenya </w:t>
      </w:r>
      <w:r w:rsidR="00520EBA" w:rsidRPr="00015786">
        <w:rPr>
          <w:rFonts w:ascii="Times New Roman" w:hAnsi="Times New Roman"/>
          <w:sz w:val="24"/>
          <w:szCs w:val="24"/>
        </w:rPr>
        <w:t>is the appellate Jurisdiction Act under section 3 which states as follows:</w:t>
      </w:r>
    </w:p>
    <w:p w:rsidR="00E844E7"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The Court of Appeal shall have jurisdiction to hear and determine appeals from the High Court and any other Court or Tribunal prescribed by an Act of Parliament in cases in which an appeal lies to the Court of Appeal under any law.</w:t>
      </w:r>
      <w:r w:rsidR="00E844E7" w:rsidRPr="00015786">
        <w:rPr>
          <w:rStyle w:val="FootnoteReference"/>
          <w:rFonts w:ascii="Times New Roman" w:hAnsi="Times New Roman"/>
          <w:sz w:val="24"/>
          <w:szCs w:val="24"/>
        </w:rPr>
        <w:footnoteReference w:id="18"/>
      </w:r>
      <w:r w:rsidRPr="00015786">
        <w:rPr>
          <w:rFonts w:ascii="Times New Roman" w:hAnsi="Times New Roman"/>
          <w:sz w:val="24"/>
          <w:szCs w:val="24"/>
        </w:rPr>
        <w:tab/>
      </w:r>
    </w:p>
    <w:p w:rsidR="009C08C2"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For all purposes of and incidental to the hearing and determination of any appeal in the exercise of the jurisdiction conferred by this Act, the Court of Appeal shall have, in addition to any other power, authority and jurisdiction conferred by this Act, the power, authority and jurisdiction vested in the High Court.</w:t>
      </w:r>
      <w:r w:rsidR="00E844E7" w:rsidRPr="00015786">
        <w:rPr>
          <w:rStyle w:val="FootnoteReference"/>
          <w:rFonts w:ascii="Times New Roman" w:hAnsi="Times New Roman"/>
          <w:sz w:val="24"/>
          <w:szCs w:val="24"/>
        </w:rPr>
        <w:footnoteReference w:id="19"/>
      </w:r>
    </w:p>
    <w:p w:rsidR="002E3C84"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In the hearing of an appeal in the exercise of the jurisdiction conferred by this Act, the law to be applied shall be the law applicable to the case in the High Court.</w:t>
      </w:r>
      <w:r w:rsidR="00E844E7" w:rsidRPr="00015786">
        <w:rPr>
          <w:rStyle w:val="FootnoteReference"/>
          <w:rFonts w:ascii="Times New Roman" w:hAnsi="Times New Roman"/>
          <w:sz w:val="24"/>
          <w:szCs w:val="24"/>
        </w:rPr>
        <w:footnoteReference w:id="20"/>
      </w:r>
    </w:p>
    <w:p w:rsidR="00451459" w:rsidRDefault="00451459" w:rsidP="00451459">
      <w:pPr>
        <w:numPr>
          <w:ilvl w:val="0"/>
          <w:numId w:val="13"/>
        </w:numPr>
        <w:spacing w:after="0" w:line="360" w:lineRule="auto"/>
        <w:jc w:val="both"/>
        <w:rPr>
          <w:rFonts w:ascii="Times New Roman" w:hAnsi="Times New Roman"/>
          <w:b/>
          <w:sz w:val="24"/>
          <w:szCs w:val="24"/>
          <w:u w:val="single"/>
        </w:rPr>
      </w:pPr>
      <w:r w:rsidRPr="008909DE">
        <w:rPr>
          <w:rFonts w:ascii="Times New Roman" w:hAnsi="Times New Roman"/>
          <w:b/>
          <w:sz w:val="24"/>
          <w:szCs w:val="24"/>
          <w:u w:val="single"/>
        </w:rPr>
        <w:t>JURISDICTION OF THE HIGH C</w:t>
      </w:r>
      <w:r w:rsidR="0050189D">
        <w:rPr>
          <w:rFonts w:ascii="Times New Roman" w:hAnsi="Times New Roman"/>
          <w:b/>
          <w:sz w:val="24"/>
          <w:szCs w:val="24"/>
          <w:u w:val="single"/>
        </w:rPr>
        <w:t>OURT</w:t>
      </w:r>
    </w:p>
    <w:p w:rsidR="0003698B" w:rsidRDefault="006225C9" w:rsidP="0003698B">
      <w:pPr>
        <w:spacing w:after="0" w:line="360" w:lineRule="auto"/>
        <w:jc w:val="both"/>
        <w:rPr>
          <w:rFonts w:ascii="Times New Roman" w:hAnsi="Times New Roman"/>
          <w:b/>
          <w:sz w:val="24"/>
          <w:szCs w:val="24"/>
          <w:u w:val="single"/>
        </w:rPr>
      </w:pPr>
      <w:r>
        <w:rPr>
          <w:rFonts w:ascii="Times New Roman" w:hAnsi="Times New Roman"/>
          <w:b/>
          <w:sz w:val="24"/>
          <w:szCs w:val="24"/>
          <w:u w:val="single"/>
        </w:rPr>
        <w:t xml:space="preserve">Jurisdiction as per the </w:t>
      </w:r>
      <w:r w:rsidRPr="0003698B">
        <w:rPr>
          <w:rFonts w:ascii="Times New Roman" w:hAnsi="Times New Roman"/>
          <w:b/>
          <w:sz w:val="24"/>
          <w:szCs w:val="24"/>
          <w:u w:val="single"/>
        </w:rPr>
        <w:t>high court organization and administration</w:t>
      </w:r>
      <w:r>
        <w:rPr>
          <w:rFonts w:ascii="Times New Roman" w:hAnsi="Times New Roman"/>
          <w:b/>
          <w:sz w:val="24"/>
          <w:szCs w:val="24"/>
          <w:u w:val="single"/>
        </w:rPr>
        <w:t xml:space="preserve"> act</w:t>
      </w:r>
    </w:p>
    <w:p w:rsidR="0050189D" w:rsidRPr="0050189D" w:rsidRDefault="00451459" w:rsidP="0050189D">
      <w:pPr>
        <w:spacing w:after="0" w:line="360" w:lineRule="auto"/>
        <w:jc w:val="both"/>
        <w:rPr>
          <w:rFonts w:ascii="Times New Roman" w:hAnsi="Times New Roman"/>
          <w:sz w:val="24"/>
          <w:szCs w:val="24"/>
        </w:rPr>
      </w:pPr>
      <w:r>
        <w:rPr>
          <w:rFonts w:ascii="Times New Roman" w:hAnsi="Times New Roman"/>
          <w:sz w:val="24"/>
          <w:szCs w:val="24"/>
        </w:rPr>
        <w:t>It important to note; most of the jurisdiction of this court is well outlined in the Constitution of Kenya.</w:t>
      </w:r>
      <w:r w:rsidR="0050189D">
        <w:rPr>
          <w:rFonts w:ascii="Times New Roman" w:hAnsi="Times New Roman"/>
          <w:sz w:val="24"/>
          <w:szCs w:val="24"/>
        </w:rPr>
        <w:t xml:space="preserve"> However, the High Court Organization a</w:t>
      </w:r>
      <w:r w:rsidR="0050189D" w:rsidRPr="0050189D">
        <w:rPr>
          <w:rFonts w:ascii="Times New Roman" w:hAnsi="Times New Roman"/>
          <w:sz w:val="24"/>
          <w:szCs w:val="24"/>
        </w:rPr>
        <w:t>nd Administration Act Cap 27 of 2015</w:t>
      </w:r>
      <w:r w:rsidR="0003698B">
        <w:rPr>
          <w:rFonts w:ascii="Times New Roman" w:hAnsi="Times New Roman"/>
          <w:sz w:val="24"/>
          <w:szCs w:val="24"/>
        </w:rPr>
        <w:t xml:space="preserve"> and the judicature act Cap 8 of 1967 speak to the said jurisdiction to a small extent.</w:t>
      </w:r>
    </w:p>
    <w:p w:rsidR="0050189D" w:rsidRPr="0050189D" w:rsidRDefault="0003698B" w:rsidP="0050189D">
      <w:pPr>
        <w:spacing w:after="0" w:line="360" w:lineRule="auto"/>
        <w:jc w:val="both"/>
        <w:rPr>
          <w:rFonts w:ascii="Times New Roman" w:hAnsi="Times New Roman"/>
          <w:sz w:val="24"/>
          <w:szCs w:val="24"/>
        </w:rPr>
      </w:pPr>
      <w:r>
        <w:rPr>
          <w:rFonts w:ascii="Times New Roman" w:hAnsi="Times New Roman"/>
          <w:sz w:val="24"/>
          <w:szCs w:val="24"/>
        </w:rPr>
        <w:t>Under t</w:t>
      </w:r>
      <w:r w:rsidR="0050189D" w:rsidRPr="0050189D">
        <w:rPr>
          <w:rFonts w:ascii="Times New Roman" w:hAnsi="Times New Roman"/>
          <w:sz w:val="24"/>
          <w:szCs w:val="24"/>
        </w:rPr>
        <w:t>he</w:t>
      </w:r>
      <w:r w:rsidRPr="0003698B">
        <w:t xml:space="preserve"> </w:t>
      </w:r>
      <w:r w:rsidRPr="0003698B">
        <w:rPr>
          <w:rFonts w:ascii="Times New Roman" w:hAnsi="Times New Roman"/>
          <w:sz w:val="24"/>
          <w:szCs w:val="24"/>
        </w:rPr>
        <w:t>High Court Organization and Administration</w:t>
      </w:r>
      <w:r>
        <w:rPr>
          <w:rFonts w:ascii="Times New Roman" w:hAnsi="Times New Roman"/>
          <w:sz w:val="24"/>
          <w:szCs w:val="24"/>
        </w:rPr>
        <w:t xml:space="preserve"> Act, </w:t>
      </w:r>
      <w:r w:rsidR="0050189D" w:rsidRPr="0050189D">
        <w:rPr>
          <w:rFonts w:ascii="Times New Roman" w:hAnsi="Times New Roman"/>
          <w:sz w:val="24"/>
          <w:szCs w:val="24"/>
        </w:rPr>
        <w:t xml:space="preserve">section 5 establishes the jurisdiction of the High Court.  According to section 5 of the Act, the court shall exercise the jurisdiction conferred to it by Article 165(3) and 6 of the Constitution of Kenya 2010. </w:t>
      </w:r>
    </w:p>
    <w:p w:rsidR="00451459" w:rsidRPr="00E460C9" w:rsidRDefault="0050189D" w:rsidP="0050189D">
      <w:pPr>
        <w:spacing w:after="0" w:line="360" w:lineRule="auto"/>
        <w:jc w:val="both"/>
        <w:rPr>
          <w:rFonts w:ascii="Times New Roman" w:hAnsi="Times New Roman"/>
          <w:sz w:val="24"/>
          <w:szCs w:val="24"/>
        </w:rPr>
      </w:pPr>
      <w:r w:rsidRPr="0050189D">
        <w:rPr>
          <w:rFonts w:ascii="Times New Roman" w:hAnsi="Times New Roman"/>
          <w:sz w:val="24"/>
          <w:szCs w:val="24"/>
        </w:rPr>
        <w:t>Equally, the High Court shall have any other jurisdiction whether original or appellate which is conferred to it by any other Act of parliament.</w:t>
      </w:r>
    </w:p>
    <w:p w:rsidR="00451459" w:rsidRPr="00B057FA" w:rsidRDefault="0003698B" w:rsidP="0003698B">
      <w:pPr>
        <w:spacing w:after="0" w:line="360" w:lineRule="auto"/>
        <w:jc w:val="both"/>
        <w:rPr>
          <w:rFonts w:ascii="Times New Roman" w:hAnsi="Times New Roman"/>
          <w:b/>
          <w:sz w:val="24"/>
          <w:szCs w:val="24"/>
          <w:u w:val="single"/>
        </w:rPr>
      </w:pPr>
      <w:r w:rsidRPr="0003698B">
        <w:rPr>
          <w:rFonts w:ascii="Times New Roman" w:hAnsi="Times New Roman"/>
          <w:b/>
          <w:sz w:val="24"/>
          <w:szCs w:val="24"/>
          <w:u w:val="single"/>
        </w:rPr>
        <w:t xml:space="preserve">Jurisdiction </w:t>
      </w:r>
      <w:r>
        <w:rPr>
          <w:rFonts w:ascii="Times New Roman" w:hAnsi="Times New Roman"/>
          <w:b/>
          <w:sz w:val="24"/>
          <w:szCs w:val="24"/>
          <w:u w:val="single"/>
        </w:rPr>
        <w:t>as per t</w:t>
      </w:r>
      <w:r w:rsidR="00AD1F48">
        <w:rPr>
          <w:rFonts w:ascii="Times New Roman" w:hAnsi="Times New Roman"/>
          <w:b/>
          <w:sz w:val="24"/>
          <w:szCs w:val="24"/>
          <w:u w:val="single"/>
        </w:rPr>
        <w:t>he Judicature Act</w:t>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The Judicature Act provides that the High Court shall have the Admiral</w:t>
      </w:r>
      <w:r>
        <w:rPr>
          <w:rFonts w:ascii="Times New Roman" w:hAnsi="Times New Roman"/>
          <w:sz w:val="24"/>
          <w:szCs w:val="24"/>
        </w:rPr>
        <w:t>ty jurisdiction. T</w:t>
      </w:r>
      <w:r w:rsidRPr="008909DE">
        <w:rPr>
          <w:rFonts w:ascii="Times New Roman" w:hAnsi="Times New Roman"/>
          <w:sz w:val="24"/>
          <w:szCs w:val="24"/>
        </w:rPr>
        <w:t xml:space="preserve">he Act postulates that the High Court shall be a court of admiralty and shall exercise admiralty </w:t>
      </w:r>
      <w:r w:rsidRPr="008909DE">
        <w:rPr>
          <w:rFonts w:ascii="Times New Roman" w:hAnsi="Times New Roman"/>
          <w:sz w:val="24"/>
          <w:szCs w:val="24"/>
        </w:rPr>
        <w:lastRenderedPageBreak/>
        <w:t xml:space="preserve">jurisdiction in all matters arising on the high seas, or in territorial waters, upon any lake or other </w:t>
      </w:r>
      <w:r>
        <w:rPr>
          <w:rFonts w:ascii="Times New Roman" w:hAnsi="Times New Roman"/>
          <w:sz w:val="24"/>
          <w:szCs w:val="24"/>
        </w:rPr>
        <w:t>navigable inland water in Kenya.</w:t>
      </w:r>
      <w:r>
        <w:rPr>
          <w:rStyle w:val="FootnoteReference"/>
          <w:rFonts w:ascii="Times New Roman" w:hAnsi="Times New Roman"/>
          <w:sz w:val="24"/>
          <w:szCs w:val="24"/>
        </w:rPr>
        <w:footnoteReference w:id="21"/>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Further, subsection 2 provides for how the admiralty jurisdiction shall be exercised. It states that The admiralty jurisdiction of the High Court shall be exercisable over and in respect of the same persons, things and matters, in the same manner and to the same extent and finally in accordance with the same procedure, as in the High Court of England. The Act further states that it shall be exercised in conformity with international laws and the comity of nations.</w:t>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Subsection 3 clarifies that in the exercise of its admiralty jurisdiction, the High Court may exercise all the powers which it possesses for the purpose of its other civil jurisdiction.</w:t>
      </w:r>
    </w:p>
    <w:p w:rsidR="00451459" w:rsidRPr="00B057FA" w:rsidRDefault="00451459" w:rsidP="00451459">
      <w:pPr>
        <w:numPr>
          <w:ilvl w:val="0"/>
          <w:numId w:val="23"/>
        </w:numPr>
        <w:spacing w:after="0" w:line="360" w:lineRule="auto"/>
        <w:jc w:val="both"/>
        <w:rPr>
          <w:rFonts w:ascii="Times New Roman" w:hAnsi="Times New Roman"/>
          <w:b/>
          <w:sz w:val="24"/>
          <w:szCs w:val="24"/>
          <w:u w:val="single"/>
        </w:rPr>
      </w:pPr>
      <w:r w:rsidRPr="00B057FA">
        <w:rPr>
          <w:rFonts w:ascii="Times New Roman" w:hAnsi="Times New Roman"/>
          <w:b/>
          <w:sz w:val="24"/>
          <w:szCs w:val="24"/>
          <w:u w:val="single"/>
        </w:rPr>
        <w:t>Contempt of Court</w:t>
      </w:r>
    </w:p>
    <w:p w:rsidR="00451459" w:rsidRDefault="00451459" w:rsidP="00015786">
      <w:pPr>
        <w:spacing w:after="0" w:line="360" w:lineRule="auto"/>
        <w:jc w:val="both"/>
        <w:rPr>
          <w:rFonts w:ascii="Times New Roman" w:hAnsi="Times New Roman"/>
          <w:sz w:val="24"/>
          <w:szCs w:val="24"/>
        </w:rPr>
      </w:pPr>
      <w:r w:rsidRPr="008909DE">
        <w:rPr>
          <w:rFonts w:ascii="Times New Roman" w:hAnsi="Times New Roman"/>
          <w:sz w:val="24"/>
          <w:szCs w:val="24"/>
        </w:rPr>
        <w:t xml:space="preserve">The High </w:t>
      </w:r>
      <w:r>
        <w:rPr>
          <w:rFonts w:ascii="Times New Roman" w:hAnsi="Times New Roman"/>
          <w:sz w:val="24"/>
          <w:szCs w:val="24"/>
        </w:rPr>
        <w:t xml:space="preserve">Court as stipulated in </w:t>
      </w:r>
      <w:r w:rsidRPr="008909DE">
        <w:rPr>
          <w:rFonts w:ascii="Times New Roman" w:hAnsi="Times New Roman"/>
          <w:sz w:val="24"/>
          <w:szCs w:val="24"/>
        </w:rPr>
        <w:t>the Act shall have the power to punish for contempt o</w:t>
      </w:r>
      <w:r>
        <w:rPr>
          <w:rFonts w:ascii="Times New Roman" w:hAnsi="Times New Roman"/>
          <w:sz w:val="24"/>
          <w:szCs w:val="24"/>
        </w:rPr>
        <w:t>f court. It provides</w:t>
      </w:r>
      <w:r w:rsidRPr="008909DE">
        <w:rPr>
          <w:rFonts w:ascii="Times New Roman" w:hAnsi="Times New Roman"/>
          <w:sz w:val="24"/>
          <w:szCs w:val="24"/>
        </w:rPr>
        <w:t xml:space="preserve"> that</w:t>
      </w:r>
      <w:r>
        <w:rPr>
          <w:rFonts w:ascii="Times New Roman" w:hAnsi="Times New Roman"/>
          <w:sz w:val="24"/>
          <w:szCs w:val="24"/>
        </w:rPr>
        <w:t>:</w:t>
      </w:r>
      <w:r w:rsidRPr="008909DE">
        <w:rPr>
          <w:rFonts w:ascii="Times New Roman" w:hAnsi="Times New Roman"/>
          <w:sz w:val="24"/>
          <w:szCs w:val="24"/>
        </w:rPr>
        <w:t xml:space="preserve"> “The High Court and the Court of Appeal shall have the same power to punish for contempt of court as is for the time being possessed by the High Court of Justice in England, and such power shall extend to upholding the authority and dignity of subordinate courts.”</w:t>
      </w:r>
      <w:r>
        <w:rPr>
          <w:rStyle w:val="FootnoteReference"/>
          <w:rFonts w:ascii="Times New Roman" w:hAnsi="Times New Roman"/>
          <w:sz w:val="24"/>
          <w:szCs w:val="24"/>
        </w:rPr>
        <w:footnoteReference w:id="22"/>
      </w:r>
    </w:p>
    <w:p w:rsidR="00660ECB" w:rsidRPr="00001E31" w:rsidRDefault="00660ECB" w:rsidP="00660ECB">
      <w:pPr>
        <w:numPr>
          <w:ilvl w:val="0"/>
          <w:numId w:val="13"/>
        </w:numPr>
        <w:spacing w:after="0" w:line="360" w:lineRule="auto"/>
        <w:rPr>
          <w:rFonts w:ascii="Times New Roman" w:hAnsi="Times New Roman"/>
          <w:b/>
          <w:sz w:val="24"/>
          <w:szCs w:val="24"/>
          <w:u w:val="single"/>
          <w:lang w:val="en-GB"/>
        </w:rPr>
      </w:pPr>
      <w:r w:rsidRPr="00001E31">
        <w:rPr>
          <w:rFonts w:ascii="Times New Roman" w:hAnsi="Times New Roman"/>
          <w:b/>
          <w:sz w:val="24"/>
          <w:szCs w:val="24"/>
          <w:u w:val="single"/>
          <w:lang w:val="en-GB"/>
        </w:rPr>
        <w:t>JURISDICTION OF THE EMPLOYMENT AND LABOUR RELATIONS COURT (ELRC)</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ELRC is established under Section 4 of the ELRC Act and Article 162(2) of the Constitution of Kenya 2010 (COK 2010). Under Section 12 of the ELRC Act, the Court has exclusive original and appellate jurisdiction over disputes relating to employment and labour relations.</w:t>
      </w:r>
      <w:r>
        <w:rPr>
          <w:rFonts w:ascii="Times New Roman" w:hAnsi="Times New Roman"/>
          <w:sz w:val="24"/>
          <w:szCs w:val="24"/>
          <w:lang w:val="en-GB"/>
        </w:rPr>
        <w:t xml:space="preserve"> Noteworthy, Article 162(2) grants the ELRC the status of the High Court. It’s therefore a superior court whose decisions should be challenged at the court of appeal. </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exclusivity of its original jurisdiction in this regard is further anchored in Article 165(5) of the COK 2010 which denies the High Court jurisdiction to hear and determine matters relating to employment and labour relations as this remain the preserve of the ELRC.</w:t>
      </w: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Exclusive original jurisdiction</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Its exclusive original jurisdiction covers disputes including the following:</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relating to or arising out of employment between an employer and an employee;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 and a trade union;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organization and a trade union’s organization;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lastRenderedPageBreak/>
        <w:t xml:space="preserve">Disputes between trade unions;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employer organisations;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organisation and a trade union;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 trade union and a member thereof;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organisation or a federation and a member thereof;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Disputes con</w:t>
      </w:r>
      <w:r w:rsidR="00A33305">
        <w:rPr>
          <w:rFonts w:ascii="Times New Roman" w:hAnsi="Times New Roman"/>
          <w:sz w:val="24"/>
          <w:szCs w:val="24"/>
        </w:rPr>
        <w:t>cerning the registration and ele</w:t>
      </w:r>
      <w:r w:rsidRPr="00E535F6">
        <w:rPr>
          <w:rFonts w:ascii="Times New Roman" w:hAnsi="Times New Roman"/>
          <w:sz w:val="24"/>
          <w:szCs w:val="24"/>
        </w:rPr>
        <w:t xml:space="preserve">ction of trade union officials; and </w:t>
      </w:r>
    </w:p>
    <w:p w:rsidR="00660ECB" w:rsidRPr="00001E31"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Disputes relating to the registration and enforcement of collective agreements.</w:t>
      </w: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Appellate jurisdiction</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Further, the Court has appellate jurisdiction to hear and determine disputes relating to:</w:t>
      </w:r>
    </w:p>
    <w:p w:rsidR="00660ECB" w:rsidRPr="00E535F6" w:rsidRDefault="00660ECB" w:rsidP="00660ECB">
      <w:pPr>
        <w:pStyle w:val="ListParagraph"/>
        <w:numPr>
          <w:ilvl w:val="0"/>
          <w:numId w:val="15"/>
        </w:numPr>
        <w:spacing w:after="0" w:line="360" w:lineRule="auto"/>
        <w:rPr>
          <w:rFonts w:ascii="Times New Roman" w:hAnsi="Times New Roman"/>
          <w:sz w:val="24"/>
          <w:szCs w:val="24"/>
          <w:lang w:val="en-GB"/>
        </w:rPr>
      </w:pPr>
      <w:r w:rsidRPr="00E535F6">
        <w:rPr>
          <w:rFonts w:ascii="Times New Roman" w:hAnsi="Times New Roman"/>
          <w:sz w:val="24"/>
          <w:szCs w:val="24"/>
          <w:lang w:val="en-GB"/>
        </w:rPr>
        <w:t>Decisions of the Registrar of Trade Unions, and</w:t>
      </w:r>
    </w:p>
    <w:p w:rsidR="00B057FA" w:rsidRPr="006225C9" w:rsidRDefault="00660ECB" w:rsidP="00660ECB">
      <w:pPr>
        <w:pStyle w:val="ListParagraph"/>
        <w:numPr>
          <w:ilvl w:val="0"/>
          <w:numId w:val="15"/>
        </w:numPr>
        <w:spacing w:after="0" w:line="360" w:lineRule="auto"/>
        <w:rPr>
          <w:rFonts w:ascii="Times New Roman" w:hAnsi="Times New Roman"/>
          <w:sz w:val="24"/>
          <w:szCs w:val="24"/>
          <w:lang w:val="en-GB"/>
        </w:rPr>
      </w:pPr>
      <w:r w:rsidRPr="00E535F6">
        <w:rPr>
          <w:rFonts w:ascii="Times New Roman" w:hAnsi="Times New Roman"/>
          <w:sz w:val="24"/>
          <w:szCs w:val="24"/>
          <w:lang w:val="en-GB"/>
        </w:rPr>
        <w:t>decisions of any other local tribunal or commission as may be prescribed under any written law</w:t>
      </w: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Orders the court may make:</w:t>
      </w:r>
    </w:p>
    <w:p w:rsidR="00660ECB"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ELRC is empowered under Section 12(3) of the ELRC Act to make the following orders:</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Interim preservation orders including injunctions in cases of urgency;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 prohibitory order;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order for specific performance;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 declaratory order;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award of compensation in any circumstances contemplated under this act or any written law;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award of damages in any circumstances contemplated under this act or any written law;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order for reinstatement of any employee within three years of dismissal, subject to such conditions as the court thinks fit to impose under circumstances contemplated under any written law; or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Any other appropriate relief as </w:t>
      </w:r>
      <w:r>
        <w:rPr>
          <w:rFonts w:ascii="Times New Roman" w:hAnsi="Times New Roman"/>
          <w:sz w:val="24"/>
          <w:szCs w:val="24"/>
        </w:rPr>
        <w:t>the court may deem fit to grant, and</w:t>
      </w:r>
    </w:p>
    <w:p w:rsidR="0019740D" w:rsidRPr="00B34050" w:rsidRDefault="00660ECB" w:rsidP="00451459">
      <w:pPr>
        <w:pStyle w:val="ListParagraph"/>
        <w:numPr>
          <w:ilvl w:val="0"/>
          <w:numId w:val="16"/>
        </w:numPr>
        <w:spacing w:after="0" w:line="360" w:lineRule="auto"/>
        <w:rPr>
          <w:rFonts w:ascii="Times New Roman" w:hAnsi="Times New Roman"/>
          <w:sz w:val="24"/>
          <w:szCs w:val="24"/>
          <w:lang w:val="en-GB"/>
        </w:rPr>
      </w:pPr>
      <w:r>
        <w:rPr>
          <w:rFonts w:ascii="Times New Roman" w:hAnsi="Times New Roman"/>
          <w:sz w:val="24"/>
          <w:szCs w:val="24"/>
        </w:rPr>
        <w:t>Orders as to costs.</w:t>
      </w:r>
    </w:p>
    <w:p w:rsidR="00C522BC" w:rsidRDefault="00B34050" w:rsidP="007B639F">
      <w:pPr>
        <w:pStyle w:val="ListParagraph"/>
        <w:numPr>
          <w:ilvl w:val="0"/>
          <w:numId w:val="13"/>
        </w:numPr>
        <w:spacing w:after="0" w:line="360" w:lineRule="auto"/>
        <w:jc w:val="both"/>
        <w:rPr>
          <w:rFonts w:ascii="Times New Roman" w:hAnsi="Times New Roman"/>
          <w:b/>
          <w:sz w:val="24"/>
          <w:szCs w:val="24"/>
          <w:u w:val="single"/>
        </w:rPr>
      </w:pPr>
      <w:r>
        <w:rPr>
          <w:rFonts w:ascii="Times New Roman" w:hAnsi="Times New Roman"/>
          <w:b/>
          <w:sz w:val="24"/>
          <w:szCs w:val="24"/>
          <w:u w:val="single"/>
        </w:rPr>
        <w:t>JURISDICTION OF</w:t>
      </w:r>
      <w:r w:rsidR="00C522BC">
        <w:rPr>
          <w:rFonts w:ascii="Times New Roman" w:hAnsi="Times New Roman"/>
          <w:b/>
          <w:sz w:val="24"/>
          <w:szCs w:val="24"/>
          <w:u w:val="single"/>
        </w:rPr>
        <w:t xml:space="preserve"> THE ENVIRONMENT AND LAND COURT</w:t>
      </w:r>
    </w:p>
    <w:p w:rsidR="00B34050" w:rsidRPr="00C522BC" w:rsidRDefault="00B34050" w:rsidP="00C522BC">
      <w:pPr>
        <w:pStyle w:val="ListParagraph"/>
        <w:spacing w:after="0" w:line="360" w:lineRule="auto"/>
        <w:ind w:left="0"/>
        <w:jc w:val="both"/>
        <w:rPr>
          <w:rFonts w:ascii="Times New Roman" w:hAnsi="Times New Roman"/>
          <w:b/>
          <w:sz w:val="24"/>
          <w:szCs w:val="24"/>
          <w:u w:val="single"/>
          <w:lang w:val="en-GB"/>
        </w:rPr>
      </w:pPr>
      <w:r w:rsidRPr="00C31E76">
        <w:rPr>
          <w:rFonts w:ascii="Times New Roman" w:eastAsia="Times New Roman" w:hAnsi="Times New Roman"/>
          <w:sz w:val="24"/>
          <w:szCs w:val="24"/>
        </w:rPr>
        <w:t>The Environment and Land Court is a superior court established by Article 162(2) of the Constitution of Kenya.</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lastRenderedPageBreak/>
        <w:t>The Environment and Land Court Act no.19 of 2011 (ELCA) gives effect to Article 162(2) of the Constitution and the court was established to hear and determine disputes relating to the environment and the use and occupation of, and title to land.</w:t>
      </w:r>
      <w:r w:rsidR="00C522BC">
        <w:rPr>
          <w:rStyle w:val="FootnoteReference"/>
          <w:rFonts w:ascii="Times New Roman" w:eastAsia="Times New Roman" w:hAnsi="Times New Roman"/>
          <w:sz w:val="24"/>
          <w:szCs w:val="24"/>
        </w:rPr>
        <w:footnoteReference w:id="23"/>
      </w:r>
    </w:p>
    <w:p w:rsidR="00B34050" w:rsidRDefault="0050094B" w:rsidP="00C522B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As provided for in t</w:t>
      </w:r>
      <w:r w:rsidR="00B34050">
        <w:rPr>
          <w:rFonts w:ascii="Times New Roman" w:eastAsia="Times New Roman" w:hAnsi="Times New Roman"/>
          <w:sz w:val="24"/>
          <w:szCs w:val="24"/>
        </w:rPr>
        <w:t>he Environment and Land Court Act, t</w:t>
      </w:r>
      <w:r w:rsidR="00B34050" w:rsidRPr="00C31E76">
        <w:rPr>
          <w:rFonts w:ascii="Times New Roman" w:eastAsia="Times New Roman" w:hAnsi="Times New Roman"/>
          <w:sz w:val="24"/>
          <w:szCs w:val="24"/>
        </w:rPr>
        <w:t>he court exercises jurisdiction throughout Kenya.</w:t>
      </w:r>
      <w:r>
        <w:rPr>
          <w:rStyle w:val="FootnoteReference"/>
          <w:rFonts w:ascii="Times New Roman" w:eastAsia="Times New Roman" w:hAnsi="Times New Roman"/>
          <w:sz w:val="24"/>
          <w:szCs w:val="24"/>
        </w:rPr>
        <w:footnoteReference w:id="24"/>
      </w:r>
      <w:r w:rsidR="00B34050" w:rsidRPr="00C31E76">
        <w:rPr>
          <w:rFonts w:ascii="Times New Roman" w:eastAsia="Times New Roman" w:hAnsi="Times New Roman"/>
          <w:sz w:val="24"/>
          <w:szCs w:val="24"/>
        </w:rPr>
        <w:t xml:space="preserve"> It has original and appellate jurisdiction to hear and determine all disputes in accordance with Article 162(2)(</w:t>
      </w:r>
      <w:r w:rsidR="00B34050" w:rsidRPr="00C31E76">
        <w:rPr>
          <w:rFonts w:ascii="Times New Roman" w:eastAsia="Times New Roman" w:hAnsi="Times New Roman"/>
          <w:i/>
          <w:iCs/>
          <w:sz w:val="24"/>
          <w:szCs w:val="24"/>
        </w:rPr>
        <w:t>b</w:t>
      </w:r>
      <w:r w:rsidR="00B34050" w:rsidRPr="00C31E76">
        <w:rPr>
          <w:rFonts w:ascii="Times New Roman" w:eastAsia="Times New Roman" w:hAnsi="Times New Roman"/>
          <w:sz w:val="24"/>
          <w:szCs w:val="24"/>
        </w:rPr>
        <w:t xml:space="preserve">) of the Constitution </w:t>
      </w:r>
      <w:r w:rsidR="00B34050">
        <w:rPr>
          <w:rFonts w:ascii="Times New Roman" w:eastAsia="Times New Roman" w:hAnsi="Times New Roman"/>
          <w:sz w:val="24"/>
          <w:szCs w:val="24"/>
        </w:rPr>
        <w:t>which includes disputes</w:t>
      </w:r>
      <w:r w:rsidR="00B34050" w:rsidRPr="00C31E76">
        <w:rPr>
          <w:rFonts w:ascii="Times New Roman" w:eastAsia="Times New Roman" w:hAnsi="Times New Roman"/>
          <w:sz w:val="24"/>
          <w:szCs w:val="24"/>
        </w:rPr>
        <w:t xml:space="preserve"> relating to</w:t>
      </w:r>
      <w:r w:rsidR="00B34050">
        <w:rPr>
          <w:rFonts w:ascii="Times New Roman" w:eastAsia="Times New Roman" w:hAnsi="Times New Roman"/>
          <w:sz w:val="24"/>
          <w:szCs w:val="24"/>
        </w:rPr>
        <w:t xml:space="preserve"> environmental planning and protection, climate issues, land use planning, title, tenure, boundaries, rate, rent, valuations, mining, minerals and other natural resources,</w:t>
      </w:r>
      <w:r w:rsidR="00B34050" w:rsidRPr="00C31E76">
        <w:rPr>
          <w:rFonts w:ascii="Times New Roman" w:eastAsia="Times New Roman" w:hAnsi="Times New Roman"/>
          <w:sz w:val="24"/>
          <w:szCs w:val="24"/>
        </w:rPr>
        <w:t xml:space="preserve"> land administration and management</w:t>
      </w:r>
      <w:r w:rsidR="00B34050">
        <w:rPr>
          <w:rFonts w:ascii="Times New Roman" w:eastAsia="Times New Roman" w:hAnsi="Times New Roman"/>
          <w:sz w:val="24"/>
          <w:szCs w:val="24"/>
        </w:rPr>
        <w:t xml:space="preserve"> and compulsory acquisition of land.</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 xml:space="preserve"> It is also empowered to hear cases relating to public, private and community land and contracts, choses in action or other instruments granting any enforceable interests in land.</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The court exercises appellate jurisdiction over the decisions of subordinate courts and local tribunals in respect to matters falling within its jurisdiction.</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Some of these tribunals include: National Land Commission, Business Premises Rent Tribunal, Rent Restriction Tribunal</w:t>
      </w:r>
      <w:r w:rsidR="006225C9">
        <w:rPr>
          <w:rFonts w:ascii="Times New Roman" w:eastAsia="Times New Roman" w:hAnsi="Times New Roman"/>
          <w:sz w:val="24"/>
          <w:szCs w:val="24"/>
        </w:rPr>
        <w:t>, National Environment Tribunal and</w:t>
      </w:r>
      <w:r w:rsidRPr="00C31E76">
        <w:rPr>
          <w:rFonts w:ascii="Times New Roman" w:eastAsia="Times New Roman" w:hAnsi="Times New Roman"/>
          <w:sz w:val="24"/>
          <w:szCs w:val="24"/>
        </w:rPr>
        <w:t xml:space="preserve"> Cooperative Tribunal (in as far as the dispute relates to land).</w:t>
      </w:r>
    </w:p>
    <w:p w:rsidR="00B34050"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The court further exercises supervisory jurisdiction over the subordinate courts, local tribunals, persons or authorities in accordance with Article 165(6) of the Constitution.</w:t>
      </w:r>
    </w:p>
    <w:p w:rsidR="00B34050" w:rsidRDefault="00B34050" w:rsidP="00C522B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Under section 13(3) of the Environment and Land Court </w:t>
      </w:r>
      <w:bookmarkStart w:id="0" w:name="_GoBack"/>
      <w:bookmarkEnd w:id="0"/>
      <w:r>
        <w:rPr>
          <w:rFonts w:ascii="Times New Roman" w:eastAsia="Times New Roman" w:hAnsi="Times New Roman"/>
          <w:sz w:val="24"/>
          <w:szCs w:val="24"/>
        </w:rPr>
        <w:t>Act the Court has jurisdiction to hear and determine application for redress of a denial, violation or infringement of, or threat to, rights or fundamental freedom relating to a clean and healthy environment under Article 42, 69 and 70 of the Constitution.</w:t>
      </w:r>
    </w:p>
    <w:p w:rsidR="00B34050" w:rsidRPr="0050094B" w:rsidRDefault="00B34050" w:rsidP="0050094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Under section 13(7) The court have power to make orders and grant relief as the Court deems fit and just, including : Interim or permanent preservation orders including injunctions, prerogative orders, award of damage, compensation, specific performance, restitution, declaration or costs. </w:t>
      </w:r>
    </w:p>
    <w:p w:rsidR="004B4CCC" w:rsidRPr="004B4CCC" w:rsidRDefault="006F64C4" w:rsidP="007B639F">
      <w:pPr>
        <w:numPr>
          <w:ilvl w:val="0"/>
          <w:numId w:val="13"/>
        </w:numPr>
        <w:spacing w:beforeLines="100" w:before="240" w:afterLines="50" w:after="120" w:line="360" w:lineRule="auto"/>
        <w:contextualSpacing/>
        <w:jc w:val="both"/>
        <w:rPr>
          <w:rFonts w:ascii="Times New Roman" w:hAnsi="Times New Roman"/>
          <w:b/>
          <w:bCs/>
          <w:sz w:val="24"/>
          <w:szCs w:val="24"/>
          <w:u w:val="single"/>
        </w:rPr>
      </w:pPr>
      <w:r>
        <w:rPr>
          <w:rFonts w:ascii="Times New Roman" w:hAnsi="Times New Roman"/>
          <w:b/>
          <w:bCs/>
          <w:sz w:val="24"/>
          <w:szCs w:val="24"/>
          <w:u w:val="single"/>
        </w:rPr>
        <w:t xml:space="preserve">JURISDICTION OF </w:t>
      </w:r>
      <w:r w:rsidR="004B4CCC" w:rsidRPr="004B4CCC">
        <w:rPr>
          <w:rFonts w:ascii="Times New Roman" w:hAnsi="Times New Roman"/>
          <w:b/>
          <w:bCs/>
          <w:sz w:val="24"/>
          <w:szCs w:val="24"/>
          <w:u w:val="single"/>
        </w:rPr>
        <w:t>TH</w:t>
      </w:r>
      <w:r>
        <w:rPr>
          <w:rFonts w:ascii="Times New Roman" w:hAnsi="Times New Roman"/>
          <w:b/>
          <w:bCs/>
          <w:sz w:val="24"/>
          <w:szCs w:val="24"/>
          <w:u w:val="single"/>
        </w:rPr>
        <w:t xml:space="preserve">E MAGISTRATES’ COURTS </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Establishment of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is established under article 169(1</w:t>
      </w:r>
      <w:proofErr w:type="gramStart"/>
      <w:r w:rsidRPr="004B4CCC">
        <w:rPr>
          <w:rFonts w:ascii="Times New Roman" w:hAnsi="Times New Roman"/>
          <w:sz w:val="24"/>
          <w:szCs w:val="24"/>
        </w:rPr>
        <w:t>)(</w:t>
      </w:r>
      <w:proofErr w:type="gramEnd"/>
      <w:r w:rsidRPr="004B4CCC">
        <w:rPr>
          <w:rFonts w:ascii="Times New Roman" w:hAnsi="Times New Roman"/>
          <w:sz w:val="24"/>
          <w:szCs w:val="24"/>
        </w:rPr>
        <w:t xml:space="preserve">a) of the Constitution of Kenya, 2010 as one of the subordinate courts. In addition, the parliament has enacted the Magistrates’ Court </w:t>
      </w:r>
      <w:r w:rsidRPr="004B4CCC">
        <w:rPr>
          <w:rFonts w:ascii="Times New Roman" w:hAnsi="Times New Roman"/>
          <w:sz w:val="24"/>
          <w:szCs w:val="24"/>
        </w:rPr>
        <w:lastRenderedPageBreak/>
        <w:t>Act, an act of parliament that confers jurisdiction, functions, powers and the procedure to be followed by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b/>
          <w:bCs/>
          <w:sz w:val="24"/>
          <w:szCs w:val="24"/>
          <w:u w:val="single"/>
        </w:rPr>
        <w:t>Constitution of the court</w:t>
      </w:r>
    </w:p>
    <w:p w:rsidR="006303BF" w:rsidRPr="00B057FA"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has five divisions presided over by; the Chief Magistrate, the Senior Principal Magistrate, the  Principal Magistrate, the Senior Resident Magistrate, and the  Resident Magistrate.</w:t>
      </w:r>
      <w:r w:rsidRPr="004B4CCC">
        <w:rPr>
          <w:rFonts w:ascii="Times New Roman" w:hAnsi="Times New Roman"/>
          <w:sz w:val="24"/>
          <w:szCs w:val="24"/>
          <w:vertAlign w:val="superscript"/>
        </w:rPr>
        <w:footnoteReference w:id="25"/>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Jurisdiction of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exercises both civil and criminal jurisdiction. This is discussed below.</w:t>
      </w:r>
    </w:p>
    <w:p w:rsidR="004B4CCC" w:rsidRPr="004B4CCC" w:rsidRDefault="004B4CCC" w:rsidP="00F349CA">
      <w:pPr>
        <w:tabs>
          <w:tab w:val="left" w:pos="425"/>
        </w:tabs>
        <w:spacing w:beforeLines="100" w:before="240" w:afterLines="50" w:after="120" w:line="360" w:lineRule="auto"/>
        <w:ind w:left="425"/>
        <w:contextualSpacing/>
        <w:jc w:val="both"/>
        <w:rPr>
          <w:rFonts w:ascii="Times New Roman" w:hAnsi="Times New Roman"/>
          <w:b/>
          <w:bCs/>
          <w:sz w:val="24"/>
          <w:szCs w:val="24"/>
          <w:u w:val="single"/>
        </w:rPr>
      </w:pPr>
      <w:r w:rsidRPr="004B4CCC">
        <w:rPr>
          <w:rFonts w:ascii="Times New Roman" w:hAnsi="Times New Roman"/>
          <w:b/>
          <w:bCs/>
          <w:sz w:val="24"/>
          <w:szCs w:val="24"/>
          <w:u w:val="single"/>
        </w:rPr>
        <w:t>Civil jurisdiction</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Pecuniary Jurisdiction/Limitations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Every division of the Magistrates’ Court has jurisdiction to hear and determine matters of civil nature and whose subject matter is of a given value.</w:t>
      </w:r>
      <w:r w:rsidRPr="004B4CCC">
        <w:rPr>
          <w:rFonts w:ascii="Times New Roman" w:hAnsi="Times New Roman"/>
          <w:sz w:val="24"/>
          <w:szCs w:val="24"/>
          <w:vertAlign w:val="superscript"/>
        </w:rPr>
        <w:footnoteReference w:id="26"/>
      </w:r>
      <w:r w:rsidRPr="004B4CCC">
        <w:rPr>
          <w:rFonts w:ascii="Times New Roman" w:hAnsi="Times New Roman"/>
          <w:sz w:val="24"/>
          <w:szCs w:val="24"/>
        </w:rPr>
        <w:t xml:space="preserve"> The limits are outlined as follows;</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twenty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Chief magistrate;</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fifteen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senior principal magistrate;</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ten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principal magistrate</w:t>
      </w:r>
      <w:r w:rsidRPr="004B4CCC">
        <w:rPr>
          <w:rFonts w:ascii="Times New Roman" w:hAnsi="Times New Roman"/>
          <w:sz w:val="24"/>
          <w:szCs w:val="24"/>
        </w:rPr>
        <w:t xml:space="preserve">; </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seven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senior resident magistrate</w:t>
      </w:r>
      <w:r w:rsidRPr="004B4CCC">
        <w:rPr>
          <w:rFonts w:ascii="Times New Roman" w:hAnsi="Times New Roman"/>
          <w:sz w:val="24"/>
          <w:szCs w:val="24"/>
        </w:rPr>
        <w:t>;</w:t>
      </w:r>
    </w:p>
    <w:p w:rsidR="007B639F" w:rsidRPr="00B057FA" w:rsidRDefault="004B4CCC" w:rsidP="00076144">
      <w:pPr>
        <w:numPr>
          <w:ilvl w:val="0"/>
          <w:numId w:val="18"/>
        </w:numPr>
        <w:spacing w:beforeLines="100" w:before="240" w:afterLines="50" w:after="120" w:line="360" w:lineRule="auto"/>
        <w:contextualSpacing/>
        <w:jc w:val="both"/>
        <w:rPr>
          <w:rFonts w:ascii="Times New Roman" w:hAnsi="Times New Roman"/>
          <w:bCs/>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five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resident magistrate;</w:t>
      </w:r>
    </w:p>
    <w:p w:rsidR="004B4CCC" w:rsidRPr="004B4CCC" w:rsidRDefault="00F349CA" w:rsidP="004B4CCC">
      <w:pPr>
        <w:spacing w:beforeLines="100" w:before="240" w:afterLines="50" w:after="120" w:line="360" w:lineRule="auto"/>
        <w:contextualSpacing/>
        <w:jc w:val="both"/>
        <w:rPr>
          <w:rFonts w:ascii="Times New Roman" w:hAnsi="Times New Roman"/>
          <w:b/>
          <w:bCs/>
          <w:sz w:val="24"/>
          <w:szCs w:val="24"/>
          <w:u w:val="single"/>
        </w:rPr>
      </w:pPr>
      <w:r>
        <w:rPr>
          <w:rFonts w:ascii="Times New Roman" w:hAnsi="Times New Roman"/>
          <w:b/>
          <w:bCs/>
          <w:sz w:val="24"/>
          <w:szCs w:val="24"/>
          <w:u w:val="single"/>
        </w:rPr>
        <w:t>Jurisdiction in c</w:t>
      </w:r>
      <w:r w:rsidR="004B4CCC" w:rsidRPr="004B4CCC">
        <w:rPr>
          <w:rFonts w:ascii="Times New Roman" w:hAnsi="Times New Roman"/>
          <w:b/>
          <w:bCs/>
          <w:sz w:val="24"/>
          <w:szCs w:val="24"/>
          <w:u w:val="single"/>
        </w:rPr>
        <w:t>ivil matters under African customary law</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Furthermore, pursuant to section 7(3), the Magistrates’ courts have jurisdiction over the following civil matters under the African customary law;</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Land held under customary tenure;</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Marriage, divorce, maintenance or dowry;</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Seduction or pregnancy of an unmarried woman or girl;</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Enticement of, or adultery with a married person;</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lastRenderedPageBreak/>
        <w:t>Matters affecting the status of widows and children including guardianship, custody, adoption and legitimacy; and</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Intestate succession and administration of intestate estates, so far as they are not governed by any written law.</w:t>
      </w:r>
    </w:p>
    <w:p w:rsidR="004B4CCC" w:rsidRPr="004B4CCC" w:rsidRDefault="00F349CA" w:rsidP="004B4CCC">
      <w:pPr>
        <w:spacing w:beforeLines="100" w:before="240" w:afterLines="50" w:after="120" w:line="360" w:lineRule="auto"/>
        <w:contextualSpacing/>
        <w:jc w:val="both"/>
        <w:rPr>
          <w:rFonts w:ascii="Times New Roman" w:hAnsi="Times New Roman"/>
          <w:b/>
          <w:bCs/>
          <w:sz w:val="24"/>
          <w:szCs w:val="24"/>
          <w:u w:val="single"/>
        </w:rPr>
      </w:pPr>
      <w:r>
        <w:rPr>
          <w:rFonts w:ascii="Times New Roman" w:hAnsi="Times New Roman"/>
          <w:b/>
          <w:bCs/>
          <w:sz w:val="24"/>
          <w:szCs w:val="24"/>
          <w:u w:val="single"/>
        </w:rPr>
        <w:t>Jurisdiction in c</w:t>
      </w:r>
      <w:r w:rsidR="004B4CCC" w:rsidRPr="004B4CCC">
        <w:rPr>
          <w:rFonts w:ascii="Times New Roman" w:hAnsi="Times New Roman"/>
          <w:b/>
          <w:bCs/>
          <w:sz w:val="24"/>
          <w:szCs w:val="24"/>
          <w:u w:val="single"/>
        </w:rPr>
        <w:t>laims on violation of human rights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Magistrate’s Courts have jurisdiction to hear and determine applications for redress of a denial, violation or infringement of, or threat to, a right or fundamental freedom in the Bill of rights.</w:t>
      </w:r>
      <w:r w:rsidRPr="004B4CCC">
        <w:rPr>
          <w:rFonts w:ascii="Times New Roman" w:hAnsi="Times New Roman"/>
          <w:sz w:val="24"/>
          <w:szCs w:val="24"/>
          <w:vertAlign w:val="superscript"/>
        </w:rPr>
        <w:footnoteReference w:id="27"/>
      </w:r>
      <w:r w:rsidRPr="004B4CCC">
        <w:rPr>
          <w:rFonts w:ascii="Times New Roman" w:hAnsi="Times New Roman"/>
          <w:sz w:val="24"/>
          <w:szCs w:val="24"/>
        </w:rPr>
        <w:t xml:space="preserve"> However, this jurisdiction is subject to article 165(3) (b) of the constitution of Kenya, 2010 as well as the pecuniary limitation set under section 7(1) of the Magistrates’ Court Act.  </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may only determine claims on violation of human rights in so far as those rights relate to article 25(a) and (b). That is freedom from torture and cruel, inhuman or degrading treatment or punishment; and the freedom from slavery or servitude. The high court under article 165(3</w:t>
      </w:r>
      <w:proofErr w:type="gramStart"/>
      <w:r w:rsidRPr="004B4CCC">
        <w:rPr>
          <w:rFonts w:ascii="Times New Roman" w:hAnsi="Times New Roman"/>
          <w:sz w:val="24"/>
          <w:szCs w:val="24"/>
        </w:rPr>
        <w:t>)(</w:t>
      </w:r>
      <w:proofErr w:type="gramEnd"/>
      <w:r w:rsidRPr="004B4CCC">
        <w:rPr>
          <w:rFonts w:ascii="Times New Roman" w:hAnsi="Times New Roman"/>
          <w:sz w:val="24"/>
          <w:szCs w:val="24"/>
        </w:rPr>
        <w:t>b) reserves exclusive jurisdiction to hear and determine the question of whether a right or fundamental freedom in the Bill of Rights has been denied, violated, infringed or threatened.</w:t>
      </w:r>
    </w:p>
    <w:p w:rsidR="007B639F" w:rsidRPr="00B057FA"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Finally, in exercising this jurisdiction, the matter in question is subjected to the pecuniary limitations set under section 7(1). The Magistrate’s Court may only determine claims on violation of human rights only to the extent and pecuniary limits set for the respective division.</w:t>
      </w:r>
      <w:r w:rsidRPr="004B4CCC">
        <w:rPr>
          <w:rFonts w:ascii="Times New Roman" w:hAnsi="Times New Roman"/>
          <w:sz w:val="24"/>
          <w:szCs w:val="24"/>
          <w:vertAlign w:val="superscript"/>
        </w:rPr>
        <w:footnoteReference w:id="28"/>
      </w:r>
    </w:p>
    <w:p w:rsidR="004B4CCC" w:rsidRPr="004B4CCC" w:rsidRDefault="00F349CA" w:rsidP="004B4CCC">
      <w:pPr>
        <w:spacing w:beforeLines="100" w:before="240" w:afterLines="50" w:after="120" w:line="360" w:lineRule="auto"/>
        <w:contextualSpacing/>
        <w:jc w:val="both"/>
        <w:rPr>
          <w:rFonts w:ascii="Times New Roman" w:hAnsi="Times New Roman"/>
          <w:b/>
          <w:bCs/>
          <w:sz w:val="24"/>
          <w:szCs w:val="24"/>
          <w:u w:val="single"/>
        </w:rPr>
      </w:pPr>
      <w:r>
        <w:rPr>
          <w:rFonts w:ascii="Times New Roman" w:hAnsi="Times New Roman"/>
          <w:b/>
          <w:bCs/>
          <w:sz w:val="24"/>
          <w:szCs w:val="24"/>
          <w:u w:val="single"/>
        </w:rPr>
        <w:t>Jurisdiction in claims o</w:t>
      </w:r>
      <w:r w:rsidR="004B4CCC" w:rsidRPr="004B4CCC">
        <w:rPr>
          <w:rFonts w:ascii="Times New Roman" w:hAnsi="Times New Roman"/>
          <w:b/>
          <w:bCs/>
          <w:sz w:val="24"/>
          <w:szCs w:val="24"/>
          <w:u w:val="single"/>
        </w:rPr>
        <w:t>n environment and land cases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Section 9 of the Magistrate’s Courts Act read together with Section 26 of the Environment and Land Court Act grants the magistrate’s court jurisdiction to determine claims relating to; Environmental planning and protection, climate issues, land use planning, title, tenure, boundaries, rents, valuations, mining, minerals and other natural resources; Compulsory acquisition of land; Land administration and management; Public, private and community land contracts, chores in action or other instruments granting any enforceable interests in land; and Environment and land generally.</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 the case of</w:t>
      </w:r>
      <w:r w:rsidRPr="004B4CCC">
        <w:rPr>
          <w:rFonts w:ascii="Times New Roman" w:hAnsi="Times New Roman"/>
          <w:i/>
          <w:sz w:val="24"/>
          <w:szCs w:val="24"/>
        </w:rPr>
        <w:t xml:space="preserve"> </w:t>
      </w:r>
      <w:r w:rsidRPr="004B4CCC">
        <w:rPr>
          <w:rFonts w:ascii="Times New Roman" w:hAnsi="Times New Roman"/>
          <w:bCs/>
          <w:i/>
          <w:sz w:val="24"/>
          <w:szCs w:val="24"/>
        </w:rPr>
        <w:t>Law Society of Kenya Nairobi Branch v Malindi Law Society &amp; 6 Others,</w:t>
      </w:r>
      <w:r w:rsidRPr="004B4CCC">
        <w:rPr>
          <w:rFonts w:ascii="Times New Roman" w:hAnsi="Times New Roman"/>
          <w:sz w:val="24"/>
          <w:szCs w:val="24"/>
        </w:rPr>
        <w:t xml:space="preserve"> Justice Lenaola did establish that the Environment and Land Court did not have the exclusive </w:t>
      </w:r>
      <w:r w:rsidRPr="004B4CCC">
        <w:rPr>
          <w:rFonts w:ascii="Times New Roman" w:hAnsi="Times New Roman"/>
          <w:sz w:val="24"/>
          <w:szCs w:val="24"/>
        </w:rPr>
        <w:lastRenderedPageBreak/>
        <w:t>jurisdiction to hear and determine environment and land matters.</w:t>
      </w:r>
      <w:r w:rsidRPr="004B4CCC">
        <w:rPr>
          <w:rFonts w:ascii="Times New Roman" w:hAnsi="Times New Roman"/>
          <w:sz w:val="24"/>
          <w:szCs w:val="24"/>
          <w:vertAlign w:val="superscript"/>
        </w:rPr>
        <w:footnoteReference w:id="29"/>
      </w:r>
      <w:r w:rsidRPr="004B4CCC">
        <w:rPr>
          <w:rFonts w:ascii="Times New Roman" w:hAnsi="Times New Roman"/>
          <w:sz w:val="24"/>
          <w:szCs w:val="24"/>
        </w:rPr>
        <w:t xml:space="preserve"> In addition, conferring jurisdiction to the magistrate’s courts to determine these matters did not in any way diminish the role of the Environment and Land Court. As the case would be, appeals from the Magistrate’s Court would still be determined by this court.</w:t>
      </w:r>
      <w:r w:rsidRPr="004B4CCC">
        <w:rPr>
          <w:rFonts w:ascii="Times New Roman" w:hAnsi="Times New Roman"/>
          <w:sz w:val="24"/>
          <w:szCs w:val="24"/>
          <w:vertAlign w:val="superscript"/>
        </w:rPr>
        <w:footnoteReference w:id="30"/>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u w:val="single"/>
        </w:rPr>
      </w:pPr>
      <w:r w:rsidRPr="004B4CCC">
        <w:rPr>
          <w:rFonts w:ascii="Times New Roman" w:hAnsi="Times New Roman"/>
          <w:sz w:val="24"/>
          <w:szCs w:val="24"/>
          <w:u w:val="single"/>
        </w:rPr>
        <w:t xml:space="preserve"> </w:t>
      </w:r>
      <w:r w:rsidR="00F349CA">
        <w:rPr>
          <w:rFonts w:ascii="Times New Roman" w:hAnsi="Times New Roman"/>
          <w:b/>
          <w:bCs/>
          <w:sz w:val="24"/>
          <w:szCs w:val="24"/>
          <w:u w:val="single"/>
        </w:rPr>
        <w:t xml:space="preserve">Jurisdiction </w:t>
      </w:r>
      <w:r w:rsidRPr="004B4CCC">
        <w:rPr>
          <w:rFonts w:ascii="Times New Roman" w:hAnsi="Times New Roman"/>
          <w:b/>
          <w:bCs/>
          <w:sz w:val="24"/>
          <w:szCs w:val="24"/>
          <w:u w:val="single"/>
        </w:rPr>
        <w:t xml:space="preserve">in employment and </w:t>
      </w:r>
      <w:proofErr w:type="spellStart"/>
      <w:r w:rsidRPr="004B4CCC">
        <w:rPr>
          <w:rFonts w:ascii="Times New Roman" w:hAnsi="Times New Roman"/>
          <w:b/>
          <w:bCs/>
          <w:sz w:val="24"/>
          <w:szCs w:val="24"/>
          <w:u w:val="single"/>
        </w:rPr>
        <w:t>labour</w:t>
      </w:r>
      <w:proofErr w:type="spellEnd"/>
      <w:r w:rsidRPr="004B4CCC">
        <w:rPr>
          <w:rFonts w:ascii="Times New Roman" w:hAnsi="Times New Roman"/>
          <w:b/>
          <w:bCs/>
          <w:sz w:val="24"/>
          <w:szCs w:val="24"/>
          <w:u w:val="single"/>
        </w:rPr>
        <w:t xml:space="preserve"> relations claims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Pursuant to section 29(4) of the Employment and Labour Relations Court Act read together with section 9(b) of the Magistrates’ Courts Act, the Magistrate’s Court has jurisdiction over some of the employment and labour relations matters. This jurisdiction is however subject to the Employment and Labour Relations Court jurisdiction to determine employment and labour matters.</w:t>
      </w:r>
      <w:r w:rsidRPr="004B4CCC">
        <w:rPr>
          <w:rFonts w:ascii="Times New Roman" w:hAnsi="Times New Roman"/>
          <w:sz w:val="24"/>
          <w:szCs w:val="24"/>
          <w:vertAlign w:val="superscript"/>
        </w:rPr>
        <w:footnoteReference w:id="31"/>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 addition, the chief justice has power to appoint certain magistrates to preside over employment and labour matters through gazette notices.</w:t>
      </w:r>
      <w:r w:rsidRPr="004B4CCC">
        <w:rPr>
          <w:rFonts w:ascii="Times New Roman" w:hAnsi="Times New Roman"/>
          <w:sz w:val="24"/>
          <w:szCs w:val="24"/>
          <w:vertAlign w:val="superscript"/>
        </w:rPr>
        <w:footnoteReference w:id="32"/>
      </w:r>
      <w:r w:rsidRPr="004B4CCC">
        <w:rPr>
          <w:rFonts w:ascii="Times New Roman" w:hAnsi="Times New Roman"/>
          <w:sz w:val="24"/>
          <w:szCs w:val="24"/>
        </w:rPr>
        <w:t xml:space="preserve"> Through gazette notice number 6024 of 2018 for instance, the Chief Justice appointed all Magistrates of the rank of Senior Resident Magistrates and above listen and determine matters in following categories;</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Disputes arising from contracts of employment where the employees gross monthly salary does not exceed Kshs. 80,000, with an exception of trade disputes under the Labour relations Act, 2007.</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Work Injury benefit act, 2007;</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Employment Act, 2007(Rev 2022) such as prohibition against forced labour under section 4(3) and prohibition of sexual harassment under section 6 of the Act.</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Occupational Safety and Health Act, 2007; and</w:t>
      </w:r>
    </w:p>
    <w:p w:rsidR="000D356D" w:rsidRPr="006E438B" w:rsidRDefault="004B4CCC" w:rsidP="000D356D">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Labour Relations Act, 2007</w:t>
      </w:r>
      <w:r w:rsidR="00C966FE">
        <w:rPr>
          <w:rFonts w:ascii="Times New Roman" w:hAnsi="Times New Roman"/>
          <w:sz w:val="24"/>
          <w:szCs w:val="24"/>
        </w:rPr>
        <w:t>.</w:t>
      </w:r>
    </w:p>
    <w:p w:rsidR="006E438B" w:rsidRDefault="006E438B" w:rsidP="006E438B">
      <w:pPr>
        <w:numPr>
          <w:ilvl w:val="0"/>
          <w:numId w:val="13"/>
        </w:numPr>
        <w:spacing w:after="0" w:line="360" w:lineRule="auto"/>
        <w:jc w:val="both"/>
        <w:rPr>
          <w:rFonts w:ascii="Times New Roman" w:hAnsi="Times New Roman"/>
          <w:b/>
          <w:bCs/>
          <w:sz w:val="24"/>
          <w:szCs w:val="24"/>
          <w:u w:val="single"/>
        </w:rPr>
      </w:pPr>
      <w:r>
        <w:rPr>
          <w:rFonts w:ascii="Times New Roman" w:hAnsi="Times New Roman"/>
          <w:b/>
          <w:bCs/>
          <w:sz w:val="24"/>
          <w:szCs w:val="24"/>
          <w:u w:val="single"/>
        </w:rPr>
        <w:t>JURISDICTION OF THE COURT MARTIAL ART 169 (1</w:t>
      </w:r>
      <w:proofErr w:type="gramStart"/>
      <w:r>
        <w:rPr>
          <w:rFonts w:ascii="Times New Roman" w:hAnsi="Times New Roman"/>
          <w:b/>
          <w:bCs/>
          <w:sz w:val="24"/>
          <w:szCs w:val="24"/>
          <w:u w:val="single"/>
        </w:rPr>
        <w:t>)(</w:t>
      </w:r>
      <w:proofErr w:type="gramEnd"/>
      <w:r>
        <w:rPr>
          <w:rFonts w:ascii="Times New Roman" w:hAnsi="Times New Roman"/>
          <w:b/>
          <w:bCs/>
          <w:sz w:val="24"/>
          <w:szCs w:val="24"/>
          <w:u w:val="single"/>
        </w:rPr>
        <w:t>C).</w:t>
      </w:r>
    </w:p>
    <w:p w:rsidR="006E438B" w:rsidRDefault="006E438B" w:rsidP="006E438B">
      <w:pPr>
        <w:spacing w:after="0" w:line="360" w:lineRule="auto"/>
        <w:jc w:val="both"/>
        <w:rPr>
          <w:rFonts w:ascii="Times New Roman" w:hAnsi="Times New Roman"/>
          <w:b/>
          <w:bCs/>
          <w:sz w:val="24"/>
          <w:szCs w:val="24"/>
          <w:u w:val="single"/>
        </w:rPr>
      </w:pPr>
      <w:r>
        <w:rPr>
          <w:rFonts w:ascii="Times New Roman" w:hAnsi="Times New Roman"/>
          <w:b/>
          <w:bCs/>
          <w:sz w:val="24"/>
          <w:szCs w:val="24"/>
          <w:u w:val="single"/>
        </w:rPr>
        <w:t>Armed Forces Act Chapter 199</w:t>
      </w:r>
    </w:p>
    <w:p w:rsidR="006E438B" w:rsidRDefault="006E438B" w:rsidP="006E438B">
      <w:pPr>
        <w:spacing w:after="0" w:line="360" w:lineRule="auto"/>
        <w:jc w:val="both"/>
        <w:rPr>
          <w:rFonts w:ascii="Times New Roman" w:hAnsi="Times New Roman"/>
          <w:b/>
          <w:bCs/>
          <w:sz w:val="24"/>
          <w:szCs w:val="24"/>
        </w:rPr>
      </w:pPr>
      <w:r>
        <w:rPr>
          <w:rFonts w:ascii="Times New Roman" w:hAnsi="Times New Roman"/>
          <w:b/>
          <w:bCs/>
          <w:sz w:val="24"/>
          <w:szCs w:val="24"/>
        </w:rPr>
        <w:t xml:space="preserve"> Section 69(1): Civil Offences</w:t>
      </w:r>
    </w:p>
    <w:p w:rsidR="006E438B" w:rsidRDefault="006E438B" w:rsidP="006E438B">
      <w:pPr>
        <w:spacing w:after="0" w:line="360" w:lineRule="auto"/>
        <w:jc w:val="both"/>
        <w:rPr>
          <w:rFonts w:ascii="Times New Roman" w:hAnsi="Times New Roman"/>
          <w:sz w:val="24"/>
          <w:szCs w:val="24"/>
        </w:rPr>
      </w:pPr>
      <w:r>
        <w:rPr>
          <w:rFonts w:ascii="Times New Roman" w:hAnsi="Times New Roman"/>
          <w:sz w:val="24"/>
          <w:szCs w:val="24"/>
        </w:rPr>
        <w:t xml:space="preserve">This act shall apply to officers and servicemen who are not reservists and to reservists who have been called out for training for a period in the aggregate not exceeding twenty eight days to </w:t>
      </w:r>
      <w:r>
        <w:rPr>
          <w:rFonts w:ascii="Times New Roman" w:hAnsi="Times New Roman"/>
          <w:sz w:val="24"/>
          <w:szCs w:val="24"/>
        </w:rPr>
        <w:lastRenderedPageBreak/>
        <w:t>include every reservist called by the President under Gazette notice temporarily  to strengthen the officers during the time of war or to support the civil power in the maintenance of order in the event of disturbance for a period not exceeding twenty eight days; and any person who is serving with the armed forces under an engagement whereby he agrees to be subject to this Act, and who is not otherwise subject to this Act.</w:t>
      </w:r>
    </w:p>
    <w:p w:rsidR="006E438B" w:rsidRDefault="006E438B" w:rsidP="006E438B">
      <w:pPr>
        <w:spacing w:after="0" w:line="360" w:lineRule="auto"/>
        <w:jc w:val="both"/>
        <w:rPr>
          <w:rFonts w:ascii="Times New Roman" w:hAnsi="Times New Roman"/>
          <w:sz w:val="24"/>
          <w:szCs w:val="24"/>
        </w:rPr>
      </w:pPr>
      <w:r>
        <w:rPr>
          <w:rFonts w:ascii="Times New Roman" w:hAnsi="Times New Roman"/>
          <w:sz w:val="24"/>
          <w:szCs w:val="24"/>
        </w:rPr>
        <w:t xml:space="preserve">(1) Any person subject to this Act who commits a civil offence, whether in Kenya or elsewhere, shall be guilty of an offence and, on conviction by court martial- </w:t>
      </w:r>
    </w:p>
    <w:p w:rsidR="006E438B" w:rsidRDefault="006E438B" w:rsidP="006E438B">
      <w:pPr>
        <w:spacing w:after="0" w:line="360" w:lineRule="auto"/>
        <w:jc w:val="both"/>
        <w:rPr>
          <w:rFonts w:ascii="Times New Roman" w:hAnsi="Times New Roman"/>
          <w:b/>
          <w:bCs/>
          <w:sz w:val="24"/>
          <w:szCs w:val="24"/>
          <w:u w:val="single"/>
        </w:rPr>
      </w:pPr>
      <w:r>
        <w:rPr>
          <w:rFonts w:ascii="Times New Roman" w:hAnsi="Times New Roman"/>
          <w:b/>
          <w:bCs/>
          <w:sz w:val="24"/>
          <w:szCs w:val="24"/>
          <w:u w:val="single"/>
        </w:rPr>
        <w:t>Offences concerning Courts Martial and other Authorities Section 52</w:t>
      </w:r>
    </w:p>
    <w:p w:rsidR="006E438B" w:rsidRDefault="006E438B" w:rsidP="006E438B">
      <w:pPr>
        <w:spacing w:after="0" w:line="360" w:lineRule="auto"/>
        <w:jc w:val="both"/>
        <w:rPr>
          <w:rFonts w:ascii="Times New Roman" w:hAnsi="Times New Roman"/>
          <w:b/>
          <w:bCs/>
          <w:sz w:val="24"/>
          <w:szCs w:val="24"/>
        </w:rPr>
      </w:pPr>
      <w:r>
        <w:rPr>
          <w:rFonts w:ascii="Times New Roman" w:hAnsi="Times New Roman"/>
          <w:sz w:val="24"/>
          <w:szCs w:val="24"/>
        </w:rPr>
        <w:t xml:space="preserve"> Any person subject to this Act who- </w:t>
      </w:r>
    </w:p>
    <w:p w:rsidR="006E438B" w:rsidRDefault="006E438B" w:rsidP="006E438B">
      <w:pPr>
        <w:numPr>
          <w:ilvl w:val="0"/>
          <w:numId w:val="32"/>
        </w:numPr>
        <w:spacing w:after="0" w:line="360" w:lineRule="auto"/>
        <w:jc w:val="both"/>
        <w:rPr>
          <w:rFonts w:ascii="Times New Roman" w:hAnsi="Times New Roman"/>
          <w:sz w:val="24"/>
          <w:szCs w:val="24"/>
        </w:rPr>
      </w:pPr>
      <w:r>
        <w:rPr>
          <w:rFonts w:ascii="Times New Roman" w:hAnsi="Times New Roman"/>
          <w:sz w:val="24"/>
          <w:szCs w:val="24"/>
        </w:rPr>
        <w:t xml:space="preserve">Having been duly summoned or ordered to attend as a witness before a court martial, fails to comply with the summons or order </w:t>
      </w:r>
    </w:p>
    <w:p w:rsidR="006E438B" w:rsidRDefault="006E438B" w:rsidP="006E438B">
      <w:pPr>
        <w:numPr>
          <w:ilvl w:val="0"/>
          <w:numId w:val="32"/>
        </w:numPr>
        <w:spacing w:after="0" w:line="360" w:lineRule="auto"/>
        <w:jc w:val="both"/>
        <w:rPr>
          <w:rFonts w:ascii="Times New Roman" w:hAnsi="Times New Roman"/>
          <w:sz w:val="24"/>
          <w:szCs w:val="24"/>
        </w:rPr>
      </w:pPr>
      <w:r w:rsidRPr="006E438B">
        <w:rPr>
          <w:rFonts w:ascii="Times New Roman" w:hAnsi="Times New Roman"/>
          <w:sz w:val="24"/>
          <w:szCs w:val="24"/>
        </w:rPr>
        <w:t xml:space="preserve"> Refuses to swear an oath when duly required by a court martial to do so; or</w:t>
      </w:r>
    </w:p>
    <w:p w:rsidR="006E438B" w:rsidRDefault="006E438B" w:rsidP="006E438B">
      <w:pPr>
        <w:numPr>
          <w:ilvl w:val="0"/>
          <w:numId w:val="32"/>
        </w:numPr>
        <w:spacing w:after="0" w:line="360" w:lineRule="auto"/>
        <w:jc w:val="both"/>
        <w:rPr>
          <w:rFonts w:ascii="Times New Roman" w:hAnsi="Times New Roman"/>
          <w:sz w:val="24"/>
          <w:szCs w:val="24"/>
        </w:rPr>
      </w:pPr>
      <w:r w:rsidRPr="006E438B">
        <w:rPr>
          <w:rFonts w:ascii="Times New Roman" w:hAnsi="Times New Roman"/>
          <w:sz w:val="24"/>
          <w:szCs w:val="24"/>
        </w:rPr>
        <w:t>Refuses to produce any document in his custody or under his control which a court martial has lawfully required him to produce; or</w:t>
      </w:r>
    </w:p>
    <w:p w:rsidR="006E438B" w:rsidRDefault="006E438B" w:rsidP="006E438B">
      <w:pPr>
        <w:numPr>
          <w:ilvl w:val="0"/>
          <w:numId w:val="32"/>
        </w:numPr>
        <w:spacing w:after="0" w:line="360" w:lineRule="auto"/>
        <w:jc w:val="both"/>
        <w:rPr>
          <w:rFonts w:ascii="Times New Roman" w:hAnsi="Times New Roman"/>
          <w:sz w:val="24"/>
          <w:szCs w:val="24"/>
        </w:rPr>
      </w:pPr>
      <w:r w:rsidRPr="006E438B">
        <w:rPr>
          <w:rFonts w:ascii="Times New Roman" w:hAnsi="Times New Roman"/>
          <w:sz w:val="24"/>
          <w:szCs w:val="24"/>
        </w:rPr>
        <w:t xml:space="preserve">When a witness, refuses to answer any question which a court martial has lawfully required him to answer; or </w:t>
      </w:r>
    </w:p>
    <w:p w:rsidR="006E438B" w:rsidRDefault="006E438B" w:rsidP="006E438B">
      <w:pPr>
        <w:numPr>
          <w:ilvl w:val="0"/>
          <w:numId w:val="32"/>
        </w:numPr>
        <w:spacing w:after="0" w:line="360" w:lineRule="auto"/>
        <w:jc w:val="both"/>
        <w:rPr>
          <w:rFonts w:ascii="Times New Roman" w:hAnsi="Times New Roman"/>
          <w:sz w:val="24"/>
          <w:szCs w:val="24"/>
        </w:rPr>
      </w:pPr>
      <w:r w:rsidRPr="006E438B">
        <w:rPr>
          <w:rFonts w:ascii="Times New Roman" w:hAnsi="Times New Roman"/>
          <w:sz w:val="24"/>
          <w:szCs w:val="24"/>
        </w:rPr>
        <w:t>Willfully insults any person who is a member of a court martial or a witness, or any other person whose duty it is to attend on or before the court, while that person is acting as a member thereof or is so attending, or willfully insults any such person while that person is going to or returning from the proceedings of the court; or</w:t>
      </w:r>
    </w:p>
    <w:p w:rsidR="006E438B" w:rsidRPr="006E438B" w:rsidRDefault="006E438B" w:rsidP="006E438B">
      <w:pPr>
        <w:numPr>
          <w:ilvl w:val="0"/>
          <w:numId w:val="32"/>
        </w:numPr>
        <w:spacing w:after="0" w:line="360" w:lineRule="auto"/>
        <w:jc w:val="both"/>
        <w:rPr>
          <w:rFonts w:ascii="Times New Roman" w:hAnsi="Times New Roman"/>
          <w:sz w:val="24"/>
          <w:szCs w:val="24"/>
        </w:rPr>
      </w:pPr>
      <w:r w:rsidRPr="006E438B">
        <w:rPr>
          <w:rFonts w:ascii="Times New Roman" w:hAnsi="Times New Roman"/>
          <w:sz w:val="24"/>
          <w:szCs w:val="24"/>
        </w:rPr>
        <w:t>Willfully interrupts the proceedings of a court martial or otherwise misbehaves before the court, shall be guilty of an offence and liable, on conviction by court martial, other than the court in relation to which the offence was committed, to imprisonment for a term not exceeding two years or any less punishment provided by this Act.</w:t>
      </w:r>
    </w:p>
    <w:p w:rsidR="006E438B" w:rsidRDefault="006E438B" w:rsidP="006E438B">
      <w:pPr>
        <w:spacing w:after="0" w:line="360" w:lineRule="auto"/>
        <w:jc w:val="both"/>
        <w:rPr>
          <w:rFonts w:ascii="Times New Roman" w:hAnsi="Times New Roman"/>
          <w:sz w:val="24"/>
          <w:szCs w:val="24"/>
        </w:rPr>
      </w:pPr>
      <w:r>
        <w:rPr>
          <w:rFonts w:ascii="Times New Roman" w:hAnsi="Times New Roman"/>
          <w:sz w:val="24"/>
          <w:szCs w:val="24"/>
        </w:rPr>
        <w:t xml:space="preserve"> (2) Notwithstanding subsection (1), where an offence under paragraph (e) or paragraph (f) of that subsection is committed in relation to a court martial, that court martial, if of opinion that it is expedient that the offender should be dealt with summarily by the court instead of being brought to trial before another court martial, may, by order under the hand of the president of the court, order the offender to be imprisoned for a term not exceeding twenty-one days. </w:t>
      </w:r>
    </w:p>
    <w:p w:rsidR="006E438B" w:rsidRDefault="006E438B" w:rsidP="006E438B">
      <w:pPr>
        <w:spacing w:after="0" w:line="360" w:lineRule="auto"/>
        <w:jc w:val="both"/>
        <w:rPr>
          <w:rFonts w:ascii="Times New Roman" w:hAnsi="Times New Roman"/>
          <w:sz w:val="24"/>
          <w:szCs w:val="24"/>
        </w:rPr>
      </w:pPr>
      <w:r>
        <w:rPr>
          <w:rFonts w:ascii="Times New Roman" w:hAnsi="Times New Roman"/>
          <w:sz w:val="24"/>
          <w:szCs w:val="24"/>
        </w:rPr>
        <w:t xml:space="preserve">53. (1) Any person subject to this Act who, having been lawfully sworn as a witness or as an interpreter in proceedings before a court martial or before any board or person having power </w:t>
      </w:r>
      <w:r>
        <w:rPr>
          <w:rFonts w:ascii="Times New Roman" w:hAnsi="Times New Roman"/>
          <w:sz w:val="24"/>
          <w:szCs w:val="24"/>
        </w:rPr>
        <w:lastRenderedPageBreak/>
        <w:t xml:space="preserve">under this Act to administer oaths, makes a statement material in those proceedings which he knows to be false or does not believe to be true shall be guilty of an offence and liable, on conviction by court martial, to imprisonment for a term not exceeding seven years or any less punishment provided by this Act. </w:t>
      </w:r>
    </w:p>
    <w:p w:rsidR="006E438B" w:rsidRDefault="006E438B" w:rsidP="006E438B">
      <w:pPr>
        <w:spacing w:after="0" w:line="360" w:lineRule="auto"/>
        <w:jc w:val="both"/>
        <w:rPr>
          <w:rFonts w:ascii="Times New Roman" w:hAnsi="Times New Roman"/>
          <w:b/>
          <w:bCs/>
          <w:sz w:val="24"/>
          <w:szCs w:val="24"/>
          <w:u w:val="single"/>
        </w:rPr>
      </w:pPr>
      <w:r>
        <w:rPr>
          <w:rFonts w:ascii="Times New Roman" w:hAnsi="Times New Roman"/>
          <w:b/>
          <w:bCs/>
          <w:sz w:val="24"/>
          <w:szCs w:val="24"/>
          <w:u w:val="single"/>
        </w:rPr>
        <w:t>Sitting and Power of the Court Martial (Sec 162 of the Kenya Defence Forces Act)</w:t>
      </w:r>
    </w:p>
    <w:p w:rsidR="006E438B" w:rsidRDefault="006E438B" w:rsidP="006E438B">
      <w:pPr>
        <w:pStyle w:val="ListParagraph"/>
        <w:numPr>
          <w:ilvl w:val="0"/>
          <w:numId w:val="31"/>
        </w:numPr>
        <w:spacing w:after="0" w:line="360" w:lineRule="auto"/>
        <w:jc w:val="both"/>
        <w:rPr>
          <w:rFonts w:ascii="Times New Roman" w:hAnsi="Times New Roman"/>
          <w:sz w:val="24"/>
          <w:szCs w:val="24"/>
        </w:rPr>
      </w:pPr>
      <w:r>
        <w:rPr>
          <w:rFonts w:ascii="Times New Roman" w:hAnsi="Times New Roman"/>
          <w:sz w:val="24"/>
          <w:szCs w:val="24"/>
        </w:rPr>
        <w:t>The court martial may sit in any place, whether within or outside the Republic of Kenya,</w:t>
      </w:r>
    </w:p>
    <w:p w:rsidR="006E438B" w:rsidRDefault="006E438B" w:rsidP="006E438B">
      <w:pPr>
        <w:pStyle w:val="ListParagraph"/>
        <w:numPr>
          <w:ilvl w:val="0"/>
          <w:numId w:val="31"/>
        </w:numPr>
        <w:spacing w:after="0" w:line="360" w:lineRule="auto"/>
        <w:jc w:val="both"/>
        <w:rPr>
          <w:rFonts w:ascii="Times New Roman" w:hAnsi="Times New Roman"/>
          <w:sz w:val="24"/>
          <w:szCs w:val="24"/>
        </w:rPr>
      </w:pPr>
      <w:r>
        <w:rPr>
          <w:rFonts w:ascii="Times New Roman" w:hAnsi="Times New Roman"/>
          <w:sz w:val="24"/>
          <w:szCs w:val="24"/>
        </w:rPr>
        <w:t>If a court martial sitting at some place considers it necessary in the interest of justice to sit at some other place, it may adjourn for purposes of sitting at that other place.</w:t>
      </w:r>
    </w:p>
    <w:p w:rsidR="006E438B" w:rsidRPr="006E438B" w:rsidRDefault="006E438B" w:rsidP="006E438B">
      <w:pPr>
        <w:pStyle w:val="ListParagraph"/>
        <w:numPr>
          <w:ilvl w:val="0"/>
          <w:numId w:val="31"/>
        </w:numPr>
        <w:spacing w:after="0" w:line="360" w:lineRule="auto"/>
        <w:jc w:val="both"/>
        <w:rPr>
          <w:rFonts w:ascii="Times New Roman" w:hAnsi="Times New Roman"/>
          <w:sz w:val="24"/>
          <w:szCs w:val="24"/>
        </w:rPr>
      </w:pPr>
      <w:r>
        <w:rPr>
          <w:rFonts w:ascii="Times New Roman" w:hAnsi="Times New Roman"/>
          <w:sz w:val="24"/>
          <w:szCs w:val="24"/>
        </w:rPr>
        <w:t>A court martial shall have the power to try any person subject to the Kenya Defence Forces Act for any offences under the Act, and to award any punishment provided for by the Act for that offence. (Section 55(1) (2) of the Kenya Defense Forces Act).</w:t>
      </w:r>
    </w:p>
    <w:p w:rsidR="00086680" w:rsidRPr="00017FE5" w:rsidRDefault="00086680" w:rsidP="006303BF">
      <w:pPr>
        <w:numPr>
          <w:ilvl w:val="0"/>
          <w:numId w:val="13"/>
        </w:numPr>
        <w:spacing w:after="0" w:line="360" w:lineRule="auto"/>
        <w:jc w:val="both"/>
        <w:rPr>
          <w:rFonts w:ascii="Times New Roman" w:hAnsi="Times New Roman"/>
          <w:b/>
          <w:sz w:val="24"/>
          <w:szCs w:val="24"/>
          <w:u w:val="single"/>
        </w:rPr>
      </w:pPr>
      <w:r>
        <w:rPr>
          <w:rFonts w:ascii="Times New Roman" w:hAnsi="Times New Roman"/>
          <w:b/>
          <w:sz w:val="24"/>
          <w:szCs w:val="24"/>
          <w:u w:val="single"/>
        </w:rPr>
        <w:t>JURISDICTION OF THE KADHIS' COURTS</w:t>
      </w:r>
    </w:p>
    <w:p w:rsidR="00086680" w:rsidRPr="00017FE5"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t>The jurisdiction of the Kadhis' is guided by both the constitution of Kenya 2010</w:t>
      </w:r>
      <w:r w:rsidRPr="00017FE5">
        <w:rPr>
          <w:rStyle w:val="FootnoteReference"/>
          <w:rFonts w:ascii="Times New Roman" w:hAnsi="Times New Roman"/>
          <w:sz w:val="24"/>
          <w:szCs w:val="24"/>
        </w:rPr>
        <w:footnoteReference w:id="33"/>
      </w:r>
      <w:r w:rsidRPr="00017FE5">
        <w:rPr>
          <w:rFonts w:ascii="Times New Roman" w:hAnsi="Times New Roman"/>
          <w:sz w:val="24"/>
          <w:szCs w:val="24"/>
        </w:rPr>
        <w:t xml:space="preserve"> and the Kadhis' courts Act.</w:t>
      </w:r>
      <w:r w:rsidRPr="00017FE5">
        <w:rPr>
          <w:rStyle w:val="FootnoteReference"/>
          <w:rFonts w:ascii="Times New Roman" w:hAnsi="Times New Roman"/>
          <w:sz w:val="24"/>
          <w:szCs w:val="24"/>
        </w:rPr>
        <w:footnoteReference w:id="34"/>
      </w:r>
    </w:p>
    <w:p w:rsidR="00086680" w:rsidRPr="00017FE5"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t>Section 5</w:t>
      </w:r>
      <w:r w:rsidRPr="00017FE5">
        <w:rPr>
          <w:rStyle w:val="FootnoteReference"/>
          <w:rFonts w:ascii="Times New Roman" w:hAnsi="Times New Roman"/>
          <w:sz w:val="24"/>
          <w:szCs w:val="24"/>
        </w:rPr>
        <w:footnoteReference w:id="35"/>
      </w:r>
      <w:r w:rsidRPr="00017FE5">
        <w:rPr>
          <w:rFonts w:ascii="Times New Roman" w:hAnsi="Times New Roman"/>
          <w:sz w:val="24"/>
          <w:szCs w:val="24"/>
        </w:rPr>
        <w:t xml:space="preserve">, in establishing the jurisdiction of the court, provided that the court shall have jurisdiction to determine the question of Muslim law relating to personal status, marriage, divorce or inheritance in proceedings where both parties are Muslims. </w:t>
      </w:r>
      <w:r>
        <w:rPr>
          <w:rFonts w:ascii="Times New Roman" w:hAnsi="Times New Roman"/>
          <w:sz w:val="24"/>
          <w:szCs w:val="24"/>
        </w:rPr>
        <w:t xml:space="preserve"> </w:t>
      </w:r>
      <w:r w:rsidRPr="00017FE5">
        <w:rPr>
          <w:rFonts w:ascii="Times New Roman" w:hAnsi="Times New Roman"/>
          <w:sz w:val="24"/>
          <w:szCs w:val="24"/>
        </w:rPr>
        <w:t>However, this section does not incorporate that even where the proceedings must involve parties</w:t>
      </w:r>
      <w:r>
        <w:rPr>
          <w:rFonts w:ascii="Times New Roman" w:hAnsi="Times New Roman"/>
          <w:sz w:val="24"/>
          <w:szCs w:val="24"/>
        </w:rPr>
        <w:t xml:space="preserve"> </w:t>
      </w:r>
      <w:r w:rsidRPr="00017FE5">
        <w:rPr>
          <w:rFonts w:ascii="Times New Roman" w:hAnsi="Times New Roman"/>
          <w:sz w:val="24"/>
          <w:szCs w:val="24"/>
        </w:rPr>
        <w:t>who are both Muslims, that both also must submit to the jurisdiction of the Kadhis' court.</w:t>
      </w:r>
      <w:r w:rsidRPr="00017FE5">
        <w:rPr>
          <w:rStyle w:val="FootnoteReference"/>
          <w:rFonts w:ascii="Times New Roman" w:hAnsi="Times New Roman"/>
          <w:sz w:val="24"/>
          <w:szCs w:val="24"/>
        </w:rPr>
        <w:footnoteReference w:id="36"/>
      </w:r>
    </w:p>
    <w:p w:rsidR="00086680" w:rsidRPr="0019740D"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t>The Act, however, sets out that the jurisdiction of the High Court and the subordinate Courts shall not be limited in any proceedings that come before it.</w:t>
      </w:r>
      <w:r w:rsidRPr="00017FE5">
        <w:rPr>
          <w:rStyle w:val="FootnoteReference"/>
          <w:rFonts w:ascii="Times New Roman" w:hAnsi="Times New Roman"/>
          <w:sz w:val="24"/>
          <w:szCs w:val="24"/>
        </w:rPr>
        <w:footnoteReference w:id="37"/>
      </w:r>
      <w:r w:rsidRPr="00017FE5">
        <w:rPr>
          <w:rFonts w:ascii="Times New Roman" w:hAnsi="Times New Roman"/>
          <w:sz w:val="24"/>
          <w:szCs w:val="24"/>
        </w:rPr>
        <w:t xml:space="preserve"> This means that irrespective of whether the parties have a claim</w:t>
      </w:r>
      <w:r>
        <w:rPr>
          <w:rFonts w:ascii="Times New Roman" w:hAnsi="Times New Roman"/>
          <w:sz w:val="24"/>
          <w:szCs w:val="24"/>
        </w:rPr>
        <w:t xml:space="preserve"> that can be determined by the </w:t>
      </w:r>
      <w:r w:rsidRPr="00017FE5">
        <w:rPr>
          <w:rFonts w:ascii="Times New Roman" w:hAnsi="Times New Roman"/>
          <w:sz w:val="24"/>
          <w:szCs w:val="24"/>
        </w:rPr>
        <w:t xml:space="preserve">Kadhis' Courts, these parties can as well elect to take their case to either the High Court of Kenya or a subordinate court in Kenya if they believe that justice will be served better under those forums. </w:t>
      </w:r>
    </w:p>
    <w:p w:rsidR="009C08C2" w:rsidRPr="00D34449" w:rsidRDefault="00DC5ACA" w:rsidP="00D34449">
      <w:pPr>
        <w:numPr>
          <w:ilvl w:val="0"/>
          <w:numId w:val="13"/>
        </w:numPr>
        <w:spacing w:after="0" w:line="360" w:lineRule="auto"/>
        <w:jc w:val="both"/>
        <w:rPr>
          <w:rFonts w:ascii="Times New Roman" w:hAnsi="Times New Roman"/>
          <w:b/>
          <w:sz w:val="24"/>
          <w:szCs w:val="24"/>
          <w:u w:val="single"/>
        </w:rPr>
      </w:pPr>
      <w:r w:rsidRPr="00015786">
        <w:rPr>
          <w:rFonts w:ascii="Times New Roman" w:hAnsi="Times New Roman"/>
          <w:b/>
          <w:sz w:val="24"/>
          <w:szCs w:val="24"/>
          <w:u w:val="single"/>
        </w:rPr>
        <w:t xml:space="preserve">JURISDICTION OF THE SMALL CLAIMS COURT </w:t>
      </w:r>
    </w:p>
    <w:p w:rsidR="00CD1FF7"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lastRenderedPageBreak/>
        <w:t>The</w:t>
      </w:r>
      <w:r w:rsidR="00520EBA" w:rsidRPr="00015786">
        <w:rPr>
          <w:rFonts w:ascii="Times New Roman" w:hAnsi="Times New Roman"/>
          <w:sz w:val="24"/>
          <w:szCs w:val="24"/>
        </w:rPr>
        <w:t xml:space="preserve"> statute that confers jurisdiction to the small claims court is the</w:t>
      </w:r>
      <w:r w:rsidRPr="00015786">
        <w:rPr>
          <w:rFonts w:ascii="Times New Roman" w:hAnsi="Times New Roman"/>
          <w:sz w:val="24"/>
          <w:szCs w:val="24"/>
        </w:rPr>
        <w:t xml:space="preserve"> Small Claims</w:t>
      </w:r>
      <w:r w:rsidR="00520EBA" w:rsidRPr="00015786">
        <w:rPr>
          <w:rFonts w:ascii="Times New Roman" w:hAnsi="Times New Roman"/>
          <w:sz w:val="24"/>
          <w:szCs w:val="24"/>
        </w:rPr>
        <w:t xml:space="preserve"> Court Act. The said court is </w:t>
      </w:r>
      <w:r w:rsidRPr="00015786">
        <w:rPr>
          <w:rFonts w:ascii="Times New Roman" w:hAnsi="Times New Roman"/>
          <w:sz w:val="24"/>
          <w:szCs w:val="24"/>
        </w:rPr>
        <w:t>to be presided over by an adjudicator.</w:t>
      </w:r>
      <w:r w:rsidR="00520EBA" w:rsidRPr="00015786">
        <w:rPr>
          <w:rStyle w:val="FootnoteReference"/>
          <w:rFonts w:ascii="Times New Roman" w:hAnsi="Times New Roman"/>
          <w:sz w:val="24"/>
          <w:szCs w:val="24"/>
        </w:rPr>
        <w:footnoteReference w:id="38"/>
      </w:r>
      <w:r w:rsidRPr="00015786">
        <w:rPr>
          <w:rFonts w:ascii="Times New Roman" w:hAnsi="Times New Roman"/>
          <w:sz w:val="24"/>
          <w:szCs w:val="24"/>
        </w:rPr>
        <w:t xml:space="preserve"> The adjudicator must be an advocate of the High Court of K</w:t>
      </w:r>
      <w:r w:rsidR="00CD1FF7" w:rsidRPr="00015786">
        <w:rPr>
          <w:rFonts w:ascii="Times New Roman" w:hAnsi="Times New Roman"/>
          <w:sz w:val="24"/>
          <w:szCs w:val="24"/>
        </w:rPr>
        <w:t>enya, with at least three years’ experience</w:t>
      </w:r>
      <w:r w:rsidRPr="00015786">
        <w:rPr>
          <w:rFonts w:ascii="Times New Roman" w:hAnsi="Times New Roman"/>
          <w:sz w:val="24"/>
          <w:szCs w:val="24"/>
        </w:rPr>
        <w:t xml:space="preserve"> in the legal field.</w:t>
      </w:r>
      <w:r w:rsidR="00CD1FF7" w:rsidRPr="00015786">
        <w:rPr>
          <w:rStyle w:val="FootnoteReference"/>
          <w:rFonts w:ascii="Times New Roman" w:hAnsi="Times New Roman"/>
          <w:sz w:val="24"/>
          <w:szCs w:val="24"/>
        </w:rPr>
        <w:footnoteReference w:id="39"/>
      </w:r>
    </w:p>
    <w:p w:rsidR="00CD1FF7" w:rsidRPr="00015786" w:rsidRDefault="00CD1FF7"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The </w:t>
      </w:r>
      <w:r w:rsidR="00114D55" w:rsidRPr="00015786">
        <w:rPr>
          <w:rFonts w:ascii="Times New Roman" w:hAnsi="Times New Roman"/>
          <w:sz w:val="24"/>
          <w:szCs w:val="24"/>
        </w:rPr>
        <w:t>nature of claims addressed by the court is outlined in the small claims act under section 12 to include the following:</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A contract for sale and supply of goods or services;</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A contract relating to money held and received;</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Liability in tort in respect of loss or damage caused to any property;</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For the delivery or recovery of movable property;</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Compensation for personal injuries; and</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Set-off and counterclaim under any contract.</w:t>
      </w:r>
    </w:p>
    <w:p w:rsidR="00CD1FF7" w:rsidRPr="00015786" w:rsidRDefault="00114D55"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The pecuniary jurisdiction of the Small Claims Courts is Kshs. 1,000,000.</w:t>
      </w:r>
      <w:r w:rsidRPr="00015786">
        <w:rPr>
          <w:rStyle w:val="FootnoteReference"/>
          <w:rFonts w:ascii="Times New Roman" w:hAnsi="Times New Roman"/>
          <w:sz w:val="24"/>
          <w:szCs w:val="24"/>
        </w:rPr>
        <w:footnoteReference w:id="40"/>
      </w:r>
    </w:p>
    <w:p w:rsidR="002761C9"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 The idea behind the S</w:t>
      </w:r>
      <w:r w:rsidR="00840A5A" w:rsidRPr="00015786">
        <w:rPr>
          <w:rFonts w:ascii="Times New Roman" w:hAnsi="Times New Roman"/>
          <w:sz w:val="24"/>
          <w:szCs w:val="24"/>
        </w:rPr>
        <w:t xml:space="preserve">mall </w:t>
      </w:r>
      <w:r w:rsidRPr="00015786">
        <w:rPr>
          <w:rFonts w:ascii="Times New Roman" w:hAnsi="Times New Roman"/>
          <w:sz w:val="24"/>
          <w:szCs w:val="24"/>
        </w:rPr>
        <w:t>C</w:t>
      </w:r>
      <w:r w:rsidR="00840A5A" w:rsidRPr="00015786">
        <w:rPr>
          <w:rFonts w:ascii="Times New Roman" w:hAnsi="Times New Roman"/>
          <w:sz w:val="24"/>
          <w:szCs w:val="24"/>
        </w:rPr>
        <w:t xml:space="preserve">laims </w:t>
      </w:r>
      <w:r w:rsidRPr="00015786">
        <w:rPr>
          <w:rFonts w:ascii="Times New Roman" w:hAnsi="Times New Roman"/>
          <w:sz w:val="24"/>
          <w:szCs w:val="24"/>
        </w:rPr>
        <w:t>C</w:t>
      </w:r>
      <w:r w:rsidR="00840A5A" w:rsidRPr="00015786">
        <w:rPr>
          <w:rFonts w:ascii="Times New Roman" w:hAnsi="Times New Roman"/>
          <w:sz w:val="24"/>
          <w:szCs w:val="24"/>
        </w:rPr>
        <w:t>ourt</w:t>
      </w:r>
      <w:r w:rsidRPr="00015786">
        <w:rPr>
          <w:rFonts w:ascii="Times New Roman" w:hAnsi="Times New Roman"/>
          <w:sz w:val="24"/>
          <w:szCs w:val="24"/>
        </w:rPr>
        <w:t xml:space="preserve"> is to allow for access to justice to the masses through a quick, inexpensive and expeditious informal process, in order to guarantee the right of access to justice under Article 48 of the Constitution. The courts should ideally be accessible in every sub-county and progressively in other decentralized units of judicial service delivery.</w:t>
      </w:r>
    </w:p>
    <w:p w:rsidR="009C08C2"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The Small Claims Court is not tied down by the Civil Procedure Rules (2010), with the procedures in the court being touted as deliberately less formal, simple and straightforward. The Small Claims Court Act excludes strict application of the rules of evidence to court proceedings and may indeed admit as evidence material the Court considers credible or trustworthy.</w:t>
      </w:r>
    </w:p>
    <w:p w:rsidR="00FA0892" w:rsidRPr="00DC5ACA" w:rsidRDefault="004E625E" w:rsidP="00DC5ACA">
      <w:pPr>
        <w:numPr>
          <w:ilvl w:val="0"/>
          <w:numId w:val="13"/>
        </w:numPr>
        <w:spacing w:after="0" w:line="360" w:lineRule="auto"/>
        <w:jc w:val="both"/>
        <w:rPr>
          <w:rFonts w:ascii="Times New Roman" w:hAnsi="Times New Roman"/>
          <w:b/>
          <w:sz w:val="24"/>
          <w:szCs w:val="24"/>
        </w:rPr>
      </w:pPr>
      <w:r w:rsidRPr="00DC5ACA">
        <w:rPr>
          <w:rFonts w:ascii="Times New Roman" w:hAnsi="Times New Roman"/>
          <w:b/>
          <w:sz w:val="24"/>
          <w:szCs w:val="24"/>
          <w:u w:val="single"/>
        </w:rPr>
        <w:t xml:space="preserve">JURISDICTION OF TRIBUNALS  </w:t>
      </w:r>
    </w:p>
    <w:p w:rsidR="00FA0892" w:rsidRPr="00015786" w:rsidRDefault="00FA0892"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Apart from the courts established in Kenya, our constitution also envisages the establishment of different tribunal by acts of parliament. It </w:t>
      </w:r>
      <w:r w:rsidR="00D5239A" w:rsidRPr="00015786">
        <w:rPr>
          <w:rFonts w:ascii="Times New Roman" w:hAnsi="Times New Roman"/>
          <w:sz w:val="24"/>
          <w:szCs w:val="24"/>
        </w:rPr>
        <w:t>provides …any</w:t>
      </w:r>
      <w:r w:rsidRPr="00015786">
        <w:rPr>
          <w:rFonts w:ascii="Times New Roman" w:hAnsi="Times New Roman"/>
          <w:sz w:val="24"/>
          <w:szCs w:val="24"/>
        </w:rPr>
        <w:t xml:space="preserve"> other court or local tribunal as may be </w:t>
      </w:r>
      <w:r w:rsidR="00336D71" w:rsidRPr="00015786">
        <w:rPr>
          <w:rFonts w:ascii="Times New Roman" w:hAnsi="Times New Roman"/>
          <w:sz w:val="24"/>
          <w:szCs w:val="24"/>
        </w:rPr>
        <w:t xml:space="preserve">established by an act of </w:t>
      </w:r>
      <w:r w:rsidR="00D5239A" w:rsidRPr="00015786">
        <w:rPr>
          <w:rFonts w:ascii="Times New Roman" w:hAnsi="Times New Roman"/>
          <w:sz w:val="24"/>
          <w:szCs w:val="24"/>
        </w:rPr>
        <w:t>parliament other</w:t>
      </w:r>
      <w:r w:rsidR="00336D71" w:rsidRPr="00015786">
        <w:rPr>
          <w:rFonts w:ascii="Times New Roman" w:hAnsi="Times New Roman"/>
          <w:sz w:val="24"/>
          <w:szCs w:val="24"/>
        </w:rPr>
        <w:t xml:space="preserve"> than the courts established as required by article 162.</w:t>
      </w:r>
      <w:r w:rsidR="00D5239A" w:rsidRPr="00015786">
        <w:rPr>
          <w:rStyle w:val="FootnoteReference"/>
          <w:rFonts w:ascii="Times New Roman" w:hAnsi="Times New Roman"/>
          <w:sz w:val="24"/>
          <w:szCs w:val="24"/>
        </w:rPr>
        <w:footnoteReference w:id="41"/>
      </w:r>
    </w:p>
    <w:p w:rsidR="005C5129" w:rsidRPr="00015786" w:rsidRDefault="00213689" w:rsidP="00015786">
      <w:pPr>
        <w:spacing w:after="0" w:line="360" w:lineRule="auto"/>
        <w:jc w:val="both"/>
        <w:rPr>
          <w:rFonts w:ascii="Times New Roman" w:hAnsi="Times New Roman"/>
          <w:sz w:val="24"/>
          <w:szCs w:val="24"/>
        </w:rPr>
      </w:pPr>
      <w:r w:rsidRPr="00015786">
        <w:rPr>
          <w:rFonts w:ascii="Times New Roman" w:hAnsi="Times New Roman"/>
          <w:sz w:val="24"/>
          <w:szCs w:val="24"/>
        </w:rPr>
        <w:t>The parliament is therefore given the power to enact different legislations conferring jurisdiction on the said tribunals.</w:t>
      </w:r>
      <w:r w:rsidRPr="00015786">
        <w:rPr>
          <w:rStyle w:val="FootnoteReference"/>
          <w:rFonts w:ascii="Times New Roman" w:hAnsi="Times New Roman"/>
          <w:sz w:val="24"/>
          <w:szCs w:val="24"/>
        </w:rPr>
        <w:footnoteReference w:id="42"/>
      </w:r>
      <w:r w:rsidRPr="00015786">
        <w:rPr>
          <w:rFonts w:ascii="Times New Roman" w:hAnsi="Times New Roman"/>
          <w:sz w:val="24"/>
          <w:szCs w:val="24"/>
        </w:rPr>
        <w:t xml:space="preserve"> In that regard then then, parliament has enacted legislations establishing various tribunals. Just to mention but a few:</w:t>
      </w:r>
    </w:p>
    <w:p w:rsidR="007F4A03" w:rsidRPr="00015786" w:rsidRDefault="007F4A03"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Legal education appeals tribunal</w:t>
      </w:r>
    </w:p>
    <w:p w:rsidR="00D5239A"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lastRenderedPageBreak/>
        <w:t>Tax Appeals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Industrial Property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Communication and Multimedia Appeals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HIV &amp; AIDS Tribunal</w:t>
      </w:r>
    </w:p>
    <w:p w:rsidR="005617F9" w:rsidRPr="00A569F9" w:rsidRDefault="007F4A03" w:rsidP="005617F9">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National Environment Tribunal</w:t>
      </w:r>
    </w:p>
    <w:p w:rsidR="007F4A03" w:rsidRPr="00015786" w:rsidRDefault="007F4A03" w:rsidP="00015786">
      <w:pPr>
        <w:numPr>
          <w:ilvl w:val="0"/>
          <w:numId w:val="7"/>
        </w:numPr>
        <w:spacing w:after="0" w:line="360" w:lineRule="auto"/>
        <w:jc w:val="both"/>
        <w:rPr>
          <w:rFonts w:ascii="Times New Roman" w:hAnsi="Times New Roman"/>
          <w:b/>
          <w:sz w:val="24"/>
          <w:szCs w:val="24"/>
          <w:u w:val="single"/>
        </w:rPr>
      </w:pPr>
      <w:r w:rsidRPr="00015786">
        <w:rPr>
          <w:rFonts w:ascii="Times New Roman" w:hAnsi="Times New Roman"/>
          <w:b/>
          <w:sz w:val="24"/>
          <w:szCs w:val="24"/>
          <w:u w:val="single"/>
        </w:rPr>
        <w:t xml:space="preserve">Jurisdiction of the Legal Education Appeals Tribunal </w:t>
      </w:r>
    </w:p>
    <w:p w:rsidR="007F4A03" w:rsidRPr="00015786" w:rsidRDefault="007F4A03"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It </w:t>
      </w:r>
      <w:r w:rsidR="001174B3" w:rsidRPr="00015786">
        <w:rPr>
          <w:rFonts w:ascii="Times New Roman" w:hAnsi="Times New Roman"/>
          <w:sz w:val="24"/>
          <w:szCs w:val="24"/>
        </w:rPr>
        <w:t xml:space="preserve">is established under section 29 </w:t>
      </w:r>
      <w:r w:rsidRPr="00015786">
        <w:rPr>
          <w:rFonts w:ascii="Times New Roman" w:hAnsi="Times New Roman"/>
          <w:sz w:val="24"/>
          <w:szCs w:val="24"/>
        </w:rPr>
        <w:t>of the Legal Education Act.</w:t>
      </w:r>
      <w:r w:rsidRPr="00015786">
        <w:rPr>
          <w:rStyle w:val="FootnoteReference"/>
          <w:rFonts w:ascii="Times New Roman" w:hAnsi="Times New Roman"/>
          <w:sz w:val="24"/>
          <w:szCs w:val="24"/>
        </w:rPr>
        <w:footnoteReference w:id="43"/>
      </w:r>
      <w:r w:rsidRPr="00015786">
        <w:rPr>
          <w:rFonts w:ascii="Times New Roman" w:hAnsi="Times New Roman"/>
          <w:sz w:val="24"/>
          <w:szCs w:val="24"/>
        </w:rPr>
        <w:t xml:space="preserve">  The tribunal hears appeals made to it by any party or a reference made to it by the council of legal education on matters relating to the legal education act.</w:t>
      </w:r>
      <w:r w:rsidR="00CB105A" w:rsidRPr="00015786">
        <w:rPr>
          <w:rStyle w:val="FootnoteReference"/>
          <w:rFonts w:ascii="Times New Roman" w:hAnsi="Times New Roman"/>
          <w:sz w:val="24"/>
          <w:szCs w:val="24"/>
        </w:rPr>
        <w:footnoteReference w:id="44"/>
      </w:r>
      <w:r w:rsidRPr="00015786">
        <w:rPr>
          <w:rFonts w:ascii="Times New Roman" w:hAnsi="Times New Roman"/>
          <w:sz w:val="24"/>
          <w:szCs w:val="24"/>
        </w:rPr>
        <w:t xml:space="preserve"> The specific matters </w:t>
      </w:r>
      <w:r w:rsidR="001174B3" w:rsidRPr="00015786">
        <w:rPr>
          <w:rFonts w:ascii="Times New Roman" w:hAnsi="Times New Roman"/>
          <w:sz w:val="24"/>
          <w:szCs w:val="24"/>
        </w:rPr>
        <w:t>include appeals</w:t>
      </w:r>
      <w:r w:rsidRPr="00015786">
        <w:rPr>
          <w:rFonts w:ascii="Times New Roman" w:hAnsi="Times New Roman"/>
          <w:sz w:val="24"/>
          <w:szCs w:val="24"/>
        </w:rPr>
        <w:t xml:space="preserve"> from a decision of the council to:</w:t>
      </w:r>
    </w:p>
    <w:p w:rsidR="007F4A03" w:rsidRPr="00015786" w:rsidRDefault="007F4A0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Refuse to grant a license</w:t>
      </w:r>
      <w:r w:rsidR="00CC189C" w:rsidRPr="00015786">
        <w:rPr>
          <w:rFonts w:ascii="Times New Roman" w:hAnsi="Times New Roman"/>
          <w:sz w:val="24"/>
          <w:szCs w:val="24"/>
        </w:rPr>
        <w:t>.</w:t>
      </w:r>
    </w:p>
    <w:p w:rsidR="007F4A03" w:rsidRPr="00015786" w:rsidRDefault="001174B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Impose conditions on a license</w:t>
      </w:r>
      <w:r w:rsidR="00CC189C" w:rsidRPr="00015786">
        <w:rPr>
          <w:rFonts w:ascii="Times New Roman" w:hAnsi="Times New Roman"/>
          <w:sz w:val="24"/>
          <w:szCs w:val="24"/>
        </w:rPr>
        <w:t>.</w:t>
      </w:r>
    </w:p>
    <w:p w:rsidR="001174B3" w:rsidRPr="00015786" w:rsidRDefault="001174B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Suspend or revoke a license</w:t>
      </w:r>
      <w:r w:rsidR="00CC189C" w:rsidRPr="00015786">
        <w:rPr>
          <w:rFonts w:ascii="Times New Roman" w:hAnsi="Times New Roman"/>
          <w:sz w:val="24"/>
          <w:szCs w:val="24"/>
        </w:rPr>
        <w:t>.</w:t>
      </w:r>
      <w:r w:rsidR="00CC189C" w:rsidRPr="00015786">
        <w:rPr>
          <w:rStyle w:val="FootnoteReference"/>
          <w:rFonts w:ascii="Times New Roman" w:hAnsi="Times New Roman"/>
          <w:sz w:val="24"/>
          <w:szCs w:val="24"/>
        </w:rPr>
        <w:footnoteReference w:id="45"/>
      </w:r>
    </w:p>
    <w:p w:rsidR="005667DF" w:rsidRPr="00015786" w:rsidRDefault="005667DF" w:rsidP="00015786">
      <w:pPr>
        <w:spacing w:after="0" w:line="360" w:lineRule="auto"/>
        <w:jc w:val="both"/>
        <w:rPr>
          <w:rFonts w:ascii="Times New Roman" w:hAnsi="Times New Roman"/>
          <w:sz w:val="24"/>
          <w:szCs w:val="24"/>
        </w:rPr>
      </w:pPr>
      <w:r w:rsidRPr="00015786">
        <w:rPr>
          <w:rFonts w:ascii="Times New Roman" w:hAnsi="Times New Roman"/>
          <w:sz w:val="24"/>
          <w:szCs w:val="24"/>
        </w:rPr>
        <w:t>In determining any case before it the tribunal is empowered to take into consideration any evidence, which it considers relevant to the subject of the appeal before it.</w:t>
      </w:r>
      <w:r w:rsidR="00A03450" w:rsidRPr="00015786">
        <w:rPr>
          <w:rStyle w:val="FootnoteReference"/>
          <w:rFonts w:ascii="Times New Roman" w:hAnsi="Times New Roman"/>
          <w:sz w:val="24"/>
          <w:szCs w:val="24"/>
        </w:rPr>
        <w:footnoteReference w:id="46"/>
      </w:r>
      <w:r w:rsidR="005D13D3" w:rsidRPr="00015786">
        <w:rPr>
          <w:rFonts w:ascii="Times New Roman" w:hAnsi="Times New Roman"/>
          <w:sz w:val="24"/>
          <w:szCs w:val="24"/>
        </w:rPr>
        <w:t xml:space="preserve"> Upon the </w:t>
      </w:r>
      <w:r w:rsidR="00633D7B" w:rsidRPr="00015786">
        <w:rPr>
          <w:rFonts w:ascii="Times New Roman" w:hAnsi="Times New Roman"/>
          <w:sz w:val="24"/>
          <w:szCs w:val="24"/>
        </w:rPr>
        <w:t>hearing</w:t>
      </w:r>
      <w:r w:rsidR="005D13D3" w:rsidRPr="00015786">
        <w:rPr>
          <w:rFonts w:ascii="Times New Roman" w:hAnsi="Times New Roman"/>
          <w:sz w:val="24"/>
          <w:szCs w:val="24"/>
        </w:rPr>
        <w:t xml:space="preserve"> of the appeal,</w:t>
      </w:r>
      <w:r w:rsidR="002E62E1" w:rsidRPr="00015786">
        <w:rPr>
          <w:rFonts w:ascii="Times New Roman" w:hAnsi="Times New Roman"/>
          <w:sz w:val="24"/>
          <w:szCs w:val="24"/>
        </w:rPr>
        <w:t xml:space="preserve"> the tribuna</w:t>
      </w:r>
      <w:r w:rsidR="00633D7B" w:rsidRPr="00015786">
        <w:rPr>
          <w:rFonts w:ascii="Times New Roman" w:hAnsi="Times New Roman"/>
          <w:sz w:val="24"/>
          <w:szCs w:val="24"/>
        </w:rPr>
        <w:t>l is empowered to:</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Confirm, set aside or vary the order or decision in question.</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Exercise any powers which would have been exercised by the council, in the proceedings in connection with which the appeal is brought.</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Make any other order, including an order, for costs, as it may consider just.</w:t>
      </w:r>
      <w:r w:rsidR="002606AE" w:rsidRPr="00015786">
        <w:rPr>
          <w:rStyle w:val="FootnoteReference"/>
          <w:rFonts w:ascii="Times New Roman" w:hAnsi="Times New Roman"/>
          <w:sz w:val="24"/>
          <w:szCs w:val="24"/>
        </w:rPr>
        <w:footnoteReference w:id="47"/>
      </w:r>
    </w:p>
    <w:p w:rsidR="00DC6A03" w:rsidRPr="00015786" w:rsidRDefault="00DC6A03" w:rsidP="00015786">
      <w:pPr>
        <w:numPr>
          <w:ilvl w:val="0"/>
          <w:numId w:val="7"/>
        </w:numPr>
        <w:spacing w:after="0" w:line="360" w:lineRule="auto"/>
        <w:jc w:val="both"/>
        <w:rPr>
          <w:rFonts w:ascii="Times New Roman" w:hAnsi="Times New Roman"/>
          <w:sz w:val="24"/>
          <w:szCs w:val="24"/>
        </w:rPr>
      </w:pPr>
      <w:r w:rsidRPr="00015786">
        <w:rPr>
          <w:rFonts w:ascii="Times New Roman" w:hAnsi="Times New Roman"/>
          <w:b/>
          <w:sz w:val="24"/>
          <w:szCs w:val="24"/>
          <w:u w:val="single"/>
        </w:rPr>
        <w:t>Jurisdiction of the Political Parties Disputes Tribunal (PPDT)</w:t>
      </w:r>
      <w:r w:rsidRPr="00015786">
        <w:rPr>
          <w:rFonts w:ascii="Times New Roman" w:hAnsi="Times New Roman"/>
          <w:sz w:val="24"/>
          <w:szCs w:val="24"/>
        </w:rPr>
        <w:t xml:space="preserve"> </w:t>
      </w:r>
    </w:p>
    <w:p w:rsidR="00DC6A03" w:rsidRPr="00015786" w:rsidRDefault="00DC6A03" w:rsidP="00015786">
      <w:pPr>
        <w:spacing w:after="0" w:line="360" w:lineRule="auto"/>
        <w:jc w:val="both"/>
        <w:rPr>
          <w:rFonts w:ascii="Times New Roman" w:hAnsi="Times New Roman"/>
          <w:sz w:val="24"/>
          <w:szCs w:val="24"/>
        </w:rPr>
      </w:pPr>
      <w:r w:rsidRPr="00015786">
        <w:rPr>
          <w:rFonts w:ascii="Times New Roman" w:hAnsi="Times New Roman"/>
          <w:sz w:val="24"/>
          <w:szCs w:val="24"/>
        </w:rPr>
        <w:t>This tribunal is established under Section 39 of the Political Parties Act.</w:t>
      </w:r>
      <w:r w:rsidRPr="00015786">
        <w:rPr>
          <w:rStyle w:val="FootnoteReference"/>
          <w:rFonts w:ascii="Times New Roman" w:hAnsi="Times New Roman"/>
          <w:sz w:val="24"/>
          <w:szCs w:val="24"/>
        </w:rPr>
        <w:footnoteReference w:id="48"/>
      </w:r>
    </w:p>
    <w:p w:rsidR="00DC6A03" w:rsidRPr="00015786" w:rsidRDefault="00DC6A03" w:rsidP="00015786">
      <w:pPr>
        <w:spacing w:after="0" w:line="360" w:lineRule="auto"/>
        <w:jc w:val="both"/>
        <w:rPr>
          <w:rFonts w:ascii="Times New Roman" w:hAnsi="Times New Roman"/>
          <w:sz w:val="24"/>
          <w:szCs w:val="24"/>
        </w:rPr>
      </w:pPr>
      <w:r w:rsidRPr="00015786">
        <w:rPr>
          <w:rFonts w:ascii="Times New Roman" w:hAnsi="Times New Roman"/>
          <w:sz w:val="24"/>
          <w:szCs w:val="24"/>
        </w:rPr>
        <w:t>Under Section 40 of Political Parties Act 2011, this tribunal</w:t>
      </w:r>
      <w:r w:rsidR="000B1F49" w:rsidRPr="00015786">
        <w:rPr>
          <w:rFonts w:ascii="Times New Roman" w:hAnsi="Times New Roman"/>
          <w:sz w:val="24"/>
          <w:szCs w:val="24"/>
        </w:rPr>
        <w:t xml:space="preserve"> has the jurisdiction</w:t>
      </w:r>
      <w:r w:rsidRPr="00015786">
        <w:rPr>
          <w:rFonts w:ascii="Times New Roman" w:hAnsi="Times New Roman"/>
          <w:sz w:val="24"/>
          <w:szCs w:val="24"/>
        </w:rPr>
        <w:t xml:space="preserve"> to hear and determine disputes between:</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Members of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 member of a political party and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Political parties.</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An independent candidate and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lastRenderedPageBreak/>
        <w:t>•    Coalition partners.</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Appeals from the decisions of the Registrar of Political Parties under the Act.</w:t>
      </w:r>
    </w:p>
    <w:p w:rsidR="005617F9" w:rsidRDefault="00DC6A03" w:rsidP="005617F9">
      <w:pPr>
        <w:spacing w:after="0" w:line="360" w:lineRule="auto"/>
        <w:ind w:left="1440"/>
        <w:jc w:val="both"/>
        <w:rPr>
          <w:rFonts w:ascii="Times New Roman" w:hAnsi="Times New Roman"/>
          <w:sz w:val="24"/>
          <w:szCs w:val="24"/>
        </w:rPr>
      </w:pPr>
      <w:r w:rsidRPr="00015786">
        <w:rPr>
          <w:rFonts w:ascii="Times New Roman" w:hAnsi="Times New Roman"/>
          <w:sz w:val="24"/>
          <w:szCs w:val="24"/>
        </w:rPr>
        <w:t>•    Disputes arising out of party primaries.</w:t>
      </w:r>
    </w:p>
    <w:p w:rsidR="005617F9" w:rsidRPr="005617F9" w:rsidRDefault="005617F9" w:rsidP="004E625E">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Mic</w:t>
      </w:r>
      <w:r w:rsidR="004E625E">
        <w:rPr>
          <w:rFonts w:ascii="Times New Roman" w:eastAsia="Calibri" w:hAnsi="Times New Roman"/>
          <w:b/>
          <w:sz w:val="24"/>
          <w:szCs w:val="24"/>
          <w:u w:val="single"/>
          <w:lang w:val="en-CA" w:eastAsia="en-US"/>
        </w:rPr>
        <w:t>ro &amp; Small Enterprises Tribunal</w:t>
      </w:r>
    </w:p>
    <w:p w:rsidR="005617F9" w:rsidRPr="005617F9" w:rsidRDefault="005617F9" w:rsidP="005617F9">
      <w:pPr>
        <w:spacing w:after="0" w:line="360" w:lineRule="auto"/>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Established by the Micro and Small Enterprises Act, No. 55 of 2012, S. 54.</w:t>
      </w:r>
      <w:r w:rsidRPr="005617F9">
        <w:rPr>
          <w:rFonts w:ascii="Times New Roman" w:eastAsia="Calibri" w:hAnsi="Times New Roman"/>
          <w:sz w:val="24"/>
          <w:szCs w:val="24"/>
          <w:lang w:val="en-CA" w:eastAsia="en-US"/>
        </w:rPr>
        <w:tab/>
      </w:r>
    </w:p>
    <w:p w:rsidR="005617F9" w:rsidRPr="005617F9" w:rsidRDefault="005617F9" w:rsidP="005617F9">
      <w:pPr>
        <w:spacing w:after="0" w:line="360" w:lineRule="auto"/>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Its mandate is to hear and determine disputes arising among members of Micro and Small Enterprises, and disputes between the Micro and Small Enterprises Authority and Associations.</w:t>
      </w:r>
    </w:p>
    <w:p w:rsidR="005617F9" w:rsidRPr="005617F9" w:rsidRDefault="005617F9" w:rsidP="004E625E">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Transport Licensing Appeal Board</w:t>
      </w:r>
      <w:r w:rsidRPr="005617F9">
        <w:rPr>
          <w:rFonts w:ascii="Times New Roman" w:eastAsia="Calibri" w:hAnsi="Times New Roman"/>
          <w:b/>
          <w:sz w:val="24"/>
          <w:szCs w:val="24"/>
          <w:u w:val="single"/>
          <w:lang w:val="en-CA" w:eastAsia="en-US"/>
        </w:rPr>
        <w:tab/>
      </w:r>
    </w:p>
    <w:p w:rsidR="005617F9" w:rsidRPr="005617F9" w:rsidRDefault="005617F9" w:rsidP="005617F9">
      <w:pPr>
        <w:spacing w:after="0" w:line="360" w:lineRule="auto"/>
        <w:contextualSpacing/>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Established by the National Tran</w:t>
      </w:r>
      <w:r>
        <w:rPr>
          <w:rFonts w:ascii="Times New Roman" w:eastAsia="Calibri" w:hAnsi="Times New Roman"/>
          <w:sz w:val="24"/>
          <w:szCs w:val="24"/>
          <w:lang w:val="en-CA" w:eastAsia="en-US"/>
        </w:rPr>
        <w:t xml:space="preserve">sport and Safety Authority Act </w:t>
      </w:r>
      <w:r w:rsidRPr="005617F9">
        <w:rPr>
          <w:rFonts w:ascii="Times New Roman" w:eastAsia="Calibri" w:hAnsi="Times New Roman"/>
          <w:sz w:val="24"/>
          <w:szCs w:val="24"/>
          <w:lang w:val="en-CA" w:eastAsia="en-US"/>
        </w:rPr>
        <w:t>No. 33 of 2012, S. 39</w:t>
      </w:r>
      <w:r w:rsidRPr="005617F9">
        <w:rPr>
          <w:rFonts w:ascii="Times New Roman" w:eastAsia="Calibri" w:hAnsi="Times New Roman"/>
          <w:sz w:val="24"/>
          <w:szCs w:val="24"/>
          <w:lang w:val="en-CA" w:eastAsia="en-US"/>
        </w:rPr>
        <w:tab/>
      </w:r>
    </w:p>
    <w:p w:rsidR="005617F9" w:rsidRPr="005617F9" w:rsidRDefault="005617F9" w:rsidP="005617F9">
      <w:pPr>
        <w:spacing w:after="0" w:line="360" w:lineRule="auto"/>
        <w:contextualSpacing/>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It is mandated to consider appeals from the decisions of NTSA.</w:t>
      </w:r>
    </w:p>
    <w:p w:rsidR="00A569F9" w:rsidRDefault="005617F9" w:rsidP="005617F9">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National Civil Aviation</w:t>
      </w:r>
      <w:r w:rsidR="004E625E">
        <w:rPr>
          <w:rFonts w:ascii="Times New Roman" w:eastAsia="Calibri" w:hAnsi="Times New Roman"/>
          <w:b/>
          <w:sz w:val="24"/>
          <w:szCs w:val="24"/>
          <w:u w:val="single"/>
          <w:lang w:val="en-CA" w:eastAsia="en-US"/>
        </w:rPr>
        <w:t xml:space="preserve"> Administrative Review Tribunal</w:t>
      </w:r>
      <w:r w:rsidR="00A569F9">
        <w:rPr>
          <w:rFonts w:ascii="Times New Roman" w:eastAsia="Calibri" w:hAnsi="Times New Roman"/>
          <w:b/>
          <w:sz w:val="24"/>
          <w:szCs w:val="24"/>
          <w:u w:val="single"/>
          <w:lang w:val="en-CA" w:eastAsia="en-US"/>
        </w:rPr>
        <w:t xml:space="preserve"> </w:t>
      </w:r>
    </w:p>
    <w:p w:rsidR="00A569F9" w:rsidRDefault="005617F9" w:rsidP="00A569F9">
      <w:pPr>
        <w:spacing w:after="0" w:line="360" w:lineRule="auto"/>
        <w:contextualSpacing/>
        <w:jc w:val="both"/>
        <w:rPr>
          <w:rFonts w:ascii="Times New Roman" w:eastAsia="Calibri" w:hAnsi="Times New Roman"/>
          <w:sz w:val="24"/>
          <w:szCs w:val="24"/>
          <w:lang w:val="en-CA" w:eastAsia="en-US"/>
        </w:rPr>
      </w:pPr>
      <w:r w:rsidRPr="00A569F9">
        <w:rPr>
          <w:rFonts w:ascii="Times New Roman" w:eastAsia="Calibri" w:hAnsi="Times New Roman"/>
          <w:sz w:val="24"/>
          <w:szCs w:val="24"/>
          <w:lang w:val="en-CA" w:eastAsia="en-US"/>
        </w:rPr>
        <w:t>It is established under</w:t>
      </w:r>
      <w:r w:rsidR="00E14AC8">
        <w:rPr>
          <w:rFonts w:ascii="Times New Roman" w:eastAsia="Calibri" w:hAnsi="Times New Roman"/>
          <w:sz w:val="24"/>
          <w:szCs w:val="24"/>
          <w:lang w:val="en-CA" w:eastAsia="en-US"/>
        </w:rPr>
        <w:t xml:space="preserve"> section 66 </w:t>
      </w:r>
      <w:r w:rsidRPr="00A569F9">
        <w:rPr>
          <w:rFonts w:ascii="Times New Roman" w:eastAsia="Calibri" w:hAnsi="Times New Roman"/>
          <w:sz w:val="24"/>
          <w:szCs w:val="24"/>
          <w:lang w:val="en-CA" w:eastAsia="en-US"/>
        </w:rPr>
        <w:t>Civil Aviati</w:t>
      </w:r>
      <w:r w:rsidR="00E14AC8">
        <w:rPr>
          <w:rFonts w:ascii="Times New Roman" w:eastAsia="Calibri" w:hAnsi="Times New Roman"/>
          <w:sz w:val="24"/>
          <w:szCs w:val="24"/>
          <w:lang w:val="en-CA" w:eastAsia="en-US"/>
        </w:rPr>
        <w:t>on Act, No. 21 of 2013.</w:t>
      </w:r>
      <w:r w:rsidRPr="005617F9">
        <w:rPr>
          <w:rFonts w:ascii="Times New Roman" w:eastAsia="Calibri" w:hAnsi="Times New Roman"/>
          <w:sz w:val="24"/>
          <w:szCs w:val="24"/>
          <w:vertAlign w:val="superscript"/>
          <w:lang w:val="en-CA" w:eastAsia="en-US"/>
        </w:rPr>
        <w:footnoteReference w:id="49"/>
      </w:r>
      <w:r w:rsidRPr="00A569F9">
        <w:rPr>
          <w:rFonts w:ascii="Times New Roman" w:eastAsia="Calibri" w:hAnsi="Times New Roman"/>
          <w:sz w:val="24"/>
          <w:szCs w:val="24"/>
          <w:lang w:val="en-CA" w:eastAsia="en-US"/>
        </w:rPr>
        <w:tab/>
      </w:r>
    </w:p>
    <w:p w:rsidR="005617F9" w:rsidRPr="00A569F9" w:rsidRDefault="00A569F9" w:rsidP="00A569F9">
      <w:pPr>
        <w:spacing w:after="0" w:line="360" w:lineRule="auto"/>
        <w:contextualSpacing/>
        <w:jc w:val="both"/>
        <w:rPr>
          <w:rFonts w:ascii="Times New Roman" w:eastAsia="Calibri" w:hAnsi="Times New Roman"/>
          <w:b/>
          <w:sz w:val="24"/>
          <w:szCs w:val="24"/>
          <w:u w:val="single"/>
          <w:lang w:val="en-CA" w:eastAsia="en-US"/>
        </w:rPr>
      </w:pPr>
      <w:r>
        <w:rPr>
          <w:rFonts w:ascii="Times New Roman" w:eastAsia="Calibri" w:hAnsi="Times New Roman"/>
          <w:sz w:val="24"/>
          <w:szCs w:val="24"/>
          <w:lang w:val="en-CA" w:eastAsia="en-US"/>
        </w:rPr>
        <w:t xml:space="preserve">It </w:t>
      </w:r>
      <w:r w:rsidR="005617F9" w:rsidRPr="00A569F9">
        <w:rPr>
          <w:rFonts w:ascii="Times New Roman" w:eastAsia="Calibri" w:hAnsi="Times New Roman"/>
          <w:sz w:val="24"/>
          <w:szCs w:val="24"/>
          <w:lang w:val="en-CA" w:eastAsia="en-US"/>
        </w:rPr>
        <w:t>hears appeals from decisions of the Kenya Civil Aviation Authority.</w:t>
      </w:r>
    </w:p>
    <w:p w:rsidR="005617F9" w:rsidRPr="00015786" w:rsidRDefault="005617F9" w:rsidP="005617F9">
      <w:pPr>
        <w:spacing w:after="0" w:line="360" w:lineRule="auto"/>
        <w:jc w:val="both"/>
        <w:rPr>
          <w:rFonts w:ascii="Times New Roman" w:hAnsi="Times New Roman"/>
          <w:sz w:val="24"/>
          <w:szCs w:val="24"/>
        </w:rPr>
      </w:pPr>
    </w:p>
    <w:p w:rsidR="008803DE" w:rsidRPr="00015786" w:rsidRDefault="008803DE" w:rsidP="00015786">
      <w:pPr>
        <w:spacing w:after="0" w:line="360" w:lineRule="auto"/>
        <w:jc w:val="both"/>
        <w:rPr>
          <w:rFonts w:ascii="Times New Roman" w:hAnsi="Times New Roman"/>
          <w:sz w:val="24"/>
          <w:szCs w:val="24"/>
        </w:rPr>
      </w:pPr>
    </w:p>
    <w:sectPr w:rsidR="008803DE" w:rsidRPr="000157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FBC" w:rsidRDefault="00016FBC" w:rsidP="00E844E7">
      <w:pPr>
        <w:spacing w:after="0" w:line="240" w:lineRule="auto"/>
      </w:pPr>
      <w:r>
        <w:separator/>
      </w:r>
    </w:p>
  </w:endnote>
  <w:endnote w:type="continuationSeparator" w:id="0">
    <w:p w:rsidR="00016FBC" w:rsidRDefault="00016FBC" w:rsidP="00E84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FBC" w:rsidRDefault="00016FBC" w:rsidP="00E844E7">
      <w:pPr>
        <w:spacing w:after="0" w:line="240" w:lineRule="auto"/>
      </w:pPr>
      <w:r>
        <w:separator/>
      </w:r>
    </w:p>
  </w:footnote>
  <w:footnote w:type="continuationSeparator" w:id="0">
    <w:p w:rsidR="00016FBC" w:rsidRDefault="00016FBC" w:rsidP="00E844E7">
      <w:pPr>
        <w:spacing w:after="0" w:line="240" w:lineRule="auto"/>
      </w:pPr>
      <w:r>
        <w:continuationSeparator/>
      </w:r>
    </w:p>
  </w:footnote>
  <w:footnote w:id="1">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2012 eKLR</w:t>
      </w:r>
    </w:p>
  </w:footnote>
  <w:footnote w:id="2">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Constitutional Application Number 2 of 2011.</w:t>
      </w:r>
    </w:p>
  </w:footnote>
  <w:footnote w:id="3">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Owners of Motor Vessel Lillian S v Caltex Kenya 1989 eKLR</w:t>
      </w:r>
    </w:p>
  </w:footnote>
  <w:footnote w:id="4">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Desai v Warsama [1967] E.A 351</w:t>
      </w:r>
    </w:p>
  </w:footnote>
  <w:footnote w:id="5">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Constitution of Kenya 2010</w:t>
      </w:r>
    </w:p>
  </w:footnote>
  <w:footnote w:id="6">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Supreme Court Act, 2011.</w:t>
      </w:r>
    </w:p>
  </w:footnote>
  <w:footnote w:id="7">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ibid</w:t>
      </w:r>
    </w:p>
  </w:footnote>
  <w:footnote w:id="8">
    <w:p w:rsidR="001F071E" w:rsidRPr="001F071E" w:rsidRDefault="001F071E" w:rsidP="006C5626">
      <w:pPr>
        <w:pStyle w:val="FootnoteText"/>
        <w:spacing w:after="0"/>
        <w:rPr>
          <w:lang w:val="en-GB"/>
        </w:rPr>
      </w:pPr>
      <w:r>
        <w:rPr>
          <w:rStyle w:val="FootnoteReference"/>
        </w:rPr>
        <w:footnoteRef/>
      </w:r>
      <w:r>
        <w:t xml:space="preserve"> Section 13, Supreme Court Act, 2011 </w:t>
      </w:r>
    </w:p>
  </w:footnote>
  <w:footnote w:id="9">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In the Matter of the Interim Independent Electoral Commission [2011] eKLR</w:t>
      </w:r>
    </w:p>
  </w:footnote>
  <w:footnote w:id="10">
    <w:p w:rsidR="006C5626" w:rsidRPr="006C5626" w:rsidRDefault="006C5626" w:rsidP="006C5626">
      <w:pPr>
        <w:pStyle w:val="FootnoteText"/>
        <w:spacing w:after="0"/>
        <w:rPr>
          <w:lang w:val="en-GB"/>
        </w:rPr>
      </w:pPr>
      <w:r>
        <w:rPr>
          <w:rStyle w:val="FootnoteReference"/>
        </w:rPr>
        <w:footnoteRef/>
      </w:r>
      <w:r>
        <w:t xml:space="preserve"> </w:t>
      </w:r>
      <w:r>
        <w:rPr>
          <w:lang w:val="en-GB"/>
        </w:rPr>
        <w:t xml:space="preserve">Sec 13A of Supreme Court act </w:t>
      </w:r>
      <w:r w:rsidRPr="006C5626">
        <w:rPr>
          <w:lang w:val="en-GB"/>
        </w:rPr>
        <w:t>of  2022 CAP 9B (Revised 2022)</w:t>
      </w:r>
    </w:p>
  </w:footnote>
  <w:footnote w:id="11">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Sec 15 of supreme court act of  2022 CAP 9B (Revised 2022)</w:t>
      </w:r>
    </w:p>
  </w:footnote>
  <w:footnote w:id="12">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Sec 15A of supreme court act of  2022 CAP 9B (Revised 2022)</w:t>
      </w:r>
    </w:p>
  </w:footnote>
  <w:footnote w:id="13">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Sec 15B of supreme court act of  2022 CAP 9B (Revised 2022)</w:t>
      </w:r>
    </w:p>
  </w:footnote>
  <w:footnote w:id="14">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Ibid</w:t>
      </w:r>
    </w:p>
  </w:footnote>
  <w:footnote w:id="15">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005D1C2B">
        <w:rPr>
          <w:rFonts w:cs="Calibri"/>
        </w:rPr>
        <w:t xml:space="preserve"> Sec 15C of Supreme Court A</w:t>
      </w:r>
      <w:r w:rsidRPr="003E7459">
        <w:rPr>
          <w:rFonts w:cs="Calibri"/>
        </w:rPr>
        <w:t>ct of  2022 CAP 9B (Revised 2022)</w:t>
      </w:r>
    </w:p>
  </w:footnote>
  <w:footnote w:id="16">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Ibid  </w:t>
      </w:r>
    </w:p>
  </w:footnote>
  <w:footnote w:id="17">
    <w:p w:rsidR="002A7785" w:rsidRPr="002A7785" w:rsidRDefault="002A7785" w:rsidP="006C5626">
      <w:pPr>
        <w:pStyle w:val="FootnoteText"/>
        <w:spacing w:after="0"/>
        <w:rPr>
          <w:lang w:val="en-GB"/>
        </w:rPr>
      </w:pPr>
      <w:r>
        <w:rPr>
          <w:rStyle w:val="FootnoteReference"/>
        </w:rPr>
        <w:footnoteRef/>
      </w:r>
      <w:r>
        <w:t xml:space="preserve"> </w:t>
      </w:r>
      <w:r>
        <w:rPr>
          <w:lang w:val="en-GB"/>
        </w:rPr>
        <w:t>Sec 21A, Supreme Court Act CAP 9B</w:t>
      </w:r>
    </w:p>
  </w:footnote>
  <w:footnote w:id="18">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 of the Appellate Jurisdiction Act</w:t>
      </w:r>
    </w:p>
  </w:footnote>
  <w:footnote w:id="19">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 xml:space="preserve">Ibid   </w:t>
      </w:r>
    </w:p>
  </w:footnote>
  <w:footnote w:id="20">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Ibid</w:t>
      </w:r>
    </w:p>
  </w:footnote>
  <w:footnote w:id="21">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Sec 4, Judicature Act CAP 8 LAWS of Kenya</w:t>
      </w:r>
    </w:p>
  </w:footnote>
  <w:footnote w:id="22">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 xml:space="preserve">Sec 5(1), </w:t>
      </w:r>
      <w:r w:rsidRPr="003E7459">
        <w:rPr>
          <w:rFonts w:cs="Calibri"/>
        </w:rPr>
        <w:t>Judicature Act CAP 8 LAWS of Kenya</w:t>
      </w:r>
    </w:p>
  </w:footnote>
  <w:footnote w:id="23">
    <w:p w:rsidR="00076144" w:rsidRPr="00C522BC" w:rsidRDefault="00076144" w:rsidP="006C5626">
      <w:pPr>
        <w:pStyle w:val="FootnoteText"/>
        <w:spacing w:after="0" w:line="240" w:lineRule="auto"/>
        <w:rPr>
          <w:lang w:val="en-GB"/>
        </w:rPr>
      </w:pPr>
      <w:r>
        <w:rPr>
          <w:rStyle w:val="FootnoteReference"/>
        </w:rPr>
        <w:footnoteRef/>
      </w:r>
      <w:r>
        <w:t xml:space="preserve"> </w:t>
      </w:r>
      <w:r w:rsidRPr="00C522BC">
        <w:t>The Environment and Land Court Act no.19</w:t>
      </w:r>
      <w:r>
        <w:t xml:space="preserve"> of 2011</w:t>
      </w:r>
    </w:p>
  </w:footnote>
  <w:footnote w:id="24">
    <w:p w:rsidR="00076144" w:rsidRPr="0050094B" w:rsidRDefault="00076144" w:rsidP="006C5626">
      <w:pPr>
        <w:pStyle w:val="FootnoteText"/>
        <w:spacing w:after="0" w:line="240" w:lineRule="auto"/>
        <w:rPr>
          <w:lang w:val="en-GB"/>
        </w:rPr>
      </w:pPr>
      <w:r>
        <w:rPr>
          <w:rStyle w:val="FootnoteReference"/>
        </w:rPr>
        <w:footnoteRef/>
      </w:r>
      <w:r>
        <w:t xml:space="preserve"> </w:t>
      </w:r>
      <w:r>
        <w:rPr>
          <w:lang w:val="en-GB"/>
        </w:rPr>
        <w:t xml:space="preserve">Sec 13, The </w:t>
      </w:r>
      <w:r w:rsidRPr="0050094B">
        <w:rPr>
          <w:lang w:val="en-GB"/>
        </w:rPr>
        <w:t>Environment and Land Court Act no.19 of 2011</w:t>
      </w:r>
    </w:p>
  </w:footnote>
  <w:footnote w:id="25">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5</w:t>
      </w:r>
    </w:p>
  </w:footnote>
  <w:footnote w:id="26">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7</w:t>
      </w:r>
    </w:p>
  </w:footnote>
  <w:footnote w:id="27">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8(1)</w:t>
      </w:r>
    </w:p>
  </w:footnote>
  <w:footnote w:id="28">
    <w:p w:rsidR="00076144" w:rsidRPr="003E7459" w:rsidRDefault="00076144" w:rsidP="006C5626">
      <w:pPr>
        <w:pStyle w:val="FootnoteText"/>
        <w:spacing w:after="0" w:line="240" w:lineRule="auto"/>
        <w:rPr>
          <w:rFonts w:cs="Calibri"/>
          <w:i/>
          <w:iCs/>
        </w:rPr>
      </w:pPr>
      <w:r w:rsidRPr="003E7459">
        <w:rPr>
          <w:rStyle w:val="FootnoteReference"/>
          <w:rFonts w:cs="Calibri"/>
        </w:rPr>
        <w:footnoteRef/>
      </w:r>
      <w:r w:rsidRPr="003E7459">
        <w:rPr>
          <w:rFonts w:cs="Calibri"/>
        </w:rPr>
        <w:t xml:space="preserve"> </w:t>
      </w:r>
      <w:r w:rsidRPr="003E7459">
        <w:rPr>
          <w:rFonts w:cs="Calibri"/>
          <w:i/>
          <w:iCs/>
        </w:rPr>
        <w:t>ibid.</w:t>
      </w:r>
    </w:p>
  </w:footnote>
  <w:footnote w:id="29">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[2017] eKLR, p 59</w:t>
      </w:r>
    </w:p>
  </w:footnote>
  <w:footnote w:id="30">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w:t>
      </w:r>
      <w:r w:rsidRPr="003E7459">
        <w:rPr>
          <w:rFonts w:cs="Calibri"/>
          <w:i/>
          <w:iCs/>
        </w:rPr>
        <w:t>ibid. p 65</w:t>
      </w:r>
    </w:p>
  </w:footnote>
  <w:footnote w:id="31">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Constitution of Kenya 2010 Article 162(2)(a)</w:t>
      </w:r>
    </w:p>
  </w:footnote>
  <w:footnote w:id="32">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29(3)</w:t>
      </w:r>
    </w:p>
  </w:footnote>
  <w:footnote w:id="33">
    <w:p w:rsidR="00076144" w:rsidRDefault="00076144" w:rsidP="006C5626">
      <w:pPr>
        <w:pStyle w:val="FootnoteText"/>
        <w:spacing w:after="0" w:line="240" w:lineRule="auto"/>
      </w:pPr>
      <w:r>
        <w:rPr>
          <w:rStyle w:val="FootnoteReference"/>
        </w:rPr>
        <w:footnoteRef/>
      </w:r>
      <w:r>
        <w:t xml:space="preserve"> Article 170(5)</w:t>
      </w:r>
    </w:p>
  </w:footnote>
  <w:footnote w:id="34">
    <w:p w:rsidR="00076144" w:rsidRDefault="00076144" w:rsidP="006C5626">
      <w:pPr>
        <w:pStyle w:val="FootnoteText"/>
        <w:spacing w:after="0" w:line="240" w:lineRule="auto"/>
      </w:pPr>
      <w:r>
        <w:rPr>
          <w:rStyle w:val="FootnoteReference"/>
        </w:rPr>
        <w:footnoteRef/>
      </w:r>
      <w:r>
        <w:t xml:space="preserve"> Section 5 of Kadhis' courts Act. CAP 11 Laws of Kenya.Revised 2022(1967)</w:t>
      </w:r>
    </w:p>
  </w:footnote>
  <w:footnote w:id="35">
    <w:p w:rsidR="00076144" w:rsidRDefault="00076144" w:rsidP="006C5626">
      <w:pPr>
        <w:pStyle w:val="FootnoteText"/>
        <w:spacing w:after="0" w:line="240" w:lineRule="auto"/>
      </w:pPr>
      <w:r>
        <w:rPr>
          <w:rStyle w:val="FootnoteReference"/>
        </w:rPr>
        <w:footnoteRef/>
      </w:r>
      <w:r>
        <w:t xml:space="preserve"> Ibid</w:t>
      </w:r>
    </w:p>
  </w:footnote>
  <w:footnote w:id="36">
    <w:p w:rsidR="00076144" w:rsidRDefault="00076144" w:rsidP="006C5626">
      <w:pPr>
        <w:pStyle w:val="FootnoteText"/>
        <w:spacing w:after="0" w:line="240" w:lineRule="auto"/>
      </w:pPr>
      <w:r>
        <w:rPr>
          <w:rStyle w:val="FootnoteReference"/>
        </w:rPr>
        <w:footnoteRef/>
      </w:r>
      <w:r>
        <w:t xml:space="preserve"> Article 170(5) of the Constitution of Kenya 2010 requires all the parties to the proceedings to the Kadhis' Courts to be Muslims as well as submit to the jurisdiction of the Kadhis'  Courts</w:t>
      </w:r>
    </w:p>
  </w:footnote>
  <w:footnote w:id="37">
    <w:p w:rsidR="00076144" w:rsidRDefault="00076144" w:rsidP="006C5626">
      <w:pPr>
        <w:pStyle w:val="FootnoteText"/>
        <w:spacing w:after="0" w:line="240" w:lineRule="auto"/>
      </w:pPr>
      <w:r>
        <w:rPr>
          <w:rStyle w:val="FootnoteReference"/>
        </w:rPr>
        <w:footnoteRef/>
      </w:r>
      <w:r>
        <w:t xml:space="preserve"> Section 5 of the Kadhis' Courts Act</w:t>
      </w:r>
    </w:p>
  </w:footnote>
  <w:footnote w:id="38">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5(1) of The Small Claims Court Act.</w:t>
      </w:r>
    </w:p>
  </w:footnote>
  <w:footnote w:id="39">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5(2)  of The Small Claims Court Act</w:t>
      </w:r>
    </w:p>
  </w:footnote>
  <w:footnote w:id="40">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12(3) of the Small Claims Court Act</w:t>
      </w:r>
    </w:p>
  </w:footnote>
  <w:footnote w:id="41">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Article 169(1)(d) of the  Constitution of Kenya </w:t>
      </w:r>
    </w:p>
  </w:footnote>
  <w:footnote w:id="42">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Article 169(2) of the  Constitution of Kenya</w:t>
      </w:r>
    </w:p>
  </w:footnote>
  <w:footnote w:id="43">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Legal Education Act No. 27 of 2012</w:t>
      </w:r>
    </w:p>
  </w:footnote>
  <w:footnote w:id="44">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31 of Legal Education Act</w:t>
      </w:r>
    </w:p>
  </w:footnote>
  <w:footnote w:id="45">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32 of Legal Education Act</w:t>
      </w:r>
    </w:p>
  </w:footnote>
  <w:footnote w:id="46">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31(4) of Legal Education Act</w:t>
      </w:r>
    </w:p>
  </w:footnote>
  <w:footnote w:id="47">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35 of Legal Education Act</w:t>
      </w:r>
    </w:p>
  </w:footnote>
  <w:footnote w:id="48">
    <w:p w:rsidR="00076144" w:rsidRPr="003E7459" w:rsidRDefault="00076144" w:rsidP="006C5626">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Political Parties Act, 2011</w:t>
      </w:r>
    </w:p>
  </w:footnote>
  <w:footnote w:id="49">
    <w:p w:rsidR="00076144" w:rsidRPr="003E7459" w:rsidRDefault="00076144" w:rsidP="006C5626">
      <w:pPr>
        <w:pStyle w:val="FootnoteText"/>
        <w:spacing w:after="0" w:line="240" w:lineRule="auto"/>
        <w:rPr>
          <w:rFonts w:cs="Calibri"/>
        </w:rPr>
      </w:pPr>
      <w:r w:rsidRPr="003E7459">
        <w:rPr>
          <w:rStyle w:val="FootnoteReference"/>
          <w:rFonts w:cs="Calibri"/>
        </w:rPr>
        <w:footnoteRef/>
      </w:r>
      <w:r w:rsidRPr="003E7459">
        <w:rPr>
          <w:rFonts w:cs="Calibri"/>
        </w:rPr>
        <w:t xml:space="preserve"> Civil Aviation Act No.21 of 2013, sec 66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FB14CD"/>
    <w:multiLevelType w:val="singleLevel"/>
    <w:tmpl w:val="97FB14CD"/>
    <w:lvl w:ilvl="0">
      <w:start w:val="1"/>
      <w:numFmt w:val="lowerRoman"/>
      <w:lvlText w:val="%1."/>
      <w:lvlJc w:val="left"/>
      <w:pPr>
        <w:tabs>
          <w:tab w:val="left" w:pos="845"/>
        </w:tabs>
        <w:ind w:left="845" w:hanging="425"/>
      </w:pPr>
      <w:rPr>
        <w:rFonts w:hint="default"/>
      </w:rPr>
    </w:lvl>
  </w:abstractNum>
  <w:abstractNum w:abstractNumId="1">
    <w:nsid w:val="B7EF4976"/>
    <w:multiLevelType w:val="singleLevel"/>
    <w:tmpl w:val="B7EF4976"/>
    <w:lvl w:ilvl="0">
      <w:start w:val="1"/>
      <w:numFmt w:val="lowerLetter"/>
      <w:lvlText w:val="%1)"/>
      <w:lvlJc w:val="left"/>
      <w:pPr>
        <w:tabs>
          <w:tab w:val="left" w:pos="425"/>
        </w:tabs>
        <w:ind w:left="425" w:hanging="425"/>
      </w:pPr>
      <w:rPr>
        <w:rFonts w:hint="default"/>
      </w:rPr>
    </w:lvl>
  </w:abstractNum>
  <w:abstractNum w:abstractNumId="2">
    <w:nsid w:val="BC4C3EBB"/>
    <w:multiLevelType w:val="singleLevel"/>
    <w:tmpl w:val="BC4C3EBB"/>
    <w:lvl w:ilvl="0">
      <w:start w:val="1"/>
      <w:numFmt w:val="lowerRoman"/>
      <w:lvlText w:val="%1."/>
      <w:lvlJc w:val="left"/>
      <w:pPr>
        <w:tabs>
          <w:tab w:val="left" w:pos="845"/>
        </w:tabs>
        <w:ind w:left="845" w:hanging="425"/>
      </w:pPr>
      <w:rPr>
        <w:rFonts w:hint="default"/>
      </w:rPr>
    </w:lvl>
  </w:abstractNum>
  <w:abstractNum w:abstractNumId="3">
    <w:nsid w:val="D1E91E99"/>
    <w:multiLevelType w:val="singleLevel"/>
    <w:tmpl w:val="D1E91E99"/>
    <w:lvl w:ilvl="0">
      <w:start w:val="1"/>
      <w:numFmt w:val="lowerRoman"/>
      <w:lvlText w:val="%1."/>
      <w:lvlJc w:val="left"/>
      <w:pPr>
        <w:tabs>
          <w:tab w:val="left" w:pos="845"/>
        </w:tabs>
        <w:ind w:left="845" w:hanging="425"/>
      </w:pPr>
      <w:rPr>
        <w:rFonts w:hint="default"/>
      </w:rPr>
    </w:lvl>
  </w:abstractNum>
  <w:abstractNum w:abstractNumId="4">
    <w:nsid w:val="0AC31450"/>
    <w:multiLevelType w:val="hybridMultilevel"/>
    <w:tmpl w:val="0EFAF1B2"/>
    <w:lvl w:ilvl="0" w:tplc="97FB14CD">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DA80B40"/>
    <w:multiLevelType w:val="hybridMultilevel"/>
    <w:tmpl w:val="7E608C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34E4F72"/>
    <w:multiLevelType w:val="hybridMultilevel"/>
    <w:tmpl w:val="F098A5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51F50FE"/>
    <w:multiLevelType w:val="hybridMultilevel"/>
    <w:tmpl w:val="34C00D30"/>
    <w:lvl w:ilvl="0" w:tplc="5BCE750E">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7F40388"/>
    <w:multiLevelType w:val="hybridMultilevel"/>
    <w:tmpl w:val="32DEC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181AA1"/>
    <w:multiLevelType w:val="hybridMultilevel"/>
    <w:tmpl w:val="824C2928"/>
    <w:lvl w:ilvl="0" w:tplc="08090019">
      <w:start w:val="1"/>
      <w:numFmt w:val="lowerLetter"/>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0">
    <w:nsid w:val="2EE7189A"/>
    <w:multiLevelType w:val="hybridMultilevel"/>
    <w:tmpl w:val="4B9E68EE"/>
    <w:lvl w:ilvl="0" w:tplc="F2D0951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0130925"/>
    <w:multiLevelType w:val="hybridMultilevel"/>
    <w:tmpl w:val="C96E02E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
    <w:nsid w:val="352A37CB"/>
    <w:multiLevelType w:val="hybridMultilevel"/>
    <w:tmpl w:val="407AD4E4"/>
    <w:lvl w:ilvl="0" w:tplc="08090019">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
    <w:nsid w:val="39CA305C"/>
    <w:multiLevelType w:val="hybridMultilevel"/>
    <w:tmpl w:val="59CC4222"/>
    <w:lvl w:ilvl="0" w:tplc="BFCC7BD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9F40334"/>
    <w:multiLevelType w:val="hybridMultilevel"/>
    <w:tmpl w:val="20B62726"/>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
    <w:nsid w:val="3B52028A"/>
    <w:multiLevelType w:val="hybridMultilevel"/>
    <w:tmpl w:val="C51EB9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C0304F3"/>
    <w:multiLevelType w:val="hybridMultilevel"/>
    <w:tmpl w:val="24868D9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32053D5"/>
    <w:multiLevelType w:val="hybridMultilevel"/>
    <w:tmpl w:val="C57834E8"/>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nsid w:val="4AC76CC6"/>
    <w:multiLevelType w:val="hybridMultilevel"/>
    <w:tmpl w:val="723A7FD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9">
    <w:nsid w:val="4C577A21"/>
    <w:multiLevelType w:val="hybridMultilevel"/>
    <w:tmpl w:val="1BA02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F7872D6"/>
    <w:multiLevelType w:val="hybridMultilevel"/>
    <w:tmpl w:val="D648FFD4"/>
    <w:lvl w:ilvl="0" w:tplc="5BCE75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5A52C1"/>
    <w:multiLevelType w:val="hybridMultilevel"/>
    <w:tmpl w:val="6638055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nsid w:val="51D2380B"/>
    <w:multiLevelType w:val="hybridMultilevel"/>
    <w:tmpl w:val="849CD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5D6763"/>
    <w:multiLevelType w:val="hybridMultilevel"/>
    <w:tmpl w:val="2486B544"/>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606138E2"/>
    <w:multiLevelType w:val="hybridMultilevel"/>
    <w:tmpl w:val="EDF6AB02"/>
    <w:lvl w:ilvl="0" w:tplc="08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7F43A5C"/>
    <w:multiLevelType w:val="hybridMultilevel"/>
    <w:tmpl w:val="23EA1F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6DA35DA1"/>
    <w:multiLevelType w:val="hybridMultilevel"/>
    <w:tmpl w:val="692C41A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04B3C9B"/>
    <w:multiLevelType w:val="hybridMultilevel"/>
    <w:tmpl w:val="897E0FC8"/>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8">
    <w:nsid w:val="73D57C2D"/>
    <w:multiLevelType w:val="hybridMultilevel"/>
    <w:tmpl w:val="2B2A3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4287E12"/>
    <w:multiLevelType w:val="hybridMultilevel"/>
    <w:tmpl w:val="A6AA5F0C"/>
    <w:lvl w:ilvl="0" w:tplc="ACDA9E1E">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6F56618"/>
    <w:multiLevelType w:val="hybridMultilevel"/>
    <w:tmpl w:val="D9D8B678"/>
    <w:lvl w:ilvl="0" w:tplc="0809000F">
      <w:start w:val="1"/>
      <w:numFmt w:val="decimal"/>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1">
    <w:nsid w:val="7DF03DE1"/>
    <w:multiLevelType w:val="hybridMultilevel"/>
    <w:tmpl w:val="30A8E44A"/>
    <w:lvl w:ilvl="0" w:tplc="08090011">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28"/>
  </w:num>
  <w:num w:numId="2">
    <w:abstractNumId w:val="5"/>
  </w:num>
  <w:num w:numId="3">
    <w:abstractNumId w:val="18"/>
  </w:num>
  <w:num w:numId="4">
    <w:abstractNumId w:val="16"/>
  </w:num>
  <w:num w:numId="5">
    <w:abstractNumId w:val="17"/>
  </w:num>
  <w:num w:numId="6">
    <w:abstractNumId w:val="29"/>
  </w:num>
  <w:num w:numId="7">
    <w:abstractNumId w:val="7"/>
  </w:num>
  <w:num w:numId="8">
    <w:abstractNumId w:val="14"/>
  </w:num>
  <w:num w:numId="9">
    <w:abstractNumId w:val="31"/>
  </w:num>
  <w:num w:numId="10">
    <w:abstractNumId w:val="9"/>
  </w:num>
  <w:num w:numId="11">
    <w:abstractNumId w:val="19"/>
  </w:num>
  <w:num w:numId="12">
    <w:abstractNumId w:val="30"/>
  </w:num>
  <w:num w:numId="13">
    <w:abstractNumId w:val="26"/>
  </w:num>
  <w:num w:numId="14">
    <w:abstractNumId w:val="13"/>
  </w:num>
  <w:num w:numId="15">
    <w:abstractNumId w:val="10"/>
  </w:num>
  <w:num w:numId="16">
    <w:abstractNumId w:val="24"/>
  </w:num>
  <w:num w:numId="17">
    <w:abstractNumId w:val="1"/>
  </w:num>
  <w:num w:numId="18">
    <w:abstractNumId w:val="3"/>
  </w:num>
  <w:num w:numId="19">
    <w:abstractNumId w:val="2"/>
  </w:num>
  <w:num w:numId="20">
    <w:abstractNumId w:val="0"/>
  </w:num>
  <w:num w:numId="21">
    <w:abstractNumId w:val="8"/>
  </w:num>
  <w:num w:numId="22">
    <w:abstractNumId w:val="23"/>
  </w:num>
  <w:num w:numId="23">
    <w:abstractNumId w:val="11"/>
  </w:num>
  <w:num w:numId="24">
    <w:abstractNumId w:val="20"/>
  </w:num>
  <w:num w:numId="25">
    <w:abstractNumId w:val="6"/>
  </w:num>
  <w:num w:numId="26">
    <w:abstractNumId w:val="15"/>
  </w:num>
  <w:num w:numId="27">
    <w:abstractNumId w:val="21"/>
  </w:num>
  <w:num w:numId="28">
    <w:abstractNumId w:val="25"/>
  </w:num>
  <w:num w:numId="29">
    <w:abstractNumId w:val="27"/>
  </w:num>
  <w:num w:numId="30">
    <w:abstractNumId w:val="22"/>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C08C2"/>
    <w:rsid w:val="00015786"/>
    <w:rsid w:val="00016FBC"/>
    <w:rsid w:val="0003698B"/>
    <w:rsid w:val="000549F1"/>
    <w:rsid w:val="000610E5"/>
    <w:rsid w:val="00076144"/>
    <w:rsid w:val="00083A34"/>
    <w:rsid w:val="00086680"/>
    <w:rsid w:val="000B1F49"/>
    <w:rsid w:val="000B4FA2"/>
    <w:rsid w:val="000C2C1E"/>
    <w:rsid w:val="000C4CD3"/>
    <w:rsid w:val="000D356D"/>
    <w:rsid w:val="00114D55"/>
    <w:rsid w:val="001174B3"/>
    <w:rsid w:val="0019740D"/>
    <w:rsid w:val="001A3B8D"/>
    <w:rsid w:val="001B250B"/>
    <w:rsid w:val="001C1418"/>
    <w:rsid w:val="001F071E"/>
    <w:rsid w:val="00213689"/>
    <w:rsid w:val="00230265"/>
    <w:rsid w:val="002606AE"/>
    <w:rsid w:val="00265A79"/>
    <w:rsid w:val="002761C9"/>
    <w:rsid w:val="00291859"/>
    <w:rsid w:val="002A0A96"/>
    <w:rsid w:val="002A6D5B"/>
    <w:rsid w:val="002A7785"/>
    <w:rsid w:val="002B02E8"/>
    <w:rsid w:val="002D0261"/>
    <w:rsid w:val="002E3C84"/>
    <w:rsid w:val="002E62E1"/>
    <w:rsid w:val="00336D71"/>
    <w:rsid w:val="00365CFC"/>
    <w:rsid w:val="003A2132"/>
    <w:rsid w:val="003E7459"/>
    <w:rsid w:val="004037F9"/>
    <w:rsid w:val="00416D68"/>
    <w:rsid w:val="00451459"/>
    <w:rsid w:val="00451F4E"/>
    <w:rsid w:val="004B4CCC"/>
    <w:rsid w:val="004D6F6E"/>
    <w:rsid w:val="004E625E"/>
    <w:rsid w:val="004F6F56"/>
    <w:rsid w:val="0050094B"/>
    <w:rsid w:val="0050189D"/>
    <w:rsid w:val="00520EBA"/>
    <w:rsid w:val="00554970"/>
    <w:rsid w:val="005617F9"/>
    <w:rsid w:val="005667DF"/>
    <w:rsid w:val="005B23B2"/>
    <w:rsid w:val="005B69FE"/>
    <w:rsid w:val="005C5129"/>
    <w:rsid w:val="005D13D3"/>
    <w:rsid w:val="005D1C2B"/>
    <w:rsid w:val="006225C9"/>
    <w:rsid w:val="00623A9E"/>
    <w:rsid w:val="006303BF"/>
    <w:rsid w:val="00633D7B"/>
    <w:rsid w:val="00660ECB"/>
    <w:rsid w:val="00666304"/>
    <w:rsid w:val="00677612"/>
    <w:rsid w:val="00694B28"/>
    <w:rsid w:val="006C4FBA"/>
    <w:rsid w:val="006C5626"/>
    <w:rsid w:val="006E438B"/>
    <w:rsid w:val="006F64C4"/>
    <w:rsid w:val="00740B28"/>
    <w:rsid w:val="007569BE"/>
    <w:rsid w:val="007631E8"/>
    <w:rsid w:val="007716E4"/>
    <w:rsid w:val="007B639F"/>
    <w:rsid w:val="007F4A03"/>
    <w:rsid w:val="00802F70"/>
    <w:rsid w:val="00840A5A"/>
    <w:rsid w:val="008803DE"/>
    <w:rsid w:val="00887D3A"/>
    <w:rsid w:val="00930ABD"/>
    <w:rsid w:val="00972490"/>
    <w:rsid w:val="009B236F"/>
    <w:rsid w:val="009C08C2"/>
    <w:rsid w:val="009E6630"/>
    <w:rsid w:val="009F4A3C"/>
    <w:rsid w:val="00A03450"/>
    <w:rsid w:val="00A16D48"/>
    <w:rsid w:val="00A33305"/>
    <w:rsid w:val="00A569F9"/>
    <w:rsid w:val="00AA5DA5"/>
    <w:rsid w:val="00AC3EE9"/>
    <w:rsid w:val="00AD1F48"/>
    <w:rsid w:val="00B057FA"/>
    <w:rsid w:val="00B15E68"/>
    <w:rsid w:val="00B34050"/>
    <w:rsid w:val="00B34661"/>
    <w:rsid w:val="00B60AFE"/>
    <w:rsid w:val="00B93D5E"/>
    <w:rsid w:val="00BA0802"/>
    <w:rsid w:val="00BB17D1"/>
    <w:rsid w:val="00BE5479"/>
    <w:rsid w:val="00C026F8"/>
    <w:rsid w:val="00C522BC"/>
    <w:rsid w:val="00C966FE"/>
    <w:rsid w:val="00CB105A"/>
    <w:rsid w:val="00CB3D85"/>
    <w:rsid w:val="00CC189C"/>
    <w:rsid w:val="00CD1FF7"/>
    <w:rsid w:val="00CF378D"/>
    <w:rsid w:val="00D30C36"/>
    <w:rsid w:val="00D34449"/>
    <w:rsid w:val="00D5239A"/>
    <w:rsid w:val="00D523B0"/>
    <w:rsid w:val="00D76224"/>
    <w:rsid w:val="00D83BAD"/>
    <w:rsid w:val="00DC5ACA"/>
    <w:rsid w:val="00DC6A03"/>
    <w:rsid w:val="00DE132A"/>
    <w:rsid w:val="00DE2C0F"/>
    <w:rsid w:val="00DF7A0E"/>
    <w:rsid w:val="00E14AC8"/>
    <w:rsid w:val="00E441D3"/>
    <w:rsid w:val="00E74F6E"/>
    <w:rsid w:val="00E844E7"/>
    <w:rsid w:val="00E86E69"/>
    <w:rsid w:val="00ED2902"/>
    <w:rsid w:val="00F349CA"/>
    <w:rsid w:val="00F866C2"/>
    <w:rsid w:val="00F8737F"/>
    <w:rsid w:val="00FA0892"/>
    <w:rsid w:val="00FE0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844E7"/>
    <w:rPr>
      <w:sz w:val="20"/>
      <w:szCs w:val="20"/>
    </w:rPr>
  </w:style>
  <w:style w:type="character" w:customStyle="1" w:styleId="FootnoteTextChar">
    <w:name w:val="Footnote Text Char"/>
    <w:basedOn w:val="DefaultParagraphFont"/>
    <w:link w:val="FootnoteText"/>
    <w:uiPriority w:val="99"/>
    <w:semiHidden/>
    <w:rsid w:val="00E844E7"/>
  </w:style>
  <w:style w:type="character" w:styleId="FootnoteReference">
    <w:name w:val="footnote reference"/>
    <w:uiPriority w:val="99"/>
    <w:unhideWhenUsed/>
    <w:rsid w:val="00E844E7"/>
    <w:rPr>
      <w:vertAlign w:val="superscript"/>
    </w:rPr>
  </w:style>
  <w:style w:type="paragraph" w:styleId="ListParagraph">
    <w:name w:val="List Paragraph"/>
    <w:basedOn w:val="Normal"/>
    <w:uiPriority w:val="34"/>
    <w:qFormat/>
    <w:rsid w:val="00660ECB"/>
    <w:pPr>
      <w:spacing w:after="160" w:line="259" w:lineRule="auto"/>
      <w:ind w:left="720"/>
      <w:contextualSpacing/>
    </w:pPr>
    <w:rPr>
      <w:rFonts w:eastAsia="Calibri"/>
      <w:lang w:eastAsia="en-US"/>
    </w:rPr>
  </w:style>
  <w:style w:type="table" w:styleId="TableGrid">
    <w:name w:val="Table Grid"/>
    <w:basedOn w:val="TableNormal"/>
    <w:uiPriority w:val="39"/>
    <w:rsid w:val="001B250B"/>
    <w:rPr>
      <w:rFonts w:eastAsia="Calibri"/>
      <w:kern w:val="2"/>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605331">
      <w:bodyDiv w:val="1"/>
      <w:marLeft w:val="0"/>
      <w:marRight w:val="0"/>
      <w:marTop w:val="0"/>
      <w:marBottom w:val="0"/>
      <w:divBdr>
        <w:top w:val="none" w:sz="0" w:space="0" w:color="auto"/>
        <w:left w:val="none" w:sz="0" w:space="0" w:color="auto"/>
        <w:bottom w:val="none" w:sz="0" w:space="0" w:color="auto"/>
        <w:right w:val="none" w:sz="0" w:space="0" w:color="auto"/>
      </w:divBdr>
    </w:div>
    <w:div w:id="707753621">
      <w:bodyDiv w:val="1"/>
      <w:marLeft w:val="0"/>
      <w:marRight w:val="0"/>
      <w:marTop w:val="0"/>
      <w:marBottom w:val="0"/>
      <w:divBdr>
        <w:top w:val="none" w:sz="0" w:space="0" w:color="auto"/>
        <w:left w:val="none" w:sz="0" w:space="0" w:color="auto"/>
        <w:bottom w:val="none" w:sz="0" w:space="0" w:color="auto"/>
        <w:right w:val="none" w:sz="0" w:space="0" w:color="auto"/>
      </w:divBdr>
    </w:div>
    <w:div w:id="1741708626">
      <w:bodyDiv w:val="1"/>
      <w:marLeft w:val="0"/>
      <w:marRight w:val="0"/>
      <w:marTop w:val="0"/>
      <w:marBottom w:val="0"/>
      <w:divBdr>
        <w:top w:val="none" w:sz="0" w:space="0" w:color="auto"/>
        <w:left w:val="none" w:sz="0" w:space="0" w:color="auto"/>
        <w:bottom w:val="none" w:sz="0" w:space="0" w:color="auto"/>
        <w:right w:val="none" w:sz="0" w:space="0" w:color="auto"/>
      </w:divBdr>
    </w:div>
    <w:div w:id="2006467855">
      <w:bodyDiv w:val="1"/>
      <w:marLeft w:val="0"/>
      <w:marRight w:val="0"/>
      <w:marTop w:val="0"/>
      <w:marBottom w:val="0"/>
      <w:divBdr>
        <w:top w:val="none" w:sz="0" w:space="0" w:color="auto"/>
        <w:left w:val="none" w:sz="0" w:space="0" w:color="auto"/>
        <w:bottom w:val="none" w:sz="0" w:space="0" w:color="auto"/>
        <w:right w:val="none" w:sz="0" w:space="0" w:color="auto"/>
      </w:divBdr>
    </w:div>
    <w:div w:id="2129157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solver.caselaw.kenyalaw.org/resolver/akn/ke/judgment/kesc/2022/8" TargetMode="External"/><Relationship Id="rId5" Type="http://schemas.openxmlformats.org/officeDocument/2006/relationships/settings" Target="settings.xml"/><Relationship Id="rId10" Type="http://schemas.openxmlformats.org/officeDocument/2006/relationships/hyperlink" Target="http://resolver.caselaw.kenyalaw.org/resolver/akn/ke/judgment/kesc/2022/8"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0DC5EC-E81F-4921-A152-ACA22546D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2007</TotalTime>
  <Pages>17</Pages>
  <Words>4663</Words>
  <Characters>26584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BF6</dc:creator>
  <cp:lastModifiedBy>badi amata</cp:lastModifiedBy>
  <cp:revision>90</cp:revision>
  <dcterms:created xsi:type="dcterms:W3CDTF">2024-02-18T05:01:00Z</dcterms:created>
  <dcterms:modified xsi:type="dcterms:W3CDTF">2024-02-29T17:06:00Z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999df9fc6ea3406ab03fc1747a4af239</vt:lpwstr>
  </property>
</Properties>
</file>