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F0EC8" w14:textId="78498925" w:rsidR="00280766" w:rsidRDefault="00BE4A79" w:rsidP="00280766">
      <w:pPr>
        <w:pStyle w:val="BodyText"/>
        <w:ind w:left="390"/>
        <w:jc w:val="center"/>
      </w:pPr>
      <w:r w:rsidRPr="00BE4A79">
        <w:rPr>
          <w:b/>
          <w:bCs/>
        </w:rPr>
        <w:t xml:space="preserve">                 </w:t>
      </w:r>
      <w:r w:rsidR="00280766">
        <w:rPr>
          <w:noProof/>
        </w:rPr>
        <w:drawing>
          <wp:inline distT="0" distB="0" distL="0" distR="0" wp14:anchorId="1081F2DF" wp14:editId="47A0A0E7">
            <wp:extent cx="5505450" cy="1028700"/>
            <wp:effectExtent l="0" t="0" r="0" b="0"/>
            <wp:docPr id="9430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5450" cy="1028700"/>
                    </a:xfrm>
                    <a:prstGeom prst="rect">
                      <a:avLst/>
                    </a:prstGeom>
                    <a:noFill/>
                    <a:ln>
                      <a:noFill/>
                    </a:ln>
                  </pic:spPr>
                </pic:pic>
              </a:graphicData>
            </a:graphic>
          </wp:inline>
        </w:drawing>
      </w:r>
      <w:r w:rsidR="00280766">
        <w:rPr>
          <w:b/>
        </w:rPr>
        <w:t xml:space="preserve">             ADVOCATES</w:t>
      </w:r>
      <w:r w:rsidR="00280766">
        <w:rPr>
          <w:b/>
          <w:spacing w:val="-3"/>
        </w:rPr>
        <w:t xml:space="preserve"> </w:t>
      </w:r>
      <w:r w:rsidR="00280766">
        <w:rPr>
          <w:b/>
        </w:rPr>
        <w:t>TRAINING</w:t>
      </w:r>
      <w:r w:rsidR="00280766">
        <w:rPr>
          <w:b/>
          <w:spacing w:val="-6"/>
        </w:rPr>
        <w:t xml:space="preserve"> </w:t>
      </w:r>
      <w:r w:rsidR="00280766">
        <w:rPr>
          <w:b/>
        </w:rPr>
        <w:t>PROGRAM</w:t>
      </w:r>
      <w:r w:rsidR="00280766">
        <w:rPr>
          <w:b/>
          <w:spacing w:val="-5"/>
        </w:rPr>
        <w:t xml:space="preserve"> </w:t>
      </w:r>
      <w:r w:rsidR="00280766">
        <w:rPr>
          <w:b/>
        </w:rPr>
        <w:t>24/25</w:t>
      </w:r>
    </w:p>
    <w:p w14:paraId="47F6EA38" w14:textId="77777777" w:rsidR="00280766" w:rsidRDefault="00280766" w:rsidP="00280766">
      <w:pPr>
        <w:pStyle w:val="BodyText"/>
        <w:spacing w:before="2"/>
        <w:jc w:val="center"/>
      </w:pPr>
    </w:p>
    <w:p w14:paraId="66843ED5" w14:textId="77777777" w:rsidR="00280766" w:rsidRDefault="00280766" w:rsidP="00280766">
      <w:pPr>
        <w:spacing w:before="85"/>
        <w:ind w:left="1071" w:right="699"/>
        <w:jc w:val="center"/>
        <w:rPr>
          <w:rFonts w:ascii="Times New Roman" w:hAnsi="Times New Roman" w:cs="Times New Roman"/>
          <w:b/>
          <w:sz w:val="24"/>
          <w:szCs w:val="24"/>
        </w:rPr>
      </w:pPr>
    </w:p>
    <w:p w14:paraId="25F1A819" w14:textId="77777777" w:rsidR="000836D8" w:rsidRDefault="000836D8" w:rsidP="00280766">
      <w:pPr>
        <w:spacing w:before="85"/>
        <w:ind w:left="1071" w:right="699"/>
        <w:jc w:val="center"/>
        <w:rPr>
          <w:rFonts w:ascii="Times New Roman" w:hAnsi="Times New Roman" w:cs="Times New Roman"/>
          <w:b/>
          <w:sz w:val="24"/>
          <w:szCs w:val="24"/>
        </w:rPr>
      </w:pPr>
    </w:p>
    <w:p w14:paraId="7A6B5F12" w14:textId="77777777" w:rsidR="00280766" w:rsidRDefault="00280766" w:rsidP="00280766">
      <w:pPr>
        <w:pStyle w:val="BodyText"/>
        <w:jc w:val="center"/>
        <w:rPr>
          <w:b/>
        </w:rPr>
      </w:pPr>
      <w:r>
        <w:rPr>
          <w:b/>
        </w:rPr>
        <w:t>ASSIGNMENT 01</w:t>
      </w:r>
    </w:p>
    <w:p w14:paraId="4FF17866" w14:textId="77777777" w:rsidR="000836D8" w:rsidRDefault="000836D8" w:rsidP="00280766">
      <w:pPr>
        <w:pStyle w:val="BodyText"/>
        <w:jc w:val="center"/>
        <w:rPr>
          <w:b/>
        </w:rPr>
      </w:pPr>
    </w:p>
    <w:p w14:paraId="360CB90F" w14:textId="77777777" w:rsidR="000836D8" w:rsidRDefault="000836D8" w:rsidP="00280766">
      <w:pPr>
        <w:pStyle w:val="BodyText"/>
        <w:jc w:val="center"/>
        <w:rPr>
          <w:b/>
        </w:rPr>
      </w:pPr>
    </w:p>
    <w:p w14:paraId="042B32C0" w14:textId="77777777" w:rsidR="00280766" w:rsidRDefault="00280766" w:rsidP="00280766">
      <w:pPr>
        <w:pStyle w:val="BodyText"/>
        <w:spacing w:before="9"/>
        <w:jc w:val="center"/>
        <w:rPr>
          <w:b/>
        </w:rPr>
      </w:pPr>
    </w:p>
    <w:p w14:paraId="084690F2" w14:textId="77777777" w:rsidR="00280766" w:rsidRDefault="00280766" w:rsidP="00280766">
      <w:pPr>
        <w:ind w:left="1071" w:right="690"/>
        <w:jc w:val="center"/>
        <w:rPr>
          <w:rFonts w:ascii="Times New Roman" w:hAnsi="Times New Roman" w:cs="Times New Roman"/>
          <w:sz w:val="24"/>
          <w:szCs w:val="24"/>
        </w:rPr>
      </w:pPr>
      <w:r>
        <w:rPr>
          <w:rFonts w:ascii="Times New Roman" w:hAnsi="Times New Roman" w:cs="Times New Roman"/>
          <w:sz w:val="24"/>
          <w:szCs w:val="24"/>
        </w:rPr>
        <w:t>By</w:t>
      </w:r>
    </w:p>
    <w:p w14:paraId="0841058B" w14:textId="77777777" w:rsidR="000836D8" w:rsidRDefault="000836D8" w:rsidP="00280766">
      <w:pPr>
        <w:ind w:left="1071" w:right="690"/>
        <w:jc w:val="center"/>
        <w:rPr>
          <w:rFonts w:ascii="Times New Roman" w:hAnsi="Times New Roman" w:cs="Times New Roman"/>
          <w:sz w:val="24"/>
          <w:szCs w:val="24"/>
        </w:rPr>
      </w:pPr>
    </w:p>
    <w:p w14:paraId="1633594D" w14:textId="77777777" w:rsidR="00280766" w:rsidRDefault="00280766" w:rsidP="00280766">
      <w:pPr>
        <w:pStyle w:val="BodyText"/>
        <w:jc w:val="center"/>
      </w:pPr>
    </w:p>
    <w:p w14:paraId="4AF59A17" w14:textId="77777777" w:rsidR="00280766" w:rsidRDefault="00280766" w:rsidP="00280766">
      <w:pPr>
        <w:pStyle w:val="BodyText"/>
        <w:spacing w:before="2"/>
        <w:jc w:val="center"/>
      </w:pPr>
    </w:p>
    <w:p w14:paraId="4B254A42" w14:textId="77777777" w:rsidR="00280766" w:rsidRDefault="00280766" w:rsidP="00280766">
      <w:pPr>
        <w:ind w:left="1071" w:right="694"/>
        <w:jc w:val="center"/>
        <w:rPr>
          <w:rFonts w:ascii="Times New Roman" w:hAnsi="Times New Roman" w:cs="Times New Roman"/>
          <w:b/>
          <w:sz w:val="24"/>
          <w:szCs w:val="24"/>
        </w:rPr>
      </w:pPr>
      <w:r>
        <w:rPr>
          <w:rFonts w:ascii="Times New Roman" w:hAnsi="Times New Roman" w:cs="Times New Roman"/>
          <w:b/>
          <w:sz w:val="24"/>
          <w:szCs w:val="24"/>
        </w:rPr>
        <w:t>FIRM</w:t>
      </w:r>
      <w:r>
        <w:rPr>
          <w:rFonts w:ascii="Times New Roman" w:hAnsi="Times New Roman" w:cs="Times New Roman"/>
          <w:b/>
          <w:spacing w:val="-2"/>
          <w:sz w:val="24"/>
          <w:szCs w:val="24"/>
        </w:rPr>
        <w:t xml:space="preserve"> </w:t>
      </w:r>
      <w:r>
        <w:rPr>
          <w:rFonts w:ascii="Times New Roman" w:hAnsi="Times New Roman" w:cs="Times New Roman"/>
          <w:b/>
          <w:sz w:val="24"/>
          <w:szCs w:val="24"/>
        </w:rPr>
        <w:t>G01</w:t>
      </w:r>
    </w:p>
    <w:p w14:paraId="709EA103" w14:textId="77777777" w:rsidR="00280766" w:rsidRDefault="00280766" w:rsidP="00280766">
      <w:pPr>
        <w:ind w:left="1071" w:right="694"/>
        <w:jc w:val="center"/>
        <w:rPr>
          <w:rFonts w:ascii="Times New Roman" w:hAnsi="Times New Roman" w:cs="Times New Roman"/>
          <w:b/>
          <w:sz w:val="24"/>
          <w:szCs w:val="24"/>
        </w:rPr>
      </w:pPr>
    </w:p>
    <w:p w14:paraId="7030AA90" w14:textId="77777777" w:rsidR="000836D8" w:rsidRDefault="000836D8" w:rsidP="00280766">
      <w:pPr>
        <w:ind w:left="1071" w:right="694"/>
        <w:jc w:val="center"/>
        <w:rPr>
          <w:rFonts w:ascii="Times New Roman" w:hAnsi="Times New Roman" w:cs="Times New Roman"/>
          <w:b/>
          <w:sz w:val="24"/>
          <w:szCs w:val="24"/>
        </w:rPr>
      </w:pPr>
    </w:p>
    <w:p w14:paraId="6FC4F5B3" w14:textId="77777777" w:rsidR="000836D8" w:rsidRDefault="000836D8" w:rsidP="00280766">
      <w:pPr>
        <w:ind w:left="1071" w:right="694"/>
        <w:jc w:val="center"/>
        <w:rPr>
          <w:rFonts w:ascii="Times New Roman" w:hAnsi="Times New Roman" w:cs="Times New Roman"/>
          <w:b/>
          <w:sz w:val="24"/>
          <w:szCs w:val="24"/>
        </w:rPr>
      </w:pPr>
    </w:p>
    <w:p w14:paraId="1093E488" w14:textId="13A4AA03" w:rsidR="00280766" w:rsidRDefault="00280766" w:rsidP="00280766">
      <w:pPr>
        <w:spacing w:line="408" w:lineRule="auto"/>
        <w:ind w:right="1323"/>
        <w:jc w:val="center"/>
        <w:rPr>
          <w:rFonts w:ascii="Times New Roman" w:hAnsi="Times New Roman" w:cs="Times New Roman"/>
          <w:b/>
          <w:sz w:val="24"/>
          <w:szCs w:val="24"/>
        </w:rPr>
      </w:pPr>
      <w:r>
        <w:rPr>
          <w:rFonts w:ascii="Times New Roman" w:hAnsi="Times New Roman" w:cs="Times New Roman"/>
          <w:b/>
          <w:sz w:val="24"/>
          <w:szCs w:val="24"/>
        </w:rPr>
        <w:t xml:space="preserve">                       CIVIL LITIGATION</w:t>
      </w:r>
      <w:r>
        <w:rPr>
          <w:rFonts w:ascii="Times New Roman" w:hAnsi="Times New Roman" w:cs="Times New Roman"/>
          <w:b/>
          <w:spacing w:val="1"/>
          <w:sz w:val="24"/>
          <w:szCs w:val="24"/>
        </w:rPr>
        <w:t xml:space="preserve"> </w:t>
      </w:r>
    </w:p>
    <w:p w14:paraId="14B2F360" w14:textId="77777777" w:rsidR="00280766" w:rsidRDefault="00280766" w:rsidP="00280766">
      <w:pPr>
        <w:pStyle w:val="BodyText"/>
        <w:spacing w:before="10"/>
        <w:rPr>
          <w:b/>
        </w:rPr>
      </w:pPr>
    </w:p>
    <w:p w14:paraId="302F65AB" w14:textId="77777777" w:rsidR="00280766" w:rsidRDefault="00280766" w:rsidP="00280766">
      <w:pPr>
        <w:pStyle w:val="BodyText"/>
        <w:spacing w:before="10"/>
        <w:rPr>
          <w:b/>
        </w:rPr>
      </w:pPr>
    </w:p>
    <w:p w14:paraId="46A70453" w14:textId="77777777" w:rsidR="00280766" w:rsidRDefault="00280766" w:rsidP="00280766">
      <w:pPr>
        <w:rPr>
          <w:rFonts w:ascii="Times New Roman" w:hAnsi="Times New Roman" w:cs="Times New Roman"/>
          <w:sz w:val="24"/>
          <w:szCs w:val="24"/>
        </w:rPr>
      </w:pPr>
    </w:p>
    <w:p w14:paraId="39836FE1" w14:textId="77777777" w:rsidR="008C747F" w:rsidRDefault="008C747F" w:rsidP="00280766">
      <w:pPr>
        <w:rPr>
          <w:rFonts w:ascii="Times New Roman" w:hAnsi="Times New Roman" w:cs="Times New Roman"/>
          <w:sz w:val="24"/>
          <w:szCs w:val="24"/>
        </w:rPr>
      </w:pPr>
    </w:p>
    <w:p w14:paraId="64F8679C" w14:textId="77777777" w:rsidR="008C747F" w:rsidRDefault="008C747F" w:rsidP="00280766">
      <w:pPr>
        <w:rPr>
          <w:rFonts w:ascii="Times New Roman" w:hAnsi="Times New Roman" w:cs="Times New Roman"/>
          <w:sz w:val="24"/>
          <w:szCs w:val="24"/>
        </w:rPr>
      </w:pPr>
    </w:p>
    <w:p w14:paraId="604389DC" w14:textId="77777777" w:rsidR="008C747F" w:rsidRDefault="008C747F" w:rsidP="00280766">
      <w:pPr>
        <w:rPr>
          <w:rFonts w:ascii="Times New Roman" w:hAnsi="Times New Roman" w:cs="Times New Roman"/>
          <w:sz w:val="24"/>
          <w:szCs w:val="24"/>
        </w:rPr>
      </w:pPr>
    </w:p>
    <w:p w14:paraId="741F790C" w14:textId="77777777" w:rsidR="008C747F" w:rsidRDefault="008C747F" w:rsidP="00280766">
      <w:pPr>
        <w:rPr>
          <w:rFonts w:ascii="Times New Roman" w:hAnsi="Times New Roman" w:cs="Times New Roman"/>
          <w:sz w:val="24"/>
          <w:szCs w:val="24"/>
        </w:rPr>
      </w:pPr>
    </w:p>
    <w:p w14:paraId="4F547FD3" w14:textId="77777777" w:rsidR="008C747F" w:rsidRDefault="008C747F" w:rsidP="00280766">
      <w:pPr>
        <w:rPr>
          <w:rFonts w:ascii="Times New Roman" w:hAnsi="Times New Roman" w:cs="Times New Roman"/>
          <w:sz w:val="24"/>
          <w:szCs w:val="24"/>
        </w:rPr>
      </w:pPr>
    </w:p>
    <w:p w14:paraId="7FE18610" w14:textId="77777777" w:rsidR="008C747F" w:rsidRDefault="008C747F" w:rsidP="00280766">
      <w:pPr>
        <w:rPr>
          <w:rFonts w:ascii="Times New Roman" w:hAnsi="Times New Roman" w:cs="Times New Roman"/>
          <w:sz w:val="24"/>
          <w:szCs w:val="24"/>
        </w:rPr>
      </w:pPr>
    </w:p>
    <w:p w14:paraId="1AC9AF34" w14:textId="77777777" w:rsidR="008C747F" w:rsidRDefault="008C747F" w:rsidP="00280766">
      <w:pPr>
        <w:rPr>
          <w:rFonts w:ascii="Times New Roman" w:hAnsi="Times New Roman" w:cs="Times New Roman"/>
          <w:sz w:val="24"/>
          <w:szCs w:val="24"/>
        </w:rPr>
      </w:pPr>
    </w:p>
    <w:p w14:paraId="105DB1DB" w14:textId="77777777" w:rsidR="00280766" w:rsidRDefault="00280766" w:rsidP="00280766">
      <w:pPr>
        <w:rPr>
          <w:rFonts w:ascii="Times New Roman" w:hAnsi="Times New Roman" w:cs="Times New Roman"/>
          <w:sz w:val="24"/>
          <w:szCs w:val="24"/>
        </w:rPr>
      </w:pPr>
    </w:p>
    <w:p w14:paraId="757CDFE5" w14:textId="77777777" w:rsidR="00280766" w:rsidRDefault="00280766" w:rsidP="00280766">
      <w:pPr>
        <w:rPr>
          <w:rFonts w:ascii="Times New Roman" w:hAnsi="Times New Roman" w:cs="Times New Roman"/>
          <w:sz w:val="24"/>
          <w:szCs w:val="24"/>
        </w:rPr>
      </w:pPr>
    </w:p>
    <w:p w14:paraId="52A63D04" w14:textId="77777777" w:rsidR="00280766" w:rsidRDefault="00280766" w:rsidP="00280766">
      <w:pPr>
        <w:rPr>
          <w:rFonts w:ascii="Times New Roman" w:hAnsi="Times New Roman" w:cs="Times New Roman"/>
          <w:sz w:val="24"/>
          <w:szCs w:val="24"/>
        </w:rPr>
      </w:pPr>
    </w:p>
    <w:p w14:paraId="4E7FA0CA" w14:textId="77777777" w:rsidR="00280766" w:rsidRDefault="00280766" w:rsidP="00280766">
      <w:pPr>
        <w:rPr>
          <w:rFonts w:ascii="Times New Roman" w:hAnsi="Times New Roman" w:cs="Times New Roman"/>
          <w:sz w:val="24"/>
          <w:szCs w:val="24"/>
        </w:rPr>
      </w:pPr>
    </w:p>
    <w:p w14:paraId="11483329" w14:textId="77777777" w:rsidR="00280766" w:rsidRDefault="00280766" w:rsidP="00280766">
      <w:pPr>
        <w:rPr>
          <w:rFonts w:ascii="Times New Roman" w:hAnsi="Times New Roman" w:cs="Times New Roman"/>
          <w:sz w:val="24"/>
          <w:szCs w:val="24"/>
        </w:rPr>
      </w:pPr>
    </w:p>
    <w:p w14:paraId="3F7D83B6" w14:textId="77777777" w:rsidR="00280766" w:rsidRDefault="00280766" w:rsidP="00280766">
      <w:pPr>
        <w:rPr>
          <w:rFonts w:ascii="Times New Roman" w:hAnsi="Times New Roman" w:cs="Times New Roman"/>
          <w:sz w:val="24"/>
          <w:szCs w:val="24"/>
        </w:rPr>
      </w:pPr>
    </w:p>
    <w:p w14:paraId="6459806A" w14:textId="465317E3" w:rsidR="00280766" w:rsidRPr="008C747F" w:rsidRDefault="00280766" w:rsidP="008C747F">
      <w:pPr>
        <w:jc w:val="center"/>
        <w:rPr>
          <w:rFonts w:ascii="Times New Roman" w:hAnsi="Times New Roman" w:cs="Times New Roman"/>
          <w:b/>
          <w:sz w:val="24"/>
          <w:szCs w:val="24"/>
          <w:u w:val="single"/>
        </w:rPr>
      </w:pPr>
      <w:r>
        <w:rPr>
          <w:rFonts w:ascii="Times New Roman" w:hAnsi="Times New Roman" w:cs="Times New Roman"/>
          <w:b/>
          <w:sz w:val="24"/>
          <w:szCs w:val="24"/>
          <w:u w:val="single"/>
        </w:rPr>
        <w:t>Group Firm Members</w:t>
      </w:r>
    </w:p>
    <w:tbl>
      <w:tblPr>
        <w:tblStyle w:val="TableGrid"/>
        <w:tblW w:w="0" w:type="auto"/>
        <w:tblInd w:w="0" w:type="dxa"/>
        <w:tblLook w:val="04A0" w:firstRow="1" w:lastRow="0" w:firstColumn="1" w:lastColumn="0" w:noHBand="0" w:noVBand="1"/>
      </w:tblPr>
      <w:tblGrid>
        <w:gridCol w:w="633"/>
        <w:gridCol w:w="4102"/>
        <w:gridCol w:w="3646"/>
      </w:tblGrid>
      <w:tr w:rsidR="00280766" w14:paraId="5809E4F8" w14:textId="77777777" w:rsidTr="00280766">
        <w:trPr>
          <w:trHeight w:val="658"/>
        </w:trPr>
        <w:tc>
          <w:tcPr>
            <w:tcW w:w="633" w:type="dxa"/>
            <w:tcBorders>
              <w:top w:val="single" w:sz="4" w:space="0" w:color="auto"/>
              <w:left w:val="single" w:sz="4" w:space="0" w:color="auto"/>
              <w:bottom w:val="single" w:sz="4" w:space="0" w:color="auto"/>
              <w:right w:val="single" w:sz="4" w:space="0" w:color="auto"/>
            </w:tcBorders>
            <w:hideMark/>
          </w:tcPr>
          <w:p w14:paraId="58A0476F" w14:textId="77777777" w:rsidR="00280766" w:rsidRDefault="00280766">
            <w:pPr>
              <w:rPr>
                <w:rFonts w:ascii="Times New Roman" w:hAnsi="Times New Roman" w:cs="Times New Roman"/>
                <w:b/>
                <w:sz w:val="24"/>
                <w:szCs w:val="24"/>
              </w:rPr>
            </w:pPr>
            <w:r>
              <w:rPr>
                <w:rFonts w:ascii="Times New Roman" w:hAnsi="Times New Roman" w:cs="Times New Roman"/>
                <w:b/>
                <w:sz w:val="24"/>
                <w:szCs w:val="24"/>
              </w:rPr>
              <w:t>NO</w:t>
            </w:r>
          </w:p>
        </w:tc>
        <w:tc>
          <w:tcPr>
            <w:tcW w:w="4102" w:type="dxa"/>
            <w:tcBorders>
              <w:top w:val="single" w:sz="4" w:space="0" w:color="auto"/>
              <w:left w:val="single" w:sz="4" w:space="0" w:color="auto"/>
              <w:bottom w:val="single" w:sz="4" w:space="0" w:color="auto"/>
              <w:right w:val="single" w:sz="4" w:space="0" w:color="auto"/>
            </w:tcBorders>
          </w:tcPr>
          <w:p w14:paraId="17E160DE" w14:textId="77777777" w:rsidR="00280766" w:rsidRDefault="00280766">
            <w:pPr>
              <w:rPr>
                <w:rFonts w:ascii="Times New Roman" w:hAnsi="Times New Roman" w:cs="Times New Roman"/>
                <w:b/>
                <w:sz w:val="24"/>
                <w:szCs w:val="24"/>
              </w:rPr>
            </w:pPr>
            <w:r>
              <w:rPr>
                <w:rFonts w:ascii="Times New Roman" w:hAnsi="Times New Roman" w:cs="Times New Roman"/>
                <w:b/>
                <w:sz w:val="24"/>
                <w:szCs w:val="24"/>
              </w:rPr>
              <w:t>NAME</w:t>
            </w:r>
          </w:p>
          <w:p w14:paraId="3C4DDB92" w14:textId="77777777" w:rsidR="00280766" w:rsidRDefault="00280766">
            <w:pPr>
              <w:rPr>
                <w:rFonts w:ascii="Times New Roman" w:hAnsi="Times New Roman" w:cs="Times New Roman"/>
                <w:b/>
                <w:sz w:val="24"/>
                <w:szCs w:val="24"/>
              </w:rPr>
            </w:pPr>
          </w:p>
        </w:tc>
        <w:tc>
          <w:tcPr>
            <w:tcW w:w="3646" w:type="dxa"/>
            <w:tcBorders>
              <w:top w:val="single" w:sz="4" w:space="0" w:color="auto"/>
              <w:left w:val="single" w:sz="4" w:space="0" w:color="auto"/>
              <w:bottom w:val="single" w:sz="4" w:space="0" w:color="auto"/>
              <w:right w:val="single" w:sz="4" w:space="0" w:color="auto"/>
            </w:tcBorders>
            <w:hideMark/>
          </w:tcPr>
          <w:p w14:paraId="11ED4F5A" w14:textId="77777777" w:rsidR="00280766" w:rsidRDefault="00280766">
            <w:pPr>
              <w:rPr>
                <w:rFonts w:ascii="Times New Roman" w:hAnsi="Times New Roman" w:cs="Times New Roman"/>
                <w:b/>
                <w:sz w:val="24"/>
                <w:szCs w:val="24"/>
              </w:rPr>
            </w:pPr>
            <w:r>
              <w:rPr>
                <w:rFonts w:ascii="Times New Roman" w:hAnsi="Times New Roman" w:cs="Times New Roman"/>
                <w:b/>
                <w:sz w:val="24"/>
                <w:szCs w:val="24"/>
              </w:rPr>
              <w:t xml:space="preserve">ADMISSION NUMBER </w:t>
            </w:r>
          </w:p>
        </w:tc>
      </w:tr>
      <w:tr w:rsidR="00280766" w14:paraId="7ED5DA7D" w14:textId="77777777" w:rsidTr="00280766">
        <w:trPr>
          <w:trHeight w:val="646"/>
        </w:trPr>
        <w:tc>
          <w:tcPr>
            <w:tcW w:w="633" w:type="dxa"/>
            <w:tcBorders>
              <w:top w:val="single" w:sz="4" w:space="0" w:color="auto"/>
              <w:left w:val="single" w:sz="4" w:space="0" w:color="auto"/>
              <w:bottom w:val="single" w:sz="4" w:space="0" w:color="auto"/>
              <w:right w:val="single" w:sz="4" w:space="0" w:color="auto"/>
            </w:tcBorders>
            <w:hideMark/>
          </w:tcPr>
          <w:p w14:paraId="0EA1DD8E"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1.</w:t>
            </w:r>
          </w:p>
        </w:tc>
        <w:tc>
          <w:tcPr>
            <w:tcW w:w="4102" w:type="dxa"/>
            <w:tcBorders>
              <w:top w:val="single" w:sz="4" w:space="0" w:color="auto"/>
              <w:left w:val="single" w:sz="4" w:space="0" w:color="auto"/>
              <w:bottom w:val="single" w:sz="4" w:space="0" w:color="auto"/>
              <w:right w:val="single" w:sz="4" w:space="0" w:color="auto"/>
            </w:tcBorders>
          </w:tcPr>
          <w:p w14:paraId="72BD53CB"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Vivian. M. Wokabi</w:t>
            </w:r>
          </w:p>
          <w:p w14:paraId="64449053" w14:textId="77777777" w:rsidR="00280766" w:rsidRDefault="00280766">
            <w:pPr>
              <w:rPr>
                <w:rFonts w:ascii="Times New Roman" w:hAnsi="Times New Roman" w:cs="Times New Roman"/>
                <w:sz w:val="24"/>
                <w:szCs w:val="24"/>
              </w:rPr>
            </w:pPr>
          </w:p>
        </w:tc>
        <w:tc>
          <w:tcPr>
            <w:tcW w:w="3646" w:type="dxa"/>
            <w:tcBorders>
              <w:top w:val="single" w:sz="4" w:space="0" w:color="auto"/>
              <w:left w:val="single" w:sz="4" w:space="0" w:color="auto"/>
              <w:bottom w:val="single" w:sz="4" w:space="0" w:color="auto"/>
              <w:right w:val="single" w:sz="4" w:space="0" w:color="auto"/>
            </w:tcBorders>
            <w:hideMark/>
          </w:tcPr>
          <w:p w14:paraId="3561AA7A"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 xml:space="preserve"> 20240002</w:t>
            </w:r>
          </w:p>
        </w:tc>
      </w:tr>
      <w:tr w:rsidR="00280766" w14:paraId="4FD74E20" w14:textId="77777777" w:rsidTr="00280766">
        <w:trPr>
          <w:trHeight w:val="658"/>
        </w:trPr>
        <w:tc>
          <w:tcPr>
            <w:tcW w:w="633" w:type="dxa"/>
            <w:tcBorders>
              <w:top w:val="single" w:sz="4" w:space="0" w:color="auto"/>
              <w:left w:val="single" w:sz="4" w:space="0" w:color="auto"/>
              <w:bottom w:val="single" w:sz="4" w:space="0" w:color="auto"/>
              <w:right w:val="single" w:sz="4" w:space="0" w:color="auto"/>
            </w:tcBorders>
            <w:hideMark/>
          </w:tcPr>
          <w:p w14:paraId="6D2BFB3F"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2.</w:t>
            </w:r>
          </w:p>
        </w:tc>
        <w:tc>
          <w:tcPr>
            <w:tcW w:w="4102" w:type="dxa"/>
            <w:tcBorders>
              <w:top w:val="single" w:sz="4" w:space="0" w:color="auto"/>
              <w:left w:val="single" w:sz="4" w:space="0" w:color="auto"/>
              <w:bottom w:val="single" w:sz="4" w:space="0" w:color="auto"/>
              <w:right w:val="single" w:sz="4" w:space="0" w:color="auto"/>
            </w:tcBorders>
          </w:tcPr>
          <w:p w14:paraId="4B529A3F"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Laura .M. Lwigado</w:t>
            </w:r>
          </w:p>
          <w:p w14:paraId="3AF42E31" w14:textId="77777777" w:rsidR="00280766" w:rsidRDefault="00280766">
            <w:pPr>
              <w:rPr>
                <w:rFonts w:ascii="Times New Roman" w:hAnsi="Times New Roman" w:cs="Times New Roman"/>
                <w:sz w:val="24"/>
                <w:szCs w:val="24"/>
              </w:rPr>
            </w:pPr>
          </w:p>
        </w:tc>
        <w:tc>
          <w:tcPr>
            <w:tcW w:w="3646" w:type="dxa"/>
            <w:tcBorders>
              <w:top w:val="single" w:sz="4" w:space="0" w:color="auto"/>
              <w:left w:val="single" w:sz="4" w:space="0" w:color="auto"/>
              <w:bottom w:val="single" w:sz="4" w:space="0" w:color="auto"/>
              <w:right w:val="single" w:sz="4" w:space="0" w:color="auto"/>
            </w:tcBorders>
            <w:hideMark/>
          </w:tcPr>
          <w:p w14:paraId="449CD655"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 xml:space="preserve"> 20240003</w:t>
            </w:r>
          </w:p>
        </w:tc>
      </w:tr>
      <w:tr w:rsidR="00280766" w14:paraId="53D583A8" w14:textId="77777777" w:rsidTr="00280766">
        <w:trPr>
          <w:trHeight w:val="658"/>
        </w:trPr>
        <w:tc>
          <w:tcPr>
            <w:tcW w:w="633" w:type="dxa"/>
            <w:tcBorders>
              <w:top w:val="single" w:sz="4" w:space="0" w:color="auto"/>
              <w:left w:val="single" w:sz="4" w:space="0" w:color="auto"/>
              <w:bottom w:val="single" w:sz="4" w:space="0" w:color="auto"/>
              <w:right w:val="single" w:sz="4" w:space="0" w:color="auto"/>
            </w:tcBorders>
            <w:hideMark/>
          </w:tcPr>
          <w:p w14:paraId="11DCF3E6"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3.</w:t>
            </w:r>
          </w:p>
        </w:tc>
        <w:tc>
          <w:tcPr>
            <w:tcW w:w="4102" w:type="dxa"/>
            <w:tcBorders>
              <w:top w:val="single" w:sz="4" w:space="0" w:color="auto"/>
              <w:left w:val="single" w:sz="4" w:space="0" w:color="auto"/>
              <w:bottom w:val="single" w:sz="4" w:space="0" w:color="auto"/>
              <w:right w:val="single" w:sz="4" w:space="0" w:color="auto"/>
            </w:tcBorders>
          </w:tcPr>
          <w:p w14:paraId="648582F6"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Tabitha Wangari Wang’ombe</w:t>
            </w:r>
          </w:p>
          <w:p w14:paraId="70FE1159" w14:textId="77777777" w:rsidR="00280766" w:rsidRDefault="00280766">
            <w:pPr>
              <w:rPr>
                <w:rFonts w:ascii="Times New Roman" w:hAnsi="Times New Roman" w:cs="Times New Roman"/>
                <w:sz w:val="24"/>
                <w:szCs w:val="24"/>
              </w:rPr>
            </w:pPr>
          </w:p>
        </w:tc>
        <w:tc>
          <w:tcPr>
            <w:tcW w:w="3646" w:type="dxa"/>
            <w:tcBorders>
              <w:top w:val="single" w:sz="4" w:space="0" w:color="auto"/>
              <w:left w:val="single" w:sz="4" w:space="0" w:color="auto"/>
              <w:bottom w:val="single" w:sz="4" w:space="0" w:color="auto"/>
              <w:right w:val="single" w:sz="4" w:space="0" w:color="auto"/>
            </w:tcBorders>
            <w:hideMark/>
          </w:tcPr>
          <w:p w14:paraId="5DEC7872"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 xml:space="preserve"> 20240011</w:t>
            </w:r>
          </w:p>
        </w:tc>
      </w:tr>
      <w:tr w:rsidR="00280766" w14:paraId="255F5CAC" w14:textId="77777777" w:rsidTr="00280766">
        <w:trPr>
          <w:trHeight w:val="658"/>
        </w:trPr>
        <w:tc>
          <w:tcPr>
            <w:tcW w:w="633" w:type="dxa"/>
            <w:tcBorders>
              <w:top w:val="single" w:sz="4" w:space="0" w:color="auto"/>
              <w:left w:val="single" w:sz="4" w:space="0" w:color="auto"/>
              <w:bottom w:val="single" w:sz="4" w:space="0" w:color="auto"/>
              <w:right w:val="single" w:sz="4" w:space="0" w:color="auto"/>
            </w:tcBorders>
            <w:hideMark/>
          </w:tcPr>
          <w:p w14:paraId="4128A07E"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4.</w:t>
            </w:r>
          </w:p>
        </w:tc>
        <w:tc>
          <w:tcPr>
            <w:tcW w:w="4102" w:type="dxa"/>
            <w:tcBorders>
              <w:top w:val="single" w:sz="4" w:space="0" w:color="auto"/>
              <w:left w:val="single" w:sz="4" w:space="0" w:color="auto"/>
              <w:bottom w:val="single" w:sz="4" w:space="0" w:color="auto"/>
              <w:right w:val="single" w:sz="4" w:space="0" w:color="auto"/>
            </w:tcBorders>
          </w:tcPr>
          <w:p w14:paraId="4EA1E128"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Boniface Mawira Karere</w:t>
            </w:r>
          </w:p>
          <w:p w14:paraId="33479E23" w14:textId="77777777" w:rsidR="00280766" w:rsidRDefault="00280766">
            <w:pPr>
              <w:rPr>
                <w:rFonts w:ascii="Times New Roman" w:hAnsi="Times New Roman" w:cs="Times New Roman"/>
                <w:sz w:val="24"/>
                <w:szCs w:val="24"/>
              </w:rPr>
            </w:pPr>
          </w:p>
        </w:tc>
        <w:tc>
          <w:tcPr>
            <w:tcW w:w="3646" w:type="dxa"/>
            <w:tcBorders>
              <w:top w:val="single" w:sz="4" w:space="0" w:color="auto"/>
              <w:left w:val="single" w:sz="4" w:space="0" w:color="auto"/>
              <w:bottom w:val="single" w:sz="4" w:space="0" w:color="auto"/>
              <w:right w:val="single" w:sz="4" w:space="0" w:color="auto"/>
            </w:tcBorders>
            <w:hideMark/>
          </w:tcPr>
          <w:p w14:paraId="5D8A800D"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 xml:space="preserve"> 20240013</w:t>
            </w:r>
          </w:p>
        </w:tc>
      </w:tr>
      <w:tr w:rsidR="00280766" w14:paraId="5A91C733" w14:textId="77777777" w:rsidTr="00280766">
        <w:trPr>
          <w:trHeight w:val="646"/>
        </w:trPr>
        <w:tc>
          <w:tcPr>
            <w:tcW w:w="633" w:type="dxa"/>
            <w:tcBorders>
              <w:top w:val="single" w:sz="4" w:space="0" w:color="auto"/>
              <w:left w:val="single" w:sz="4" w:space="0" w:color="auto"/>
              <w:bottom w:val="single" w:sz="4" w:space="0" w:color="auto"/>
              <w:right w:val="single" w:sz="4" w:space="0" w:color="auto"/>
            </w:tcBorders>
            <w:hideMark/>
          </w:tcPr>
          <w:p w14:paraId="5673062E"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5.</w:t>
            </w:r>
          </w:p>
        </w:tc>
        <w:tc>
          <w:tcPr>
            <w:tcW w:w="4102" w:type="dxa"/>
            <w:tcBorders>
              <w:top w:val="single" w:sz="4" w:space="0" w:color="auto"/>
              <w:left w:val="single" w:sz="4" w:space="0" w:color="auto"/>
              <w:bottom w:val="single" w:sz="4" w:space="0" w:color="auto"/>
              <w:right w:val="single" w:sz="4" w:space="0" w:color="auto"/>
            </w:tcBorders>
          </w:tcPr>
          <w:p w14:paraId="15C0E86F"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Bernard Omondi Otieno</w:t>
            </w:r>
          </w:p>
          <w:p w14:paraId="24A19602" w14:textId="77777777" w:rsidR="00280766" w:rsidRDefault="00280766">
            <w:pPr>
              <w:rPr>
                <w:rFonts w:ascii="Times New Roman" w:hAnsi="Times New Roman" w:cs="Times New Roman"/>
                <w:sz w:val="24"/>
                <w:szCs w:val="24"/>
              </w:rPr>
            </w:pPr>
          </w:p>
        </w:tc>
        <w:tc>
          <w:tcPr>
            <w:tcW w:w="3646" w:type="dxa"/>
            <w:tcBorders>
              <w:top w:val="single" w:sz="4" w:space="0" w:color="auto"/>
              <w:left w:val="single" w:sz="4" w:space="0" w:color="auto"/>
              <w:bottom w:val="single" w:sz="4" w:space="0" w:color="auto"/>
              <w:right w:val="single" w:sz="4" w:space="0" w:color="auto"/>
            </w:tcBorders>
            <w:hideMark/>
          </w:tcPr>
          <w:p w14:paraId="6604A098"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20240017</w:t>
            </w:r>
          </w:p>
        </w:tc>
      </w:tr>
      <w:tr w:rsidR="00280766" w14:paraId="78062237" w14:textId="77777777" w:rsidTr="00280766">
        <w:trPr>
          <w:trHeight w:val="658"/>
        </w:trPr>
        <w:tc>
          <w:tcPr>
            <w:tcW w:w="633" w:type="dxa"/>
            <w:tcBorders>
              <w:top w:val="single" w:sz="4" w:space="0" w:color="auto"/>
              <w:left w:val="single" w:sz="4" w:space="0" w:color="auto"/>
              <w:bottom w:val="single" w:sz="4" w:space="0" w:color="auto"/>
              <w:right w:val="single" w:sz="4" w:space="0" w:color="auto"/>
            </w:tcBorders>
            <w:hideMark/>
          </w:tcPr>
          <w:p w14:paraId="2593E385"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6.</w:t>
            </w:r>
          </w:p>
        </w:tc>
        <w:tc>
          <w:tcPr>
            <w:tcW w:w="4102" w:type="dxa"/>
            <w:tcBorders>
              <w:top w:val="single" w:sz="4" w:space="0" w:color="auto"/>
              <w:left w:val="single" w:sz="4" w:space="0" w:color="auto"/>
              <w:bottom w:val="single" w:sz="4" w:space="0" w:color="auto"/>
              <w:right w:val="single" w:sz="4" w:space="0" w:color="auto"/>
            </w:tcBorders>
          </w:tcPr>
          <w:p w14:paraId="358C1FB0"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 xml:space="preserve">Otieno Lavine Larry Noella </w:t>
            </w:r>
          </w:p>
          <w:p w14:paraId="5BA86985" w14:textId="77777777" w:rsidR="00280766" w:rsidRDefault="00280766">
            <w:pPr>
              <w:rPr>
                <w:rFonts w:ascii="Times New Roman" w:hAnsi="Times New Roman" w:cs="Times New Roman"/>
                <w:sz w:val="24"/>
                <w:szCs w:val="24"/>
              </w:rPr>
            </w:pPr>
          </w:p>
        </w:tc>
        <w:tc>
          <w:tcPr>
            <w:tcW w:w="3646" w:type="dxa"/>
            <w:tcBorders>
              <w:top w:val="single" w:sz="4" w:space="0" w:color="auto"/>
              <w:left w:val="single" w:sz="4" w:space="0" w:color="auto"/>
              <w:bottom w:val="single" w:sz="4" w:space="0" w:color="auto"/>
              <w:right w:val="single" w:sz="4" w:space="0" w:color="auto"/>
            </w:tcBorders>
            <w:hideMark/>
          </w:tcPr>
          <w:p w14:paraId="66E4F133"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20240027</w:t>
            </w:r>
          </w:p>
        </w:tc>
      </w:tr>
      <w:tr w:rsidR="00280766" w14:paraId="485389B2" w14:textId="77777777" w:rsidTr="00280766">
        <w:trPr>
          <w:trHeight w:val="658"/>
        </w:trPr>
        <w:tc>
          <w:tcPr>
            <w:tcW w:w="633" w:type="dxa"/>
            <w:tcBorders>
              <w:top w:val="single" w:sz="4" w:space="0" w:color="auto"/>
              <w:left w:val="single" w:sz="4" w:space="0" w:color="auto"/>
              <w:bottom w:val="single" w:sz="4" w:space="0" w:color="auto"/>
              <w:right w:val="single" w:sz="4" w:space="0" w:color="auto"/>
            </w:tcBorders>
            <w:hideMark/>
          </w:tcPr>
          <w:p w14:paraId="1E5B9F61"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7.</w:t>
            </w:r>
          </w:p>
        </w:tc>
        <w:tc>
          <w:tcPr>
            <w:tcW w:w="4102" w:type="dxa"/>
            <w:tcBorders>
              <w:top w:val="single" w:sz="4" w:space="0" w:color="auto"/>
              <w:left w:val="single" w:sz="4" w:space="0" w:color="auto"/>
              <w:bottom w:val="single" w:sz="4" w:space="0" w:color="auto"/>
              <w:right w:val="single" w:sz="4" w:space="0" w:color="auto"/>
            </w:tcBorders>
          </w:tcPr>
          <w:p w14:paraId="3BFE0868"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David Mamboleo</w:t>
            </w:r>
          </w:p>
          <w:p w14:paraId="1B955227" w14:textId="77777777" w:rsidR="00280766" w:rsidRDefault="00280766">
            <w:pPr>
              <w:rPr>
                <w:rFonts w:ascii="Times New Roman" w:hAnsi="Times New Roman" w:cs="Times New Roman"/>
                <w:sz w:val="24"/>
                <w:szCs w:val="24"/>
              </w:rPr>
            </w:pPr>
          </w:p>
        </w:tc>
        <w:tc>
          <w:tcPr>
            <w:tcW w:w="3646" w:type="dxa"/>
            <w:tcBorders>
              <w:top w:val="single" w:sz="4" w:space="0" w:color="auto"/>
              <w:left w:val="single" w:sz="4" w:space="0" w:color="auto"/>
              <w:bottom w:val="single" w:sz="4" w:space="0" w:color="auto"/>
              <w:right w:val="single" w:sz="4" w:space="0" w:color="auto"/>
            </w:tcBorders>
            <w:hideMark/>
          </w:tcPr>
          <w:p w14:paraId="4A7D69E0"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20240031</w:t>
            </w:r>
          </w:p>
        </w:tc>
      </w:tr>
      <w:tr w:rsidR="00280766" w14:paraId="12423611" w14:textId="77777777" w:rsidTr="00280766">
        <w:trPr>
          <w:trHeight w:val="658"/>
        </w:trPr>
        <w:tc>
          <w:tcPr>
            <w:tcW w:w="633" w:type="dxa"/>
            <w:tcBorders>
              <w:top w:val="single" w:sz="4" w:space="0" w:color="auto"/>
              <w:left w:val="single" w:sz="4" w:space="0" w:color="auto"/>
              <w:bottom w:val="single" w:sz="4" w:space="0" w:color="auto"/>
              <w:right w:val="single" w:sz="4" w:space="0" w:color="auto"/>
            </w:tcBorders>
            <w:hideMark/>
          </w:tcPr>
          <w:p w14:paraId="47D64AE7"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8.</w:t>
            </w:r>
          </w:p>
        </w:tc>
        <w:tc>
          <w:tcPr>
            <w:tcW w:w="4102" w:type="dxa"/>
            <w:tcBorders>
              <w:top w:val="single" w:sz="4" w:space="0" w:color="auto"/>
              <w:left w:val="single" w:sz="4" w:space="0" w:color="auto"/>
              <w:bottom w:val="single" w:sz="4" w:space="0" w:color="auto"/>
              <w:right w:val="single" w:sz="4" w:space="0" w:color="auto"/>
            </w:tcBorders>
          </w:tcPr>
          <w:p w14:paraId="03046693"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Njiraini Alvin</w:t>
            </w:r>
          </w:p>
          <w:p w14:paraId="5ADFC308" w14:textId="77777777" w:rsidR="00280766" w:rsidRDefault="00280766">
            <w:pPr>
              <w:rPr>
                <w:rFonts w:ascii="Times New Roman" w:hAnsi="Times New Roman" w:cs="Times New Roman"/>
                <w:sz w:val="24"/>
                <w:szCs w:val="24"/>
              </w:rPr>
            </w:pPr>
          </w:p>
        </w:tc>
        <w:tc>
          <w:tcPr>
            <w:tcW w:w="3646" w:type="dxa"/>
            <w:tcBorders>
              <w:top w:val="single" w:sz="4" w:space="0" w:color="auto"/>
              <w:left w:val="single" w:sz="4" w:space="0" w:color="auto"/>
              <w:bottom w:val="single" w:sz="4" w:space="0" w:color="auto"/>
              <w:right w:val="single" w:sz="4" w:space="0" w:color="auto"/>
            </w:tcBorders>
            <w:hideMark/>
          </w:tcPr>
          <w:p w14:paraId="5549FB80"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20240033</w:t>
            </w:r>
          </w:p>
        </w:tc>
      </w:tr>
      <w:tr w:rsidR="00280766" w14:paraId="4AA4A323" w14:textId="77777777" w:rsidTr="00280766">
        <w:trPr>
          <w:trHeight w:val="646"/>
        </w:trPr>
        <w:tc>
          <w:tcPr>
            <w:tcW w:w="633" w:type="dxa"/>
            <w:tcBorders>
              <w:top w:val="single" w:sz="4" w:space="0" w:color="auto"/>
              <w:left w:val="single" w:sz="4" w:space="0" w:color="auto"/>
              <w:bottom w:val="single" w:sz="4" w:space="0" w:color="auto"/>
              <w:right w:val="single" w:sz="4" w:space="0" w:color="auto"/>
            </w:tcBorders>
            <w:hideMark/>
          </w:tcPr>
          <w:p w14:paraId="1120F87B"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9.</w:t>
            </w:r>
          </w:p>
        </w:tc>
        <w:tc>
          <w:tcPr>
            <w:tcW w:w="4102" w:type="dxa"/>
            <w:tcBorders>
              <w:top w:val="single" w:sz="4" w:space="0" w:color="auto"/>
              <w:left w:val="single" w:sz="4" w:space="0" w:color="auto"/>
              <w:bottom w:val="single" w:sz="4" w:space="0" w:color="auto"/>
              <w:right w:val="single" w:sz="4" w:space="0" w:color="auto"/>
            </w:tcBorders>
          </w:tcPr>
          <w:p w14:paraId="38E9330B"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 xml:space="preserve">Kelvin Nzuki Muthini </w:t>
            </w:r>
          </w:p>
          <w:p w14:paraId="6557F4DA" w14:textId="77777777" w:rsidR="00280766" w:rsidRDefault="00280766">
            <w:pPr>
              <w:rPr>
                <w:rFonts w:ascii="Times New Roman" w:hAnsi="Times New Roman" w:cs="Times New Roman"/>
                <w:sz w:val="24"/>
                <w:szCs w:val="24"/>
              </w:rPr>
            </w:pPr>
          </w:p>
        </w:tc>
        <w:tc>
          <w:tcPr>
            <w:tcW w:w="3646" w:type="dxa"/>
            <w:tcBorders>
              <w:top w:val="single" w:sz="4" w:space="0" w:color="auto"/>
              <w:left w:val="single" w:sz="4" w:space="0" w:color="auto"/>
              <w:bottom w:val="single" w:sz="4" w:space="0" w:color="auto"/>
              <w:right w:val="single" w:sz="4" w:space="0" w:color="auto"/>
            </w:tcBorders>
            <w:hideMark/>
          </w:tcPr>
          <w:p w14:paraId="7A593073"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20240862</w:t>
            </w:r>
          </w:p>
        </w:tc>
      </w:tr>
      <w:tr w:rsidR="00280766" w14:paraId="4BFFBE47" w14:textId="77777777" w:rsidTr="00280766">
        <w:trPr>
          <w:trHeight w:val="646"/>
        </w:trPr>
        <w:tc>
          <w:tcPr>
            <w:tcW w:w="633" w:type="dxa"/>
            <w:tcBorders>
              <w:top w:val="single" w:sz="4" w:space="0" w:color="auto"/>
              <w:left w:val="single" w:sz="4" w:space="0" w:color="auto"/>
              <w:bottom w:val="single" w:sz="4" w:space="0" w:color="auto"/>
              <w:right w:val="single" w:sz="4" w:space="0" w:color="auto"/>
            </w:tcBorders>
            <w:hideMark/>
          </w:tcPr>
          <w:p w14:paraId="29135D31"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10.</w:t>
            </w:r>
          </w:p>
        </w:tc>
        <w:tc>
          <w:tcPr>
            <w:tcW w:w="4102" w:type="dxa"/>
            <w:tcBorders>
              <w:top w:val="single" w:sz="4" w:space="0" w:color="auto"/>
              <w:left w:val="single" w:sz="4" w:space="0" w:color="auto"/>
              <w:bottom w:val="single" w:sz="4" w:space="0" w:color="auto"/>
              <w:right w:val="single" w:sz="4" w:space="0" w:color="auto"/>
            </w:tcBorders>
            <w:hideMark/>
          </w:tcPr>
          <w:p w14:paraId="66EAF4B8"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Kipyegon Caleb</w:t>
            </w:r>
          </w:p>
        </w:tc>
        <w:tc>
          <w:tcPr>
            <w:tcW w:w="3646" w:type="dxa"/>
            <w:tcBorders>
              <w:top w:val="single" w:sz="4" w:space="0" w:color="auto"/>
              <w:left w:val="single" w:sz="4" w:space="0" w:color="auto"/>
              <w:bottom w:val="single" w:sz="4" w:space="0" w:color="auto"/>
              <w:right w:val="single" w:sz="4" w:space="0" w:color="auto"/>
            </w:tcBorders>
            <w:hideMark/>
          </w:tcPr>
          <w:p w14:paraId="5EBB2177"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20241037</w:t>
            </w:r>
          </w:p>
        </w:tc>
      </w:tr>
      <w:tr w:rsidR="00280766" w14:paraId="10377610" w14:textId="77777777" w:rsidTr="00280766">
        <w:trPr>
          <w:trHeight w:val="646"/>
        </w:trPr>
        <w:tc>
          <w:tcPr>
            <w:tcW w:w="633" w:type="dxa"/>
            <w:tcBorders>
              <w:top w:val="single" w:sz="4" w:space="0" w:color="auto"/>
              <w:left w:val="single" w:sz="4" w:space="0" w:color="auto"/>
              <w:bottom w:val="single" w:sz="4" w:space="0" w:color="auto"/>
              <w:right w:val="single" w:sz="4" w:space="0" w:color="auto"/>
            </w:tcBorders>
            <w:hideMark/>
          </w:tcPr>
          <w:p w14:paraId="2D3380C9"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 xml:space="preserve">11. </w:t>
            </w:r>
          </w:p>
        </w:tc>
        <w:tc>
          <w:tcPr>
            <w:tcW w:w="4102" w:type="dxa"/>
            <w:tcBorders>
              <w:top w:val="single" w:sz="4" w:space="0" w:color="auto"/>
              <w:left w:val="single" w:sz="4" w:space="0" w:color="auto"/>
              <w:bottom w:val="single" w:sz="4" w:space="0" w:color="auto"/>
              <w:right w:val="single" w:sz="4" w:space="0" w:color="auto"/>
            </w:tcBorders>
            <w:hideMark/>
          </w:tcPr>
          <w:p w14:paraId="2BE07470"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Tanui Sheila</w:t>
            </w:r>
          </w:p>
        </w:tc>
        <w:tc>
          <w:tcPr>
            <w:tcW w:w="3646" w:type="dxa"/>
            <w:tcBorders>
              <w:top w:val="single" w:sz="4" w:space="0" w:color="auto"/>
              <w:left w:val="single" w:sz="4" w:space="0" w:color="auto"/>
              <w:bottom w:val="single" w:sz="4" w:space="0" w:color="auto"/>
              <w:right w:val="single" w:sz="4" w:space="0" w:color="auto"/>
            </w:tcBorders>
            <w:hideMark/>
          </w:tcPr>
          <w:p w14:paraId="5CDFC939" w14:textId="77777777" w:rsidR="00280766" w:rsidRDefault="00280766">
            <w:pPr>
              <w:rPr>
                <w:rFonts w:ascii="Times New Roman" w:hAnsi="Times New Roman" w:cs="Times New Roman"/>
                <w:sz w:val="24"/>
                <w:szCs w:val="24"/>
              </w:rPr>
            </w:pPr>
            <w:r>
              <w:rPr>
                <w:rFonts w:ascii="Times New Roman" w:hAnsi="Times New Roman" w:cs="Times New Roman"/>
                <w:sz w:val="24"/>
                <w:szCs w:val="24"/>
              </w:rPr>
              <w:t>20241463</w:t>
            </w:r>
          </w:p>
        </w:tc>
      </w:tr>
    </w:tbl>
    <w:p w14:paraId="3AB8FBEF" w14:textId="77777777" w:rsidR="00280766" w:rsidRDefault="00280766" w:rsidP="00280766">
      <w:pPr>
        <w:rPr>
          <w:rFonts w:ascii="Times New Roman" w:hAnsi="Times New Roman" w:cs="Times New Roman"/>
          <w:sz w:val="24"/>
          <w:szCs w:val="24"/>
        </w:rPr>
        <w:sectPr w:rsidR="00280766" w:rsidSect="00764BBB">
          <w:pgSz w:w="12240" w:h="15840"/>
          <w:pgMar w:top="1440" w:right="1440" w:bottom="1440" w:left="1440" w:header="720" w:footer="720" w:gutter="0"/>
          <w:cols w:space="720"/>
        </w:sectPr>
      </w:pPr>
    </w:p>
    <w:p w14:paraId="20923280" w14:textId="4DB6C45E" w:rsidR="00D639D1" w:rsidRPr="00885192" w:rsidRDefault="00280766" w:rsidP="00C053E2">
      <w:pPr>
        <w:jc w:val="both"/>
        <w:rPr>
          <w:rFonts w:ascii="Times New Roman" w:hAnsi="Times New Roman" w:cs="Times New Roman"/>
          <w:b/>
          <w:bCs/>
          <w:sz w:val="24"/>
          <w:szCs w:val="24"/>
        </w:rPr>
      </w:pPr>
      <w:r w:rsidRPr="00885192">
        <w:rPr>
          <w:rFonts w:ascii="Times New Roman" w:hAnsi="Times New Roman" w:cs="Times New Roman"/>
          <w:b/>
          <w:bCs/>
          <w:sz w:val="24"/>
          <w:szCs w:val="24"/>
        </w:rPr>
        <w:lastRenderedPageBreak/>
        <w:t xml:space="preserve">Q. </w:t>
      </w:r>
      <w:r w:rsidR="00D639D1" w:rsidRPr="00885192">
        <w:rPr>
          <w:rFonts w:ascii="Times New Roman" w:hAnsi="Times New Roman" w:cs="Times New Roman"/>
          <w:b/>
          <w:bCs/>
          <w:sz w:val="24"/>
          <w:szCs w:val="24"/>
        </w:rPr>
        <w:t xml:space="preserve">Discuss the </w:t>
      </w:r>
      <w:r w:rsidR="00C053E2" w:rsidRPr="00885192">
        <w:rPr>
          <w:rFonts w:ascii="Times New Roman" w:hAnsi="Times New Roman" w:cs="Times New Roman"/>
          <w:b/>
          <w:bCs/>
          <w:sz w:val="24"/>
          <w:szCs w:val="24"/>
        </w:rPr>
        <w:t>C</w:t>
      </w:r>
      <w:r w:rsidR="00D639D1" w:rsidRPr="00885192">
        <w:rPr>
          <w:rFonts w:ascii="Times New Roman" w:hAnsi="Times New Roman" w:cs="Times New Roman"/>
          <w:b/>
          <w:bCs/>
          <w:sz w:val="24"/>
          <w:szCs w:val="24"/>
        </w:rPr>
        <w:t>onstitution</w:t>
      </w:r>
      <w:r w:rsidR="00C053E2" w:rsidRPr="00885192">
        <w:rPr>
          <w:rFonts w:ascii="Times New Roman" w:hAnsi="Times New Roman" w:cs="Times New Roman"/>
          <w:b/>
          <w:bCs/>
          <w:sz w:val="24"/>
          <w:szCs w:val="24"/>
        </w:rPr>
        <w:t>al</w:t>
      </w:r>
      <w:r w:rsidR="00D639D1" w:rsidRPr="00885192">
        <w:rPr>
          <w:rFonts w:ascii="Times New Roman" w:hAnsi="Times New Roman" w:cs="Times New Roman"/>
          <w:b/>
          <w:bCs/>
          <w:sz w:val="24"/>
          <w:szCs w:val="24"/>
        </w:rPr>
        <w:t xml:space="preserve"> conferment of </w:t>
      </w:r>
      <w:r w:rsidR="006D5BB2" w:rsidRPr="00885192">
        <w:rPr>
          <w:rFonts w:ascii="Times New Roman" w:hAnsi="Times New Roman" w:cs="Times New Roman"/>
          <w:b/>
          <w:bCs/>
          <w:sz w:val="24"/>
          <w:szCs w:val="24"/>
        </w:rPr>
        <w:t>jurisdiction.</w:t>
      </w:r>
    </w:p>
    <w:p w14:paraId="0607AC23" w14:textId="2095871F" w:rsidR="00D639D1" w:rsidRPr="00885192" w:rsidRDefault="00C053E2" w:rsidP="00C053E2">
      <w:pPr>
        <w:jc w:val="both"/>
        <w:rPr>
          <w:rFonts w:ascii="Times New Roman" w:hAnsi="Times New Roman" w:cs="Times New Roman"/>
          <w:b/>
          <w:bCs/>
          <w:sz w:val="24"/>
          <w:szCs w:val="24"/>
          <w:u w:val="single"/>
        </w:rPr>
      </w:pPr>
      <w:r w:rsidRPr="00885192">
        <w:rPr>
          <w:rFonts w:ascii="Times New Roman" w:hAnsi="Times New Roman" w:cs="Times New Roman"/>
          <w:b/>
          <w:bCs/>
          <w:sz w:val="24"/>
          <w:szCs w:val="24"/>
          <w:u w:val="single"/>
        </w:rPr>
        <w:t>INTRODUCTION</w:t>
      </w:r>
    </w:p>
    <w:p w14:paraId="556E7328" w14:textId="77777777" w:rsidR="00280766" w:rsidRPr="00885192" w:rsidRDefault="00280766" w:rsidP="00C053E2">
      <w:pPr>
        <w:jc w:val="both"/>
        <w:rPr>
          <w:rFonts w:ascii="Times New Roman" w:hAnsi="Times New Roman" w:cs="Times New Roman"/>
          <w:b/>
          <w:sz w:val="24"/>
          <w:szCs w:val="24"/>
          <w:u w:val="single"/>
          <w:shd w:val="clear" w:color="auto" w:fill="FFFFFF"/>
        </w:rPr>
      </w:pPr>
      <w:r w:rsidRPr="00885192">
        <w:rPr>
          <w:rFonts w:ascii="Times New Roman" w:hAnsi="Times New Roman" w:cs="Times New Roman"/>
          <w:b/>
          <w:sz w:val="24"/>
          <w:szCs w:val="24"/>
          <w:u w:val="single"/>
          <w:shd w:val="clear" w:color="auto" w:fill="FFFFFF"/>
        </w:rPr>
        <w:t xml:space="preserve">Definition of Jurisdiction </w:t>
      </w:r>
    </w:p>
    <w:p w14:paraId="0944B986" w14:textId="77777777" w:rsidR="00280766" w:rsidRPr="00885192" w:rsidRDefault="00280766" w:rsidP="00647C32">
      <w:pPr>
        <w:spacing w:line="240" w:lineRule="auto"/>
        <w:jc w:val="both"/>
        <w:rPr>
          <w:rFonts w:ascii="Times New Roman" w:hAnsi="Times New Roman" w:cs="Times New Roman"/>
          <w:sz w:val="24"/>
          <w:szCs w:val="24"/>
          <w:shd w:val="clear" w:color="auto" w:fill="FFFFFF"/>
        </w:rPr>
      </w:pPr>
      <w:r w:rsidRPr="00885192">
        <w:rPr>
          <w:rFonts w:ascii="Times New Roman" w:hAnsi="Times New Roman" w:cs="Times New Roman"/>
          <w:sz w:val="24"/>
          <w:szCs w:val="24"/>
          <w:shd w:val="clear" w:color="auto" w:fill="FFFFFF"/>
        </w:rPr>
        <w:t>The Black’s Law Dictionary defines Jurisdiction as the power and authority constitutionally conferred upon (or constitutionally recognized as existing in) a court or judge to pronounce the sentence of the law, or to award the remedies provided by law, upon a state of facts, proved or ad- mitted, referred to the tribunal for decision, and authorized by law to be the subject of investigation or action by that tribunal, and in favor of or against persons (or a res) who present themselves, or who are brought, before the court in some manner sanctioned by law as proper and sufficient.</w:t>
      </w:r>
      <w:r w:rsidRPr="00885192">
        <w:rPr>
          <w:rStyle w:val="FootnoteReference"/>
          <w:rFonts w:ascii="Times New Roman" w:hAnsi="Times New Roman" w:cs="Times New Roman"/>
          <w:sz w:val="24"/>
          <w:szCs w:val="24"/>
          <w:shd w:val="clear" w:color="auto" w:fill="FFFFFF"/>
        </w:rPr>
        <w:footnoteReference w:id="1"/>
      </w:r>
    </w:p>
    <w:p w14:paraId="529CD2EE" w14:textId="0B0FA77D" w:rsidR="00541CA1" w:rsidRPr="00885192" w:rsidRDefault="00541CA1" w:rsidP="00647C32">
      <w:pPr>
        <w:pStyle w:val="NormalWeb"/>
        <w:shd w:val="clear" w:color="auto" w:fill="FFFFFF"/>
        <w:jc w:val="both"/>
        <w:rPr>
          <w:rFonts w:eastAsiaTheme="majorEastAsia"/>
          <w:bCs/>
          <w:iCs/>
        </w:rPr>
      </w:pPr>
      <w:r w:rsidRPr="00885192">
        <w:rPr>
          <w:rFonts w:eastAsiaTheme="majorEastAsia"/>
          <w:bCs/>
          <w:iCs/>
        </w:rPr>
        <w:t xml:space="preserve">In the case of Owners of the </w:t>
      </w:r>
      <w:r w:rsidRPr="00885192">
        <w:rPr>
          <w:rFonts w:eastAsiaTheme="majorEastAsia"/>
          <w:b/>
          <w:bCs/>
          <w:iCs/>
        </w:rPr>
        <w:t>Motor Vessel “Lillian S” v Caltex Oil (Kenya) Ltd [1989] eKLR</w:t>
      </w:r>
      <w:r w:rsidRPr="00885192">
        <w:rPr>
          <w:rFonts w:eastAsiaTheme="majorEastAsia"/>
          <w:bCs/>
          <w:iCs/>
        </w:rPr>
        <w:t xml:space="preserve">, the importance of jurisdiction was captured by Justice Nyarangi in the following words ‘’ …. </w:t>
      </w:r>
      <w:r w:rsidR="006D114D" w:rsidRPr="00885192">
        <w:rPr>
          <w:rFonts w:eastAsiaTheme="majorEastAsia"/>
          <w:bCs/>
          <w:iCs/>
        </w:rPr>
        <w:t>“</w:t>
      </w:r>
      <w:r w:rsidRPr="00885192">
        <w:rPr>
          <w:rFonts w:eastAsiaTheme="majorEastAsia"/>
          <w:bCs/>
          <w:iCs/>
        </w:rPr>
        <w:t>Jurisdiction is everything. Without it, a court has no power to make one more step. Where a court has no jurisdiction, there would be no basis for a continuation of proceedings pending other evidence. A court of law down tools in respect of the matter before it the moment it holds the opinion that it is without jurisdiction”</w:t>
      </w:r>
      <w:r w:rsidR="006D114D" w:rsidRPr="00885192">
        <w:rPr>
          <w:rStyle w:val="FootnoteReference"/>
          <w:rFonts w:eastAsiaTheme="majorEastAsia"/>
          <w:bCs/>
          <w:iCs/>
        </w:rPr>
        <w:footnoteReference w:id="2"/>
      </w:r>
    </w:p>
    <w:p w14:paraId="2C8E040D" w14:textId="05C1F08D" w:rsidR="00280766" w:rsidRPr="00885192" w:rsidRDefault="00280766" w:rsidP="00647C32">
      <w:pPr>
        <w:pStyle w:val="NormalWeb"/>
        <w:shd w:val="clear" w:color="auto" w:fill="FFFFFF"/>
        <w:spacing w:before="0" w:beforeAutospacing="0" w:after="150" w:afterAutospacing="0"/>
        <w:jc w:val="both"/>
      </w:pPr>
      <w:r w:rsidRPr="00885192">
        <w:t xml:space="preserve">On the doctrine of jurisdiction, the Court of Appeal stated in </w:t>
      </w:r>
      <w:r w:rsidRPr="00885192">
        <w:rPr>
          <w:b/>
          <w:i/>
        </w:rPr>
        <w:t>Nakuru Civil Appeal No. 119 of 2017 </w:t>
      </w:r>
      <w:r w:rsidRPr="00885192">
        <w:rPr>
          <w:rStyle w:val="Emphasis"/>
          <w:rFonts w:eastAsiaTheme="majorEastAsia"/>
          <w:b/>
          <w:bCs/>
          <w:i w:val="0"/>
        </w:rPr>
        <w:t>Public Service Commission &amp; 2 Others vs. Eric Cheruiyot &amp; 16 Others</w:t>
      </w:r>
      <w:r w:rsidR="006D114D" w:rsidRPr="00885192">
        <w:rPr>
          <w:rStyle w:val="FootnoteReference"/>
          <w:rFonts w:eastAsiaTheme="majorEastAsia"/>
          <w:b/>
          <w:bCs/>
          <w:iCs/>
        </w:rPr>
        <w:footnoteReference w:id="3"/>
      </w:r>
      <w:r w:rsidRPr="00885192">
        <w:t xml:space="preserve"> that </w:t>
      </w:r>
      <w:r w:rsidRPr="00885192">
        <w:rPr>
          <w:rStyle w:val="Emphasis"/>
          <w:rFonts w:eastAsiaTheme="majorEastAsia"/>
          <w:i w:val="0"/>
        </w:rPr>
        <w:t>jurisdiction is everything, it is what gives a court or a tribunal the power, authority and legitimacy to entertain a matter before it. </w:t>
      </w:r>
      <w:r w:rsidRPr="00885192">
        <w:rPr>
          <w:rStyle w:val="Emphasis"/>
          <w:rFonts w:eastAsiaTheme="majorEastAsia"/>
          <w:bCs/>
          <w:i w:val="0"/>
        </w:rPr>
        <w:t>John Beecroft Saunders</w:t>
      </w:r>
      <w:r w:rsidRPr="00885192">
        <w:rPr>
          <w:rStyle w:val="Emphasis"/>
          <w:rFonts w:eastAsiaTheme="majorEastAsia"/>
          <w:i w:val="0"/>
        </w:rPr>
        <w:t> in “</w:t>
      </w:r>
      <w:r w:rsidRPr="00885192">
        <w:rPr>
          <w:rStyle w:val="Emphasis"/>
          <w:rFonts w:eastAsiaTheme="majorEastAsia"/>
          <w:bCs/>
          <w:i w:val="0"/>
        </w:rPr>
        <w:t>Words and Phrases Legally Defined”</w:t>
      </w:r>
      <w:r w:rsidRPr="00885192">
        <w:rPr>
          <w:rStyle w:val="Emphasis"/>
          <w:rFonts w:eastAsiaTheme="majorEastAsia"/>
          <w:i w:val="0"/>
        </w:rPr>
        <w:t>, Volume 3 at Page 113 defines court jurisdiction as follows: </w:t>
      </w:r>
    </w:p>
    <w:p w14:paraId="5F3E2D4E" w14:textId="77777777" w:rsidR="00280766" w:rsidRPr="00885192" w:rsidRDefault="00280766" w:rsidP="00647C32">
      <w:pPr>
        <w:pStyle w:val="NormalWeb"/>
        <w:shd w:val="clear" w:color="auto" w:fill="FFFFFF"/>
        <w:spacing w:before="0" w:beforeAutospacing="0" w:after="150" w:afterAutospacing="0"/>
        <w:jc w:val="both"/>
        <w:rPr>
          <w:rStyle w:val="Emphasis"/>
          <w:rFonts w:eastAsiaTheme="majorEastAsia"/>
          <w:bCs/>
          <w:i w:val="0"/>
        </w:rPr>
      </w:pPr>
      <w:r w:rsidRPr="00885192">
        <w:rPr>
          <w:rStyle w:val="Emphasis"/>
          <w:rFonts w:eastAsiaTheme="majorEastAsia"/>
          <w:bCs/>
          <w:i w:val="0"/>
        </w:rPr>
        <w:t>By jurisdiction is meant the authority which a court has to decide matters that are litigated before it or to take cognizance of the matters presented in a formal way for its decision. The limits of this authority are imposed by the statute, charter, or commission under which the court is constituted, and may be extended or restricted by the like means. If no restriction or limit is imposed the jurisdiction is said to be unlimited. A limitation may be either as to kind and nature of the actions and matters of which the particular court has cognizance, or as to the area over which the jurisdiction shall extend, or it may partake of both these characteristics. If the jurisdiction of an inferior court or tribunal (including an arbitrator) depends on the existence of a particular state of facts, the court or tribunal must inquire into the existence of the facts in order to decide whether it has jurisdiction; but, except where the court or tribunal has been given power to determine conclusively whether the facts exist. Where a court takes it upon itself to exercise a jurisdiction which it does not possess, its decision amounts to nothing. Jurisdiction must be acquired before judgment is given.</w:t>
      </w:r>
    </w:p>
    <w:p w14:paraId="14A72718" w14:textId="77777777" w:rsidR="00885192" w:rsidRPr="00885192" w:rsidRDefault="00885192" w:rsidP="00647C32">
      <w:pPr>
        <w:spacing w:line="240" w:lineRule="auto"/>
        <w:jc w:val="both"/>
        <w:rPr>
          <w:rFonts w:ascii="Times New Roman" w:hAnsi="Times New Roman" w:cs="Times New Roman"/>
          <w:b/>
          <w:bCs/>
          <w:sz w:val="24"/>
          <w:szCs w:val="24"/>
          <w:u w:val="single"/>
        </w:rPr>
      </w:pPr>
      <w:r w:rsidRPr="00885192">
        <w:rPr>
          <w:rFonts w:ascii="Times New Roman" w:hAnsi="Times New Roman" w:cs="Times New Roman"/>
          <w:b/>
          <w:bCs/>
          <w:sz w:val="24"/>
          <w:szCs w:val="24"/>
          <w:u w:val="single"/>
        </w:rPr>
        <w:t>Overview and further discussion on jurisdiction</w:t>
      </w:r>
    </w:p>
    <w:p w14:paraId="6B939011" w14:textId="77777777" w:rsidR="00885192" w:rsidRPr="00885192" w:rsidRDefault="00885192" w:rsidP="00647C32">
      <w:p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 xml:space="preserve">Jurisdiction of courts is sometimes classified as adjective or procedural law.  But it would seem desirable to classify it as a thing apart from either substance or procedure. In truth it is an obvious distinct concept having little in common with either the substantive or adjective law.  Substantive </w:t>
      </w:r>
      <w:r w:rsidRPr="00885192">
        <w:rPr>
          <w:rFonts w:ascii="Times New Roman" w:hAnsi="Times New Roman" w:cs="Times New Roman"/>
          <w:sz w:val="24"/>
          <w:szCs w:val="24"/>
        </w:rPr>
        <w:lastRenderedPageBreak/>
        <w:t>law deals with the rights, powers, privileges and immunities which persons may legally enjoy and their so-called "correlatives.</w:t>
      </w:r>
      <w:r w:rsidRPr="00885192">
        <w:rPr>
          <w:rStyle w:val="FootnoteReference"/>
          <w:rFonts w:ascii="Times New Roman" w:hAnsi="Times New Roman" w:cs="Times New Roman"/>
          <w:sz w:val="24"/>
          <w:szCs w:val="24"/>
        </w:rPr>
        <w:footnoteReference w:id="4"/>
      </w:r>
      <w:r w:rsidRPr="00885192">
        <w:rPr>
          <w:rFonts w:ascii="Times New Roman" w:hAnsi="Times New Roman" w:cs="Times New Roman"/>
          <w:sz w:val="24"/>
          <w:szCs w:val="24"/>
        </w:rPr>
        <w:t xml:space="preserve">" </w:t>
      </w:r>
    </w:p>
    <w:p w14:paraId="170ADFE7" w14:textId="77B13A62" w:rsidR="00885192" w:rsidRPr="00885192" w:rsidRDefault="00885192" w:rsidP="00647C32">
      <w:p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 xml:space="preserve">Adjective laws </w:t>
      </w:r>
      <w:r w:rsidR="00647C32" w:rsidRPr="00885192">
        <w:rPr>
          <w:rFonts w:ascii="Times New Roman" w:hAnsi="Times New Roman" w:cs="Times New Roman"/>
          <w:sz w:val="24"/>
          <w:szCs w:val="24"/>
        </w:rPr>
        <w:t>deal</w:t>
      </w:r>
      <w:r w:rsidRPr="00885192">
        <w:rPr>
          <w:rFonts w:ascii="Times New Roman" w:hAnsi="Times New Roman" w:cs="Times New Roman"/>
          <w:sz w:val="24"/>
          <w:szCs w:val="24"/>
        </w:rPr>
        <w:t xml:space="preserve"> with the rules governing the conduct of a judicial proceeding brought for the purpose of securing judicial recognition of some part of the substantive law as between adverse or possibly adverse parties. The law of the jurisdiction of courts deals with the power or capacity of a court to deal judicially with the proceeding which has been or may be brought before it.  Its foundation and its function are quite separate and distinct from either the law of substance or the law of procedure.</w:t>
      </w:r>
    </w:p>
    <w:p w14:paraId="173C60FC" w14:textId="43A93514" w:rsidR="00885192" w:rsidRPr="00885192" w:rsidRDefault="00885192" w:rsidP="00647C32">
      <w:p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 xml:space="preserve">In dealing with judicial jurisdiction some confusion arises out of the fact that a large portion of the specifically applied law of jurisdiction is stated in terms of the substantive law and procedural law. A question of jurisdiction may be raised while an- action is pending, or it may be raised after the action has been disposed of and a judgment has been rendered. </w:t>
      </w:r>
      <w:r w:rsidR="00647C32" w:rsidRPr="00885192">
        <w:rPr>
          <w:rFonts w:ascii="Times New Roman" w:hAnsi="Times New Roman" w:cs="Times New Roman"/>
          <w:sz w:val="24"/>
          <w:szCs w:val="24"/>
        </w:rPr>
        <w:t>Thus,</w:t>
      </w:r>
      <w:r w:rsidRPr="00885192">
        <w:rPr>
          <w:rFonts w:ascii="Times New Roman" w:hAnsi="Times New Roman" w:cs="Times New Roman"/>
          <w:sz w:val="24"/>
          <w:szCs w:val="24"/>
        </w:rPr>
        <w:t xml:space="preserve"> the law-of jurisdiction may be found in the law of "direct attack," and in the law of "collateral attack," in the law of res judicata, of estoppel of record and in the law of domestic and foreign judgments generally.</w:t>
      </w:r>
    </w:p>
    <w:p w14:paraId="026162A4" w14:textId="3C384ED4" w:rsidR="00885192" w:rsidRPr="00885192" w:rsidRDefault="00885192" w:rsidP="00647C32">
      <w:pPr>
        <w:spacing w:line="240" w:lineRule="auto"/>
        <w:jc w:val="both"/>
        <w:rPr>
          <w:rFonts w:ascii="Times New Roman" w:hAnsi="Times New Roman" w:cs="Times New Roman"/>
          <w:i/>
          <w:sz w:val="24"/>
          <w:szCs w:val="24"/>
        </w:rPr>
      </w:pPr>
      <w:r w:rsidRPr="00885192">
        <w:rPr>
          <w:rFonts w:ascii="Times New Roman" w:hAnsi="Times New Roman" w:cs="Times New Roman"/>
          <w:sz w:val="24"/>
          <w:szCs w:val="24"/>
        </w:rPr>
        <w:t xml:space="preserve">Jurisdiction is also divided into jurisdiction of </w:t>
      </w:r>
      <w:r w:rsidRPr="00885192">
        <w:rPr>
          <w:rFonts w:ascii="Times New Roman" w:hAnsi="Times New Roman" w:cs="Times New Roman"/>
          <w:i/>
          <w:sz w:val="24"/>
          <w:szCs w:val="24"/>
        </w:rPr>
        <w:t>actions in rem</w:t>
      </w:r>
      <w:r w:rsidRPr="00885192">
        <w:rPr>
          <w:rFonts w:ascii="Times New Roman" w:hAnsi="Times New Roman" w:cs="Times New Roman"/>
          <w:sz w:val="24"/>
          <w:szCs w:val="24"/>
        </w:rPr>
        <w:t xml:space="preserve"> and jurisdiction of </w:t>
      </w:r>
      <w:r w:rsidRPr="00885192">
        <w:rPr>
          <w:rFonts w:ascii="Times New Roman" w:hAnsi="Times New Roman" w:cs="Times New Roman"/>
          <w:i/>
          <w:sz w:val="24"/>
          <w:szCs w:val="24"/>
        </w:rPr>
        <w:t>actions in personam</w:t>
      </w:r>
      <w:r w:rsidRPr="00885192">
        <w:rPr>
          <w:rFonts w:ascii="Times New Roman" w:hAnsi="Times New Roman" w:cs="Times New Roman"/>
          <w:sz w:val="24"/>
          <w:szCs w:val="24"/>
        </w:rPr>
        <w:t xml:space="preserve">. The classification is a significant one, for the character of the process or notice necessary in a given case depends upon it. The distinction between the two is usually stated in terms of the results, that is, what is the theoretical character of the judgment the court will render? If the judgment is self-executing it is said to be an </w:t>
      </w:r>
      <w:r w:rsidRPr="00885192">
        <w:rPr>
          <w:rFonts w:ascii="Times New Roman" w:hAnsi="Times New Roman" w:cs="Times New Roman"/>
          <w:i/>
          <w:sz w:val="24"/>
          <w:szCs w:val="24"/>
        </w:rPr>
        <w:t>action in rem</w:t>
      </w:r>
      <w:r w:rsidRPr="00885192">
        <w:rPr>
          <w:rFonts w:ascii="Times New Roman" w:hAnsi="Times New Roman" w:cs="Times New Roman"/>
          <w:sz w:val="24"/>
          <w:szCs w:val="24"/>
        </w:rPr>
        <w:t xml:space="preserve">, if it is </w:t>
      </w:r>
      <w:r w:rsidR="00647C32" w:rsidRPr="00885192">
        <w:rPr>
          <w:rFonts w:ascii="Times New Roman" w:hAnsi="Times New Roman" w:cs="Times New Roman"/>
          <w:sz w:val="24"/>
          <w:szCs w:val="24"/>
        </w:rPr>
        <w:t>not,</w:t>
      </w:r>
      <w:r w:rsidRPr="00885192">
        <w:rPr>
          <w:rFonts w:ascii="Times New Roman" w:hAnsi="Times New Roman" w:cs="Times New Roman"/>
          <w:sz w:val="24"/>
          <w:szCs w:val="24"/>
        </w:rPr>
        <w:t xml:space="preserve"> it is an </w:t>
      </w:r>
      <w:r w:rsidRPr="00885192">
        <w:rPr>
          <w:rFonts w:ascii="Times New Roman" w:hAnsi="Times New Roman" w:cs="Times New Roman"/>
          <w:i/>
          <w:sz w:val="24"/>
          <w:szCs w:val="24"/>
        </w:rPr>
        <w:t>action in personam.</w:t>
      </w:r>
    </w:p>
    <w:p w14:paraId="6D11DECE" w14:textId="77777777" w:rsidR="00885192" w:rsidRPr="00885192" w:rsidRDefault="00885192" w:rsidP="00647C32">
      <w:p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It is possible to mark the distinction between jurisdiction and venue in a few words. As we have seen specific jurisdiction is the capacity or power to deal with the case presented by the parties. Venue is a restraint on that capacity or power for the benefit of the defendant. The theory is that the court has jurisdiction but as against certain defendants it ought not to use its power. Courts normally, for example, have jurisdiction throughout the country or counties, but a statute may prescribe that certain actions shall be brought in certain courts. It is often said that the law of venue is the law as to where actions "ought to be brought;" but that same statement applies equally to the law of jurisdiction. Actions in truth ought to be brought in conformity to both the law of jurisdiction and the law of venue.</w:t>
      </w:r>
    </w:p>
    <w:p w14:paraId="619D6BA3" w14:textId="1D1C962F" w:rsidR="00885192" w:rsidRDefault="00885192" w:rsidP="00647C32">
      <w:p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 xml:space="preserve">What then about international law? The term jurisdiction in international law refers to two aspects of the authoritative </w:t>
      </w:r>
      <w:r w:rsidR="00647C32" w:rsidRPr="00885192">
        <w:rPr>
          <w:rFonts w:ascii="Times New Roman" w:hAnsi="Times New Roman" w:cs="Times New Roman"/>
          <w:sz w:val="24"/>
          <w:szCs w:val="24"/>
        </w:rPr>
        <w:t>decision-making</w:t>
      </w:r>
      <w:r w:rsidRPr="00885192">
        <w:rPr>
          <w:rFonts w:ascii="Times New Roman" w:hAnsi="Times New Roman" w:cs="Times New Roman"/>
          <w:sz w:val="24"/>
          <w:szCs w:val="24"/>
        </w:rPr>
        <w:t xml:space="preserve"> process; the first is rule-making and the second is rule-enforcing</w:t>
      </w:r>
      <w:r w:rsidRPr="00885192">
        <w:rPr>
          <w:rStyle w:val="FootnoteReference"/>
          <w:rFonts w:ascii="Times New Roman" w:hAnsi="Times New Roman" w:cs="Times New Roman"/>
          <w:sz w:val="24"/>
          <w:szCs w:val="24"/>
        </w:rPr>
        <w:footnoteReference w:id="5"/>
      </w:r>
      <w:r w:rsidRPr="00885192">
        <w:rPr>
          <w:rFonts w:ascii="Times New Roman" w:hAnsi="Times New Roman" w:cs="Times New Roman"/>
          <w:sz w:val="24"/>
          <w:szCs w:val="24"/>
        </w:rPr>
        <w:t xml:space="preserve">. Does a court like the International Criminal Court have jurisdiction all over the world? First the statute creating it gives it </w:t>
      </w:r>
      <w:r w:rsidR="00647C32" w:rsidRPr="00885192">
        <w:rPr>
          <w:rFonts w:ascii="Times New Roman" w:hAnsi="Times New Roman" w:cs="Times New Roman"/>
          <w:sz w:val="24"/>
          <w:szCs w:val="24"/>
        </w:rPr>
        <w:t>jurisdiction,</w:t>
      </w:r>
      <w:r w:rsidRPr="00885192">
        <w:rPr>
          <w:rFonts w:ascii="Times New Roman" w:hAnsi="Times New Roman" w:cs="Times New Roman"/>
          <w:sz w:val="24"/>
          <w:szCs w:val="24"/>
        </w:rPr>
        <w:t xml:space="preserve"> membership of the states affirming it qualify it further and then the nature/threshold of the crime further defines it. </w:t>
      </w:r>
    </w:p>
    <w:p w14:paraId="25D408B0" w14:textId="77777777" w:rsidR="00647C32" w:rsidRDefault="00647C32" w:rsidP="00647C32">
      <w:pPr>
        <w:spacing w:line="240" w:lineRule="auto"/>
        <w:jc w:val="both"/>
        <w:rPr>
          <w:rFonts w:ascii="Times New Roman" w:hAnsi="Times New Roman" w:cs="Times New Roman"/>
          <w:sz w:val="24"/>
          <w:szCs w:val="24"/>
        </w:rPr>
      </w:pPr>
    </w:p>
    <w:p w14:paraId="7F204E06" w14:textId="77777777" w:rsidR="00647C32" w:rsidRDefault="00647C32" w:rsidP="00647C32">
      <w:pPr>
        <w:spacing w:line="240" w:lineRule="auto"/>
        <w:jc w:val="both"/>
        <w:rPr>
          <w:rFonts w:ascii="Times New Roman" w:hAnsi="Times New Roman" w:cs="Times New Roman"/>
          <w:sz w:val="24"/>
          <w:szCs w:val="24"/>
        </w:rPr>
      </w:pPr>
    </w:p>
    <w:p w14:paraId="5A50B802" w14:textId="77777777" w:rsidR="00647C32" w:rsidRPr="00885192" w:rsidRDefault="00647C32" w:rsidP="00647C32">
      <w:pPr>
        <w:spacing w:line="240" w:lineRule="auto"/>
        <w:jc w:val="both"/>
        <w:rPr>
          <w:rFonts w:ascii="Times New Roman" w:hAnsi="Times New Roman" w:cs="Times New Roman"/>
          <w:sz w:val="24"/>
          <w:szCs w:val="24"/>
        </w:rPr>
      </w:pPr>
    </w:p>
    <w:p w14:paraId="39AA2A76" w14:textId="77777777" w:rsidR="00541CA1" w:rsidRPr="00885192" w:rsidRDefault="00541CA1" w:rsidP="00647C32">
      <w:pPr>
        <w:pStyle w:val="NormalWeb"/>
        <w:shd w:val="clear" w:color="auto" w:fill="FFFFFF"/>
        <w:spacing w:after="150"/>
        <w:jc w:val="both"/>
        <w:rPr>
          <w:rFonts w:eastAsiaTheme="majorEastAsia"/>
          <w:bCs/>
          <w:iCs/>
        </w:rPr>
      </w:pPr>
      <w:r w:rsidRPr="00885192">
        <w:rPr>
          <w:rFonts w:eastAsiaTheme="majorEastAsia"/>
          <w:b/>
          <w:iCs/>
        </w:rPr>
        <w:lastRenderedPageBreak/>
        <w:t>Types of jurisdictions that courts can exercise</w:t>
      </w:r>
      <w:r w:rsidRPr="00885192">
        <w:rPr>
          <w:rFonts w:eastAsiaTheme="majorEastAsia"/>
          <w:bCs/>
          <w:iCs/>
        </w:rPr>
        <w:t>:</w:t>
      </w:r>
    </w:p>
    <w:p w14:paraId="1CD8C5D0" w14:textId="4329870B" w:rsidR="00541CA1" w:rsidRPr="00885192" w:rsidRDefault="00541CA1" w:rsidP="00647C32">
      <w:pPr>
        <w:pStyle w:val="NormalWeb"/>
        <w:shd w:val="clear" w:color="auto" w:fill="FFFFFF"/>
        <w:spacing w:after="150"/>
        <w:jc w:val="both"/>
        <w:rPr>
          <w:rFonts w:eastAsiaTheme="majorEastAsia"/>
          <w:bCs/>
          <w:iCs/>
        </w:rPr>
      </w:pPr>
      <w:r w:rsidRPr="00885192">
        <w:rPr>
          <w:rFonts w:eastAsiaTheme="majorEastAsia"/>
          <w:bCs/>
          <w:iCs/>
        </w:rPr>
        <w:t>Courts can exercise the following jurisdiction for matters brought before it and the same is provided for under the enabling statute that creates the said court or the jurisdiction can also be as provided for in the constitution:</w:t>
      </w:r>
    </w:p>
    <w:p w14:paraId="7E68364B" w14:textId="77777777" w:rsidR="00541CA1" w:rsidRPr="00885192" w:rsidRDefault="00541CA1" w:rsidP="00647C32">
      <w:pPr>
        <w:pStyle w:val="NormalWeb"/>
        <w:numPr>
          <w:ilvl w:val="0"/>
          <w:numId w:val="2"/>
        </w:numPr>
        <w:spacing w:after="150"/>
        <w:jc w:val="both"/>
        <w:rPr>
          <w:rFonts w:eastAsiaTheme="majorEastAsia"/>
          <w:b/>
          <w:bCs/>
          <w:iCs/>
        </w:rPr>
      </w:pPr>
      <w:r w:rsidRPr="00885192">
        <w:rPr>
          <w:rFonts w:eastAsiaTheme="majorEastAsia"/>
          <w:b/>
          <w:bCs/>
          <w:iCs/>
        </w:rPr>
        <w:t>Pecuniary Jurisdiction:</w:t>
      </w:r>
    </w:p>
    <w:p w14:paraId="7EF7D84C" w14:textId="77777777" w:rsidR="00541CA1" w:rsidRPr="00885192" w:rsidRDefault="00541CA1" w:rsidP="00647C32">
      <w:pPr>
        <w:pStyle w:val="NormalWeb"/>
        <w:shd w:val="clear" w:color="auto" w:fill="FFFFFF"/>
        <w:spacing w:after="150"/>
        <w:jc w:val="both"/>
        <w:rPr>
          <w:rFonts w:eastAsiaTheme="majorEastAsia"/>
          <w:bCs/>
          <w:iCs/>
        </w:rPr>
      </w:pPr>
      <w:r w:rsidRPr="00885192">
        <w:rPr>
          <w:rFonts w:eastAsiaTheme="majorEastAsia"/>
          <w:bCs/>
          <w:iCs/>
        </w:rPr>
        <w:t xml:space="preserve">               Pecuniary jurisdiction refers to the monetary limits of the claims or disputes that a court can hear and adjudicate upon. In Kenya, different courts are allocated specific pecuniary jurisdictions based on the amount of money involved in civil claims. For example, magistrates' courts may have jurisdiction over smaller monetary claims, while the High Court may have jurisdiction over larger claims</w:t>
      </w:r>
    </w:p>
    <w:p w14:paraId="0531E1F6" w14:textId="1188F56E" w:rsidR="00541CA1" w:rsidRPr="00885192" w:rsidRDefault="00541CA1" w:rsidP="00647C32">
      <w:pPr>
        <w:pStyle w:val="NormalWeb"/>
        <w:numPr>
          <w:ilvl w:val="0"/>
          <w:numId w:val="2"/>
        </w:numPr>
        <w:spacing w:after="150"/>
        <w:jc w:val="both"/>
        <w:rPr>
          <w:rFonts w:eastAsiaTheme="majorEastAsia"/>
          <w:bCs/>
          <w:iCs/>
        </w:rPr>
      </w:pPr>
      <w:r w:rsidRPr="00885192">
        <w:rPr>
          <w:rFonts w:eastAsiaTheme="majorEastAsia"/>
          <w:b/>
          <w:bCs/>
          <w:iCs/>
        </w:rPr>
        <w:t>Territorial Jurisdiction:</w:t>
      </w:r>
    </w:p>
    <w:p w14:paraId="1C037E18" w14:textId="0A6A8859" w:rsidR="00541CA1" w:rsidRPr="00885192" w:rsidRDefault="00541CA1" w:rsidP="00647C32">
      <w:pPr>
        <w:pStyle w:val="NormalWeb"/>
        <w:spacing w:after="150"/>
        <w:jc w:val="both"/>
        <w:rPr>
          <w:rFonts w:eastAsiaTheme="majorEastAsia"/>
          <w:bCs/>
          <w:iCs/>
        </w:rPr>
      </w:pPr>
      <w:r w:rsidRPr="00885192">
        <w:rPr>
          <w:rFonts w:eastAsiaTheme="majorEastAsia"/>
          <w:bCs/>
          <w:iCs/>
        </w:rPr>
        <w:t xml:space="preserve">     Territorial jurisdiction defines the geographical area within which a court has the authority to hear and determine cases. Courts in Kenya are typically assigned territorial jurisdictions based on administrative boundaries, such as counties or regions. For example, a magistrate's court may have jurisdiction over matters within a particular district or division.</w:t>
      </w:r>
    </w:p>
    <w:p w14:paraId="4D09212E" w14:textId="671C55CA" w:rsidR="00541CA1" w:rsidRPr="00885192" w:rsidRDefault="00541CA1" w:rsidP="00647C32">
      <w:pPr>
        <w:pStyle w:val="NormalWeb"/>
        <w:numPr>
          <w:ilvl w:val="0"/>
          <w:numId w:val="2"/>
        </w:numPr>
        <w:spacing w:after="150"/>
        <w:jc w:val="both"/>
        <w:rPr>
          <w:rFonts w:eastAsiaTheme="majorEastAsia"/>
          <w:bCs/>
          <w:iCs/>
        </w:rPr>
      </w:pPr>
      <w:r w:rsidRPr="00885192">
        <w:rPr>
          <w:rFonts w:eastAsiaTheme="majorEastAsia"/>
          <w:b/>
          <w:bCs/>
          <w:iCs/>
        </w:rPr>
        <w:t>Subject Matter Jurisdiction:</w:t>
      </w:r>
    </w:p>
    <w:p w14:paraId="52849ADD" w14:textId="2B2E799A" w:rsidR="00541CA1" w:rsidRPr="00885192" w:rsidRDefault="00541CA1" w:rsidP="00647C32">
      <w:pPr>
        <w:pStyle w:val="NormalWeb"/>
        <w:spacing w:after="150"/>
        <w:jc w:val="both"/>
        <w:rPr>
          <w:rStyle w:val="Emphasis"/>
          <w:rFonts w:eastAsiaTheme="majorEastAsia"/>
          <w:bCs/>
          <w:i w:val="0"/>
        </w:rPr>
      </w:pPr>
      <w:r w:rsidRPr="00885192">
        <w:rPr>
          <w:rFonts w:eastAsiaTheme="majorEastAsia"/>
          <w:bCs/>
          <w:iCs/>
        </w:rPr>
        <w:t>Subject matter jurisdiction refers to the authority of a court to hear cases of a particular type or category. Different courts in Kenya have jurisdiction over specific subject matters, such as family law, commercial disputes, criminal matters, or constitutional issues. Specialized courts, such as the Environment and Land Court or the Employment and Labour Relations Court, have subject matter jurisdiction over specific types of cases.</w:t>
      </w:r>
    </w:p>
    <w:p w14:paraId="6F5CE738" w14:textId="77777777" w:rsidR="00280766" w:rsidRPr="00885192" w:rsidRDefault="00280766" w:rsidP="00647C32">
      <w:pPr>
        <w:pStyle w:val="NormalWeb"/>
        <w:shd w:val="clear" w:color="auto" w:fill="FFFFFF"/>
        <w:spacing w:before="0" w:beforeAutospacing="0" w:after="150" w:afterAutospacing="0"/>
        <w:jc w:val="both"/>
        <w:rPr>
          <w:rStyle w:val="Emphasis"/>
          <w:rFonts w:eastAsiaTheme="majorEastAsia"/>
          <w:b/>
          <w:bCs/>
          <w:i w:val="0"/>
          <w:u w:val="single"/>
        </w:rPr>
      </w:pPr>
      <w:r w:rsidRPr="00885192">
        <w:rPr>
          <w:rStyle w:val="Emphasis"/>
          <w:rFonts w:eastAsiaTheme="majorEastAsia"/>
          <w:b/>
          <w:bCs/>
          <w:i w:val="0"/>
          <w:u w:val="single"/>
        </w:rPr>
        <w:t xml:space="preserve">Conferment of Jurisdiction </w:t>
      </w:r>
    </w:p>
    <w:p w14:paraId="00883C40" w14:textId="04F7A72A" w:rsidR="00D639D1" w:rsidRPr="00885192" w:rsidRDefault="00D639D1" w:rsidP="00647C32">
      <w:pPr>
        <w:spacing w:line="240" w:lineRule="auto"/>
        <w:jc w:val="both"/>
        <w:rPr>
          <w:rFonts w:ascii="Times New Roman" w:hAnsi="Times New Roman" w:cs="Times New Roman"/>
          <w:sz w:val="24"/>
          <w:szCs w:val="24"/>
        </w:rPr>
      </w:pPr>
      <w:r w:rsidRPr="00885192">
        <w:rPr>
          <w:rFonts w:ascii="Times New Roman" w:hAnsi="Times New Roman" w:cs="Times New Roman"/>
          <w:color w:val="0D0D0D"/>
          <w:sz w:val="24"/>
          <w:szCs w:val="24"/>
          <w:shd w:val="clear" w:color="auto" w:fill="FFFFFF"/>
        </w:rPr>
        <w:t xml:space="preserve">Conferment of jurisdiction refers to the allocation of authority or power </w:t>
      </w:r>
      <w:r w:rsidR="00280766" w:rsidRPr="00885192">
        <w:rPr>
          <w:rFonts w:ascii="Times New Roman" w:hAnsi="Times New Roman" w:cs="Times New Roman"/>
          <w:color w:val="0D0D0D"/>
          <w:sz w:val="24"/>
          <w:szCs w:val="24"/>
          <w:shd w:val="clear" w:color="auto" w:fill="FFFFFF"/>
        </w:rPr>
        <w:t>to courts</w:t>
      </w:r>
      <w:r w:rsidRPr="00885192">
        <w:rPr>
          <w:rFonts w:ascii="Times New Roman" w:hAnsi="Times New Roman" w:cs="Times New Roman"/>
          <w:color w:val="0D0D0D"/>
          <w:sz w:val="24"/>
          <w:szCs w:val="24"/>
          <w:shd w:val="clear" w:color="auto" w:fill="FFFFFF"/>
        </w:rPr>
        <w:t xml:space="preserve"> or judicial bodies to arbitrate on specific matters. This allocation of jurisdiction is a critical aspect of the constitutional framework as it ensures the proper functioning of the judicial system and the protection of rights and liberties of individuals. </w:t>
      </w:r>
    </w:p>
    <w:p w14:paraId="34B638CB" w14:textId="66CF6A09" w:rsidR="00405D4A" w:rsidRPr="00885192" w:rsidRDefault="00405D4A" w:rsidP="00647C32">
      <w:p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Under the constitution of Kenya 2010, the issue of conferment of jurisdiction from a constitution imperative has been well laid out in the architecture and design of the constitution. In this regard, for one to appreciate this, the starting point would be article 1 of the constitution that recognizes that the people are sovereign and they wield the power. Article 1(1) provides as follows; All sovereign power belongs to the people of Kenya and shall be exercised only in accordance with this Constitution</w:t>
      </w:r>
      <w:r w:rsidRPr="00885192">
        <w:rPr>
          <w:rStyle w:val="FootnoteReference"/>
          <w:rFonts w:ascii="Times New Roman" w:hAnsi="Times New Roman" w:cs="Times New Roman"/>
          <w:sz w:val="24"/>
          <w:szCs w:val="24"/>
        </w:rPr>
        <w:footnoteReference w:id="6"/>
      </w:r>
      <w:r w:rsidRPr="00885192">
        <w:rPr>
          <w:rFonts w:ascii="Times New Roman" w:hAnsi="Times New Roman" w:cs="Times New Roman"/>
          <w:sz w:val="24"/>
          <w:szCs w:val="24"/>
        </w:rPr>
        <w:t>. Article 3 on the delegation of sovereign power states as follows;</w:t>
      </w:r>
    </w:p>
    <w:p w14:paraId="7EECD68B" w14:textId="4DE86E87" w:rsidR="00405D4A" w:rsidRPr="00885192" w:rsidRDefault="00405D4A" w:rsidP="00647C32">
      <w:p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Sovereign power under this Constitution is delegated to the following State organs, which shall perform their functions in accordance with this Constitution-</w:t>
      </w:r>
    </w:p>
    <w:p w14:paraId="6A00642A" w14:textId="42D43109" w:rsidR="00405D4A" w:rsidRPr="00885192" w:rsidRDefault="00405D4A" w:rsidP="00647C32">
      <w:p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lastRenderedPageBreak/>
        <w:t>a) ….</w:t>
      </w:r>
    </w:p>
    <w:p w14:paraId="1C97FC8E" w14:textId="1D46B29D" w:rsidR="00405D4A" w:rsidRPr="00885192" w:rsidRDefault="00405D4A" w:rsidP="00647C32">
      <w:p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b)</w:t>
      </w:r>
      <w:r w:rsidR="00280766" w:rsidRPr="00885192">
        <w:rPr>
          <w:rFonts w:ascii="Times New Roman" w:hAnsi="Times New Roman" w:cs="Times New Roman"/>
          <w:sz w:val="24"/>
          <w:szCs w:val="24"/>
        </w:rPr>
        <w:t xml:space="preserve"> </w:t>
      </w:r>
      <w:r w:rsidRPr="00885192">
        <w:rPr>
          <w:rFonts w:ascii="Times New Roman" w:hAnsi="Times New Roman" w:cs="Times New Roman"/>
          <w:sz w:val="24"/>
          <w:szCs w:val="24"/>
        </w:rPr>
        <w:t>….</w:t>
      </w:r>
    </w:p>
    <w:p w14:paraId="1E588377" w14:textId="592DB803" w:rsidR="00405D4A" w:rsidRPr="00885192" w:rsidRDefault="00405D4A" w:rsidP="00647C32">
      <w:p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c) the Judiciary and independent tribunals</w:t>
      </w:r>
      <w:r w:rsidRPr="00885192">
        <w:rPr>
          <w:rStyle w:val="FootnoteReference"/>
          <w:rFonts w:ascii="Times New Roman" w:hAnsi="Times New Roman" w:cs="Times New Roman"/>
          <w:sz w:val="24"/>
          <w:szCs w:val="24"/>
        </w:rPr>
        <w:footnoteReference w:id="7"/>
      </w:r>
    </w:p>
    <w:p w14:paraId="3ED8A855" w14:textId="07397073" w:rsidR="00405D4A" w:rsidRPr="00885192" w:rsidRDefault="00405D4A" w:rsidP="00647C32">
      <w:p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It is from the above foundation that the judicial authority and the legal system in Kenya has been established. Article 159 (1) of the Constitution provides as follows;</w:t>
      </w:r>
    </w:p>
    <w:p w14:paraId="062E3704" w14:textId="30FBE329" w:rsidR="00BE4A79" w:rsidRPr="00885192" w:rsidRDefault="002F228C" w:rsidP="00647C32">
      <w:p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1) Judicial authority is derived from the people and vests in, and shall be exercised by, the courts and tribunals established by or under this Constitution. Flowing from the establishment of the judiciary in the constitution, its independence has also been provided for in the following terms in article 160(1); In the exercise of judicial authority, the Judiciary, as constituted by Article 161, shall be subject only to this Constitution and the law and shall not be subject to the control or direction of any person or authority</w:t>
      </w:r>
      <w:r w:rsidRPr="00885192">
        <w:rPr>
          <w:rStyle w:val="FootnoteReference"/>
          <w:rFonts w:ascii="Times New Roman" w:hAnsi="Times New Roman" w:cs="Times New Roman"/>
          <w:sz w:val="24"/>
          <w:szCs w:val="24"/>
        </w:rPr>
        <w:footnoteReference w:id="8"/>
      </w:r>
    </w:p>
    <w:p w14:paraId="3699B1B3" w14:textId="77777777" w:rsidR="00885192" w:rsidRPr="00885192" w:rsidRDefault="00BE4A79" w:rsidP="00647C32">
      <w:p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 xml:space="preserve">Under the constitution of Kenya 2010, various </w:t>
      </w:r>
      <w:r w:rsidR="00280766" w:rsidRPr="00885192">
        <w:rPr>
          <w:rFonts w:ascii="Times New Roman" w:hAnsi="Times New Roman" w:cs="Times New Roman"/>
          <w:sz w:val="24"/>
          <w:szCs w:val="24"/>
        </w:rPr>
        <w:t>A</w:t>
      </w:r>
      <w:r w:rsidRPr="00885192">
        <w:rPr>
          <w:rFonts w:ascii="Times New Roman" w:hAnsi="Times New Roman" w:cs="Times New Roman"/>
          <w:sz w:val="24"/>
          <w:szCs w:val="24"/>
        </w:rPr>
        <w:t>rticle</w:t>
      </w:r>
      <w:r w:rsidR="00280766" w:rsidRPr="00885192">
        <w:rPr>
          <w:rFonts w:ascii="Times New Roman" w:hAnsi="Times New Roman" w:cs="Times New Roman"/>
          <w:sz w:val="24"/>
          <w:szCs w:val="24"/>
        </w:rPr>
        <w:t>s</w:t>
      </w:r>
      <w:r w:rsidRPr="00885192">
        <w:rPr>
          <w:rFonts w:ascii="Times New Roman" w:hAnsi="Times New Roman" w:cs="Times New Roman"/>
          <w:sz w:val="24"/>
          <w:szCs w:val="24"/>
        </w:rPr>
        <w:t xml:space="preserve"> of the constitution have conferred jurisdiction to the hierarchy of the courts system and subject matter issues. In this regard the starting point would be article 23 on Authority of courts to uphold and enforce the Bill of Rights.</w:t>
      </w:r>
      <w:r w:rsidR="00280766" w:rsidRPr="00885192">
        <w:rPr>
          <w:rFonts w:ascii="Times New Roman" w:hAnsi="Times New Roman" w:cs="Times New Roman"/>
          <w:sz w:val="24"/>
          <w:szCs w:val="24"/>
        </w:rPr>
        <w:t xml:space="preserve"> </w:t>
      </w:r>
      <w:r w:rsidRPr="00885192">
        <w:rPr>
          <w:rFonts w:ascii="Times New Roman" w:hAnsi="Times New Roman" w:cs="Times New Roman"/>
          <w:sz w:val="24"/>
          <w:szCs w:val="24"/>
        </w:rPr>
        <w:t>The article provides</w:t>
      </w:r>
      <w:r w:rsidR="00280766" w:rsidRPr="00885192">
        <w:rPr>
          <w:rFonts w:ascii="Times New Roman" w:hAnsi="Times New Roman" w:cs="Times New Roman"/>
          <w:sz w:val="24"/>
          <w:szCs w:val="24"/>
        </w:rPr>
        <w:t>;</w:t>
      </w:r>
      <w:r w:rsidRPr="00885192">
        <w:rPr>
          <w:rFonts w:ascii="Times New Roman" w:hAnsi="Times New Roman" w:cs="Times New Roman"/>
          <w:sz w:val="24"/>
          <w:szCs w:val="24"/>
        </w:rPr>
        <w:t xml:space="preserve"> </w:t>
      </w:r>
    </w:p>
    <w:p w14:paraId="51771834" w14:textId="592D36BC" w:rsidR="00BE4A79" w:rsidRPr="00885192" w:rsidRDefault="00BE4A79" w:rsidP="00647C32">
      <w:p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(1) The High Court has jurisdiction, in accordance with Article 165, to hear and determine applications for redress of a denial, violation or infringement of, or threat to, a right or fundamental freedom in the Bill of Rights.</w:t>
      </w:r>
    </w:p>
    <w:p w14:paraId="2D6DAA31" w14:textId="1EF286E1" w:rsidR="00013D65" w:rsidRPr="00885192" w:rsidRDefault="00BE4A79" w:rsidP="00647C32">
      <w:p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(2) Parliament shall enact legislation to give original jurisdiction in appropriate cases to subordinate courts to hear and determine applications for redress of a denial, violation or infringement of, or threat to, a right or fundamental freedom in the Bill of Rights</w:t>
      </w:r>
      <w:r w:rsidRPr="00885192">
        <w:rPr>
          <w:rStyle w:val="FootnoteReference"/>
          <w:rFonts w:ascii="Times New Roman" w:hAnsi="Times New Roman" w:cs="Times New Roman"/>
          <w:sz w:val="24"/>
          <w:szCs w:val="24"/>
        </w:rPr>
        <w:footnoteReference w:id="9"/>
      </w:r>
      <w:r w:rsidRPr="00885192">
        <w:rPr>
          <w:rFonts w:ascii="Times New Roman" w:hAnsi="Times New Roman" w:cs="Times New Roman"/>
          <w:sz w:val="24"/>
          <w:szCs w:val="24"/>
        </w:rPr>
        <w:t>.</w:t>
      </w:r>
    </w:p>
    <w:p w14:paraId="06544C16" w14:textId="27F146B7" w:rsidR="00BE4A79" w:rsidRPr="00885192" w:rsidRDefault="00BE4A79" w:rsidP="00647C32">
      <w:p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The constitution has also established the system of courts in Kenya and provided for their respective jurisdiction in the following articles:</w:t>
      </w:r>
    </w:p>
    <w:p w14:paraId="27260307" w14:textId="6EA78C89" w:rsidR="00BE4A79" w:rsidRPr="00885192" w:rsidRDefault="006D5BB2" w:rsidP="00647C32">
      <w:pPr>
        <w:pStyle w:val="ListParagraph"/>
        <w:numPr>
          <w:ilvl w:val="0"/>
          <w:numId w:val="5"/>
        </w:numPr>
        <w:spacing w:line="240" w:lineRule="auto"/>
        <w:jc w:val="both"/>
        <w:rPr>
          <w:rFonts w:ascii="Times New Roman" w:hAnsi="Times New Roman" w:cs="Times New Roman"/>
          <w:b/>
          <w:bCs/>
          <w:sz w:val="24"/>
          <w:szCs w:val="24"/>
        </w:rPr>
      </w:pPr>
      <w:r w:rsidRPr="00885192">
        <w:rPr>
          <w:rFonts w:ascii="Times New Roman" w:hAnsi="Times New Roman" w:cs="Times New Roman"/>
          <w:b/>
          <w:bCs/>
          <w:sz w:val="24"/>
          <w:szCs w:val="24"/>
        </w:rPr>
        <w:t>The supreme court</w:t>
      </w:r>
    </w:p>
    <w:p w14:paraId="435ECBCF" w14:textId="77777777" w:rsidR="00865A66" w:rsidRPr="00885192" w:rsidRDefault="00865A66" w:rsidP="00647C32">
      <w:pPr>
        <w:pStyle w:val="ListParagraph"/>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 xml:space="preserve">The court is established under article 163 and the Supreme Court Act (No. 7 of 2011). The Court is headed by Chief Justice, who is the president of the court and </w:t>
      </w:r>
      <w:r w:rsidRPr="00885192">
        <w:rPr>
          <w:rFonts w:ascii="Times New Roman" w:hAnsi="Times New Roman" w:cs="Times New Roman"/>
          <w:sz w:val="24"/>
          <w:szCs w:val="24"/>
        </w:rPr>
        <w:t>deputized</w:t>
      </w:r>
      <w:r w:rsidRPr="00885192">
        <w:rPr>
          <w:rFonts w:ascii="Times New Roman" w:hAnsi="Times New Roman" w:cs="Times New Roman"/>
          <w:sz w:val="24"/>
          <w:szCs w:val="24"/>
        </w:rPr>
        <w:t xml:space="preserve"> by the Deputy Chief Justice. The number of Judges of the Supreme Court is 7. </w:t>
      </w:r>
    </w:p>
    <w:p w14:paraId="539B54D9" w14:textId="77777777" w:rsidR="00865A66" w:rsidRPr="00885192" w:rsidRDefault="00865A66" w:rsidP="00647C32">
      <w:pPr>
        <w:pStyle w:val="ListParagraph"/>
        <w:spacing w:line="240" w:lineRule="auto"/>
        <w:jc w:val="both"/>
        <w:rPr>
          <w:rFonts w:ascii="Times New Roman" w:hAnsi="Times New Roman" w:cs="Times New Roman"/>
          <w:sz w:val="24"/>
          <w:szCs w:val="24"/>
        </w:rPr>
      </w:pPr>
    </w:p>
    <w:p w14:paraId="344115A6" w14:textId="77777777" w:rsidR="00865A66" w:rsidRPr="00885192" w:rsidRDefault="00865A66" w:rsidP="00647C32">
      <w:pPr>
        <w:pStyle w:val="ListParagraph"/>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 xml:space="preserve">The Court’s jurisdiction includes: </w:t>
      </w:r>
    </w:p>
    <w:p w14:paraId="4F59937C" w14:textId="3A7BDA28" w:rsidR="00865A66" w:rsidRPr="00885192" w:rsidRDefault="00865A66" w:rsidP="00647C32">
      <w:pPr>
        <w:pStyle w:val="ListParagraph"/>
        <w:numPr>
          <w:ilvl w:val="0"/>
          <w:numId w:val="11"/>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 xml:space="preserve">Exclusive original jurisdiction to hear and determine disputes relating to the elections to the office of President; and </w:t>
      </w:r>
    </w:p>
    <w:p w14:paraId="5D3BA0BD" w14:textId="5C721A86" w:rsidR="00865A66" w:rsidRPr="00885192" w:rsidRDefault="00865A66" w:rsidP="00647C32">
      <w:pPr>
        <w:pStyle w:val="ListParagraph"/>
        <w:numPr>
          <w:ilvl w:val="0"/>
          <w:numId w:val="11"/>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 xml:space="preserve"> Appellate jurisdiction to hear and determine appeals from the Court of Appeal; and any other court or tribunal as prescribed by national legislation.</w:t>
      </w:r>
    </w:p>
    <w:p w14:paraId="28B00979" w14:textId="77777777" w:rsidR="00865A66" w:rsidRPr="00885192" w:rsidRDefault="00865A66" w:rsidP="00647C32">
      <w:pPr>
        <w:pStyle w:val="ListParagraph"/>
        <w:numPr>
          <w:ilvl w:val="0"/>
          <w:numId w:val="11"/>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 xml:space="preserve"> Appeals from the Court of Appeal lie to the Supreme Court - For cases involving the interpretation or application of the Constitution at the Court of Appeal an appeal lies as of right to the Supreme Court. In other cases where the Supreme Court or the Court of Appeal certifies that a matter of general public importance is involved, an appeal will lie to the Supreme Court. </w:t>
      </w:r>
    </w:p>
    <w:p w14:paraId="3F20118E" w14:textId="77777777" w:rsidR="00865A66" w:rsidRPr="00885192" w:rsidRDefault="00865A66" w:rsidP="00647C32">
      <w:pPr>
        <w:pStyle w:val="ListParagraph"/>
        <w:numPr>
          <w:ilvl w:val="0"/>
          <w:numId w:val="11"/>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lastRenderedPageBreak/>
        <w:t xml:space="preserve"> The Supreme Court may give an advisory opinion at the request of the national government, any State organ, or any county government with respect to any matter concerning county government. </w:t>
      </w:r>
    </w:p>
    <w:p w14:paraId="5903ACBD" w14:textId="5141BF29" w:rsidR="00865A66" w:rsidRPr="00885192" w:rsidRDefault="00865A66" w:rsidP="00647C32">
      <w:pPr>
        <w:spacing w:line="240" w:lineRule="auto"/>
        <w:ind w:left="720"/>
        <w:jc w:val="both"/>
        <w:rPr>
          <w:rFonts w:ascii="Times New Roman" w:hAnsi="Times New Roman" w:cs="Times New Roman"/>
          <w:sz w:val="24"/>
          <w:szCs w:val="24"/>
        </w:rPr>
      </w:pPr>
      <w:r w:rsidRPr="00885192">
        <w:rPr>
          <w:rFonts w:ascii="Times New Roman" w:hAnsi="Times New Roman" w:cs="Times New Roman"/>
          <w:sz w:val="24"/>
          <w:szCs w:val="24"/>
        </w:rPr>
        <w:t xml:space="preserve">In </w:t>
      </w:r>
      <w:r w:rsidRPr="00885192">
        <w:rPr>
          <w:rFonts w:ascii="Times New Roman" w:hAnsi="Times New Roman" w:cs="Times New Roman"/>
          <w:b/>
          <w:bCs/>
          <w:sz w:val="24"/>
          <w:szCs w:val="24"/>
        </w:rPr>
        <w:t>Re the Matter of Commissioner for the</w:t>
      </w:r>
      <w:r w:rsidR="00A84443" w:rsidRPr="00885192">
        <w:rPr>
          <w:rFonts w:ascii="Times New Roman" w:hAnsi="Times New Roman" w:cs="Times New Roman"/>
          <w:b/>
          <w:bCs/>
          <w:sz w:val="24"/>
          <w:szCs w:val="24"/>
        </w:rPr>
        <w:t xml:space="preserve"> </w:t>
      </w:r>
      <w:r w:rsidRPr="00885192">
        <w:rPr>
          <w:rFonts w:ascii="Times New Roman" w:hAnsi="Times New Roman" w:cs="Times New Roman"/>
          <w:b/>
          <w:bCs/>
          <w:sz w:val="24"/>
          <w:szCs w:val="24"/>
        </w:rPr>
        <w:t>Implementation of the Constitution (Application No. 1 of 2011</w:t>
      </w:r>
      <w:r w:rsidR="00647C32">
        <w:rPr>
          <w:rStyle w:val="FootnoteReference"/>
          <w:rFonts w:ascii="Times New Roman" w:hAnsi="Times New Roman" w:cs="Times New Roman"/>
          <w:b/>
          <w:bCs/>
          <w:sz w:val="24"/>
          <w:szCs w:val="24"/>
        </w:rPr>
        <w:footnoteReference w:id="10"/>
      </w:r>
      <w:r w:rsidRPr="00885192">
        <w:rPr>
          <w:rFonts w:ascii="Times New Roman" w:hAnsi="Times New Roman" w:cs="Times New Roman"/>
          <w:b/>
          <w:bCs/>
          <w:sz w:val="24"/>
          <w:szCs w:val="24"/>
        </w:rPr>
        <w:t>,</w:t>
      </w:r>
      <w:r w:rsidR="00647C32">
        <w:rPr>
          <w:rFonts w:ascii="Times New Roman" w:hAnsi="Times New Roman" w:cs="Times New Roman"/>
          <w:b/>
          <w:bCs/>
          <w:sz w:val="24"/>
          <w:szCs w:val="24"/>
        </w:rPr>
        <w:t xml:space="preserve"> </w:t>
      </w:r>
      <w:r w:rsidRPr="00885192">
        <w:rPr>
          <w:rFonts w:ascii="Times New Roman" w:hAnsi="Times New Roman" w:cs="Times New Roman"/>
          <w:sz w:val="24"/>
          <w:szCs w:val="24"/>
        </w:rPr>
        <w:t xml:space="preserve">the Supreme Court affirmed its jurisdiction to hear matters related to the date of the first elections under the 2010 Constitution but referred the case to the High Court at the first instance since it was also seized with an appellate jurisdiction were the matter to proceed beyond the High Court and Court of Appeal. All courts, other than the Supreme Court, are bound by the decisions of the Supreme Court. </w:t>
      </w:r>
    </w:p>
    <w:p w14:paraId="34416BA2" w14:textId="35E9FEF7" w:rsidR="00865A66" w:rsidRPr="00885192" w:rsidRDefault="00865A66" w:rsidP="00647C32">
      <w:pPr>
        <w:spacing w:line="240" w:lineRule="auto"/>
        <w:ind w:left="720"/>
        <w:jc w:val="both"/>
        <w:rPr>
          <w:rFonts w:ascii="Times New Roman" w:hAnsi="Times New Roman" w:cs="Times New Roman"/>
          <w:sz w:val="24"/>
          <w:szCs w:val="24"/>
        </w:rPr>
      </w:pPr>
      <w:r w:rsidRPr="00885192">
        <w:rPr>
          <w:rFonts w:ascii="Times New Roman" w:hAnsi="Times New Roman" w:cs="Times New Roman"/>
          <w:sz w:val="24"/>
          <w:szCs w:val="24"/>
        </w:rPr>
        <w:t xml:space="preserve">In </w:t>
      </w:r>
      <w:r w:rsidRPr="00885192">
        <w:rPr>
          <w:rFonts w:ascii="Times New Roman" w:hAnsi="Times New Roman" w:cs="Times New Roman"/>
          <w:b/>
          <w:bCs/>
          <w:sz w:val="24"/>
          <w:szCs w:val="24"/>
        </w:rPr>
        <w:t>Peter Oduor Ngoge v Hon. Francis Ole Kaparo and 5 Others</w:t>
      </w:r>
      <w:r w:rsidR="00647C32">
        <w:rPr>
          <w:rStyle w:val="FootnoteReference"/>
          <w:rFonts w:ascii="Times New Roman" w:hAnsi="Times New Roman" w:cs="Times New Roman"/>
          <w:b/>
          <w:bCs/>
          <w:sz w:val="24"/>
          <w:szCs w:val="24"/>
        </w:rPr>
        <w:footnoteReference w:id="11"/>
      </w:r>
      <w:r w:rsidRPr="00885192">
        <w:rPr>
          <w:rFonts w:ascii="Times New Roman" w:hAnsi="Times New Roman" w:cs="Times New Roman"/>
          <w:sz w:val="24"/>
          <w:szCs w:val="24"/>
        </w:rPr>
        <w:t>, the issue was whether the Supreme Court could entertain an application where the Court of Appeal has either not determined such motion by the petitioner for leave under s.19 of the Supreme Court Act, 2011, or, has entertained such an application but declined to grant leave; and whether an ordinary subject of leave-to-appeal can trans-mutate to a meritorious theme involving the interpretation or application of the Constitution. It was held that the appellate jurisdiction of the Supreme Court is defined clearly enough under Article 163 of the Constitution, and s.19 of the Supreme Court Act and the petitioner’s case which had been brought without the leave of the Court of Appeal was outside the jurisdiction of the Supreme Court. According to the Court, the petitioner in this case had not rationalized the transmutation of the issue from an ordinary subject of leave-to-appeal, to a meritorious theme involving the interpretation or application of the Constitution – such that it becomes, as of right, a matter falling within the appellate jurisdiction of the Supreme Court. The Court further held that, in the interpretation of any law touching on the Supreme Court’s appellate jurisdiction, the guiding principle is to be that the chain of Courts in the Constitutional set-up, running up to the Court of Appeal, have the professional competence, and proper safety designs, to resolve all matters turning on the technical complexity of the law; and only cardinal issues of law or of jurisprudential moment, will deserve the further input of the Supreme Court.</w:t>
      </w:r>
    </w:p>
    <w:p w14:paraId="503E048C" w14:textId="01C8AA1F" w:rsidR="00865A66" w:rsidRPr="00885192" w:rsidRDefault="00865A66" w:rsidP="00647C32">
      <w:pPr>
        <w:spacing w:line="240" w:lineRule="auto"/>
        <w:ind w:left="720"/>
        <w:jc w:val="both"/>
        <w:rPr>
          <w:rFonts w:ascii="Times New Roman" w:hAnsi="Times New Roman" w:cs="Times New Roman"/>
          <w:sz w:val="24"/>
          <w:szCs w:val="24"/>
        </w:rPr>
      </w:pPr>
      <w:r w:rsidRPr="00885192">
        <w:rPr>
          <w:rFonts w:ascii="Times New Roman" w:hAnsi="Times New Roman" w:cs="Times New Roman"/>
          <w:sz w:val="24"/>
          <w:szCs w:val="24"/>
        </w:rPr>
        <w:t xml:space="preserve"> In the </w:t>
      </w:r>
      <w:r w:rsidRPr="00885192">
        <w:rPr>
          <w:rFonts w:ascii="Times New Roman" w:hAnsi="Times New Roman" w:cs="Times New Roman"/>
          <w:b/>
          <w:bCs/>
          <w:sz w:val="24"/>
          <w:szCs w:val="24"/>
        </w:rPr>
        <w:t>SK Macharia Case</w:t>
      </w:r>
      <w:r w:rsidR="00647C32">
        <w:rPr>
          <w:rStyle w:val="FootnoteReference"/>
          <w:rFonts w:ascii="Times New Roman" w:hAnsi="Times New Roman" w:cs="Times New Roman"/>
          <w:b/>
          <w:bCs/>
          <w:sz w:val="24"/>
          <w:szCs w:val="24"/>
        </w:rPr>
        <w:footnoteReference w:id="12"/>
      </w:r>
      <w:r w:rsidRPr="00885192">
        <w:rPr>
          <w:rFonts w:ascii="Times New Roman" w:hAnsi="Times New Roman" w:cs="Times New Roman"/>
          <w:sz w:val="24"/>
          <w:szCs w:val="24"/>
        </w:rPr>
        <w:t>, an application for leave to appeal against the judgement of the Court of Appeal where the Appeal judge had been removed through the vetting of the Supreme Court of Kenya at Nairobi Petition No. 2 Of 2012</w:t>
      </w:r>
      <w:r w:rsidR="00885192" w:rsidRPr="00885192">
        <w:rPr>
          <w:rFonts w:ascii="Times New Roman" w:hAnsi="Times New Roman" w:cs="Times New Roman"/>
          <w:sz w:val="24"/>
          <w:szCs w:val="24"/>
        </w:rPr>
        <w:t xml:space="preserve"> </w:t>
      </w:r>
      <w:r w:rsidRPr="00885192">
        <w:rPr>
          <w:rFonts w:ascii="Times New Roman" w:hAnsi="Times New Roman" w:cs="Times New Roman"/>
          <w:sz w:val="24"/>
          <w:szCs w:val="24"/>
        </w:rPr>
        <w:t xml:space="preserve">judiciary post the 2010 Constitution, pursuant to section 14 of the Supreme Court Act, the Supreme Court declared section 14 of the Act unconstitutional insofar as it purported to confer “special jurisdiction” upon the Supreme Court contrary to the express terms of the Constitution. </w:t>
      </w:r>
      <w:r w:rsidR="00A84443" w:rsidRPr="00885192">
        <w:rPr>
          <w:rFonts w:ascii="Times New Roman" w:hAnsi="Times New Roman" w:cs="Times New Roman"/>
          <w:sz w:val="24"/>
          <w:szCs w:val="24"/>
        </w:rPr>
        <w:t>Recognizing</w:t>
      </w:r>
      <w:r w:rsidRPr="00885192">
        <w:rPr>
          <w:rFonts w:ascii="Times New Roman" w:hAnsi="Times New Roman" w:cs="Times New Roman"/>
          <w:sz w:val="24"/>
          <w:szCs w:val="24"/>
        </w:rPr>
        <w:t xml:space="preserve"> the good intention of Parliament, the Court nevertheless found that where the constitution exhaustively provides for the jurisdiction of a court of law, the court must operate within the constitutional limit. It cannot expand its jurisdiction through judicial craft or innovation. Nor can Parliament confer jurisdiction upon a court of law beyond the scope defined by the Constitution</w:t>
      </w:r>
    </w:p>
    <w:p w14:paraId="72BDF873" w14:textId="41C58A6A" w:rsidR="006D5BB2" w:rsidRPr="00885192" w:rsidRDefault="006D5BB2" w:rsidP="00647C32">
      <w:pPr>
        <w:pStyle w:val="ListParagraph"/>
        <w:numPr>
          <w:ilvl w:val="0"/>
          <w:numId w:val="5"/>
        </w:numPr>
        <w:spacing w:line="240" w:lineRule="auto"/>
        <w:jc w:val="both"/>
        <w:rPr>
          <w:rFonts w:ascii="Times New Roman" w:hAnsi="Times New Roman" w:cs="Times New Roman"/>
          <w:b/>
          <w:bCs/>
          <w:sz w:val="24"/>
          <w:szCs w:val="24"/>
        </w:rPr>
      </w:pPr>
      <w:r w:rsidRPr="00885192">
        <w:rPr>
          <w:rFonts w:ascii="Times New Roman" w:hAnsi="Times New Roman" w:cs="Times New Roman"/>
          <w:b/>
          <w:bCs/>
          <w:sz w:val="24"/>
          <w:szCs w:val="24"/>
        </w:rPr>
        <w:t>Court of Appeal</w:t>
      </w:r>
    </w:p>
    <w:p w14:paraId="021CA779" w14:textId="792E8156" w:rsidR="006D5BB2" w:rsidRPr="00885192" w:rsidRDefault="006D5BB2" w:rsidP="00647C32">
      <w:pPr>
        <w:pStyle w:val="ListParagraph"/>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 xml:space="preserve">The court is established under article 164 of the constitution and </w:t>
      </w:r>
      <w:r w:rsidR="00280766" w:rsidRPr="00885192">
        <w:rPr>
          <w:rFonts w:ascii="Times New Roman" w:hAnsi="Times New Roman" w:cs="Times New Roman"/>
          <w:sz w:val="24"/>
          <w:szCs w:val="24"/>
        </w:rPr>
        <w:t>its</w:t>
      </w:r>
      <w:r w:rsidRPr="00885192">
        <w:rPr>
          <w:rFonts w:ascii="Times New Roman" w:hAnsi="Times New Roman" w:cs="Times New Roman"/>
          <w:sz w:val="24"/>
          <w:szCs w:val="24"/>
        </w:rPr>
        <w:t xml:space="preserve"> jurisdiction provided as; The Court of Appeal has jurisdiction to hear appeals from—</w:t>
      </w:r>
    </w:p>
    <w:p w14:paraId="4012E11C" w14:textId="52FAA281" w:rsidR="006D5BB2" w:rsidRPr="00885192" w:rsidRDefault="006D5BB2" w:rsidP="00647C32">
      <w:pPr>
        <w:pStyle w:val="ListParagraph"/>
        <w:numPr>
          <w:ilvl w:val="0"/>
          <w:numId w:val="7"/>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lastRenderedPageBreak/>
        <w:t>the High Court; and</w:t>
      </w:r>
    </w:p>
    <w:p w14:paraId="5AAD90A2" w14:textId="2D120075" w:rsidR="006D5BB2" w:rsidRDefault="006D5BB2" w:rsidP="00647C32">
      <w:pPr>
        <w:pStyle w:val="ListParagraph"/>
        <w:numPr>
          <w:ilvl w:val="0"/>
          <w:numId w:val="7"/>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any other court or tribunal as prescribed by an Act of Parliament.</w:t>
      </w:r>
    </w:p>
    <w:p w14:paraId="36666BB2" w14:textId="77777777" w:rsidR="00647C32" w:rsidRPr="00647C32" w:rsidRDefault="00647C32" w:rsidP="00647C32">
      <w:pPr>
        <w:spacing w:line="240" w:lineRule="auto"/>
        <w:jc w:val="both"/>
        <w:rPr>
          <w:rFonts w:ascii="Times New Roman" w:hAnsi="Times New Roman" w:cs="Times New Roman"/>
          <w:sz w:val="24"/>
          <w:szCs w:val="24"/>
        </w:rPr>
      </w:pPr>
    </w:p>
    <w:p w14:paraId="150AED5A" w14:textId="063E6752" w:rsidR="006D5BB2" w:rsidRPr="00885192" w:rsidRDefault="006D5BB2" w:rsidP="00647C32">
      <w:pPr>
        <w:pStyle w:val="ListParagraph"/>
        <w:numPr>
          <w:ilvl w:val="0"/>
          <w:numId w:val="5"/>
        </w:numPr>
        <w:spacing w:line="240" w:lineRule="auto"/>
        <w:jc w:val="both"/>
        <w:rPr>
          <w:rFonts w:ascii="Times New Roman" w:hAnsi="Times New Roman" w:cs="Times New Roman"/>
          <w:b/>
          <w:bCs/>
          <w:sz w:val="24"/>
          <w:szCs w:val="24"/>
        </w:rPr>
      </w:pPr>
      <w:r w:rsidRPr="00885192">
        <w:rPr>
          <w:rFonts w:ascii="Times New Roman" w:hAnsi="Times New Roman" w:cs="Times New Roman"/>
          <w:b/>
          <w:bCs/>
          <w:sz w:val="24"/>
          <w:szCs w:val="24"/>
        </w:rPr>
        <w:t>High Court.</w:t>
      </w:r>
    </w:p>
    <w:p w14:paraId="380E2884" w14:textId="2F84D530" w:rsidR="006D5BB2" w:rsidRPr="00885192" w:rsidRDefault="006D5BB2" w:rsidP="00647C32">
      <w:pPr>
        <w:spacing w:line="240" w:lineRule="auto"/>
        <w:ind w:left="720"/>
        <w:jc w:val="both"/>
        <w:rPr>
          <w:rFonts w:ascii="Times New Roman" w:hAnsi="Times New Roman" w:cs="Times New Roman"/>
          <w:sz w:val="24"/>
          <w:szCs w:val="24"/>
        </w:rPr>
      </w:pPr>
      <w:r w:rsidRPr="00885192">
        <w:rPr>
          <w:rFonts w:ascii="Times New Roman" w:hAnsi="Times New Roman" w:cs="Times New Roman"/>
          <w:sz w:val="24"/>
          <w:szCs w:val="24"/>
        </w:rPr>
        <w:t>The High Court and its jurisdiction is provided for in article 165 and its jurisdiction has been captured in the following terms: Subject to clause (5), the High Court shall have-</w:t>
      </w:r>
    </w:p>
    <w:p w14:paraId="36AD500B" w14:textId="3068B60F" w:rsidR="006D5BB2" w:rsidRPr="00885192" w:rsidRDefault="006D5BB2" w:rsidP="00647C32">
      <w:pPr>
        <w:pStyle w:val="ListParagraph"/>
        <w:numPr>
          <w:ilvl w:val="0"/>
          <w:numId w:val="8"/>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 xml:space="preserve">unlimited original jurisdiction in criminal and civil matters; </w:t>
      </w:r>
    </w:p>
    <w:p w14:paraId="6EE9AC9A" w14:textId="4D8588A0" w:rsidR="006D5BB2" w:rsidRPr="00885192" w:rsidRDefault="006D5BB2" w:rsidP="00647C32">
      <w:pPr>
        <w:pStyle w:val="ListParagraph"/>
        <w:numPr>
          <w:ilvl w:val="0"/>
          <w:numId w:val="8"/>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jurisdiction to determine the question whether a right or fundamental freedom in the Bill of Rights has been denied, violated, infringed or threatened;</w:t>
      </w:r>
    </w:p>
    <w:p w14:paraId="25A73F18" w14:textId="6A87E005" w:rsidR="006D5BB2" w:rsidRPr="00885192" w:rsidRDefault="006D5BB2" w:rsidP="00647C32">
      <w:pPr>
        <w:pStyle w:val="ListParagraph"/>
        <w:numPr>
          <w:ilvl w:val="0"/>
          <w:numId w:val="8"/>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 xml:space="preserve"> jurisdiction to hear an appeal from a decision of a tribunal appointed under this Constitution to consider the removal of a person from office, other than a tribunal appointed under Article 144;</w:t>
      </w:r>
    </w:p>
    <w:p w14:paraId="21919EDA" w14:textId="29FEA4BF" w:rsidR="006D5BB2" w:rsidRPr="00885192" w:rsidRDefault="006D5BB2" w:rsidP="00647C32">
      <w:pPr>
        <w:pStyle w:val="ListParagraph"/>
        <w:numPr>
          <w:ilvl w:val="0"/>
          <w:numId w:val="8"/>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 xml:space="preserve">jurisdiction to hear any question </w:t>
      </w:r>
      <w:r w:rsidR="00C053E2" w:rsidRPr="00885192">
        <w:rPr>
          <w:rFonts w:ascii="Times New Roman" w:hAnsi="Times New Roman" w:cs="Times New Roman"/>
          <w:sz w:val="24"/>
          <w:szCs w:val="24"/>
        </w:rPr>
        <w:t>with respect to</w:t>
      </w:r>
      <w:r w:rsidRPr="00885192">
        <w:rPr>
          <w:rFonts w:ascii="Times New Roman" w:hAnsi="Times New Roman" w:cs="Times New Roman"/>
          <w:sz w:val="24"/>
          <w:szCs w:val="24"/>
        </w:rPr>
        <w:t xml:space="preserve"> the interpretation of this Constitution including the determination of—</w:t>
      </w:r>
    </w:p>
    <w:p w14:paraId="2AB64A18" w14:textId="00B3E325" w:rsidR="006D5BB2" w:rsidRPr="00885192" w:rsidRDefault="006D5BB2" w:rsidP="00647C32">
      <w:pPr>
        <w:pStyle w:val="ListParagraph"/>
        <w:numPr>
          <w:ilvl w:val="0"/>
          <w:numId w:val="10"/>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the question whether any law is inconsistent with or in contravention of this Constitution;</w:t>
      </w:r>
    </w:p>
    <w:p w14:paraId="10B9D538" w14:textId="7D8DCC26" w:rsidR="006D5BB2" w:rsidRPr="00885192" w:rsidRDefault="006D5BB2" w:rsidP="00647C32">
      <w:pPr>
        <w:pStyle w:val="ListParagraph"/>
        <w:numPr>
          <w:ilvl w:val="0"/>
          <w:numId w:val="10"/>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the question whether anything said to be done under the authority of this Constitution or of any law is inconsistent with, or in contravention of, this Constitution</w:t>
      </w:r>
    </w:p>
    <w:p w14:paraId="664962A0" w14:textId="0571431E" w:rsidR="006D5BB2" w:rsidRPr="00885192" w:rsidRDefault="006D5BB2" w:rsidP="00647C32">
      <w:pPr>
        <w:pStyle w:val="ListParagraph"/>
        <w:numPr>
          <w:ilvl w:val="0"/>
          <w:numId w:val="10"/>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any matter relating to constitutional powers of State organs in respect of county governments and any matter relating to the constitutional relationship between the levels of government; and</w:t>
      </w:r>
    </w:p>
    <w:p w14:paraId="6DA31364" w14:textId="31CF0574" w:rsidR="006D5BB2" w:rsidRPr="00885192" w:rsidRDefault="006D5BB2" w:rsidP="00647C32">
      <w:pPr>
        <w:pStyle w:val="ListParagraph"/>
        <w:numPr>
          <w:ilvl w:val="0"/>
          <w:numId w:val="10"/>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a question relating to conflict of laws under Article 191; and</w:t>
      </w:r>
    </w:p>
    <w:p w14:paraId="376F091F" w14:textId="63D01465" w:rsidR="006D5BB2" w:rsidRPr="00885192" w:rsidRDefault="006D5BB2" w:rsidP="00647C32">
      <w:pPr>
        <w:pStyle w:val="ListParagraph"/>
        <w:numPr>
          <w:ilvl w:val="0"/>
          <w:numId w:val="10"/>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any other jurisdiction, original or appellate, conferred on it by legislation.</w:t>
      </w:r>
      <w:r w:rsidRPr="00885192">
        <w:rPr>
          <w:rStyle w:val="FootnoteReference"/>
          <w:rFonts w:ascii="Times New Roman" w:hAnsi="Times New Roman" w:cs="Times New Roman"/>
          <w:sz w:val="24"/>
          <w:szCs w:val="24"/>
        </w:rPr>
        <w:footnoteReference w:id="13"/>
      </w:r>
    </w:p>
    <w:p w14:paraId="7E67EACE" w14:textId="77777777" w:rsidR="00885192" w:rsidRPr="00885192" w:rsidRDefault="00885192" w:rsidP="00647C32">
      <w:pPr>
        <w:pStyle w:val="ListParagraph"/>
        <w:spacing w:line="240" w:lineRule="auto"/>
        <w:ind w:left="1440"/>
        <w:jc w:val="both"/>
        <w:rPr>
          <w:rFonts w:ascii="Times New Roman" w:hAnsi="Times New Roman" w:cs="Times New Roman"/>
          <w:sz w:val="24"/>
          <w:szCs w:val="24"/>
        </w:rPr>
      </w:pPr>
    </w:p>
    <w:p w14:paraId="558C1F46" w14:textId="77777777" w:rsidR="00A84443" w:rsidRPr="00885192" w:rsidRDefault="00A84443" w:rsidP="00647C32">
      <w:pPr>
        <w:pStyle w:val="ListParagraph"/>
        <w:numPr>
          <w:ilvl w:val="0"/>
          <w:numId w:val="8"/>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s</w:t>
      </w:r>
      <w:r w:rsidRPr="00885192">
        <w:rPr>
          <w:rFonts w:ascii="Times New Roman" w:hAnsi="Times New Roman" w:cs="Times New Roman"/>
          <w:sz w:val="24"/>
          <w:szCs w:val="24"/>
        </w:rPr>
        <w:t xml:space="preserve">upervisory jurisdiction over the subordinate courts and over any person, body or authority exercising a judicial or quasi-judicial function, but not over a superior court. </w:t>
      </w:r>
    </w:p>
    <w:p w14:paraId="6C712D3A" w14:textId="13A15A45" w:rsidR="00A84443" w:rsidRPr="00885192" w:rsidRDefault="00A84443" w:rsidP="00647C32">
      <w:pPr>
        <w:pStyle w:val="ListParagraph"/>
        <w:numPr>
          <w:ilvl w:val="0"/>
          <w:numId w:val="8"/>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 xml:space="preserve"> Any other jurisdiction, original or appellate, conferred on it by legislation.</w:t>
      </w:r>
    </w:p>
    <w:p w14:paraId="20D9A651" w14:textId="77777777" w:rsidR="00A84443" w:rsidRPr="00885192" w:rsidRDefault="00A84443" w:rsidP="00647C32">
      <w:p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In addition to the ordinary civil and criminal jurisdiction of the High Court there are certain matters which can only be heard by the High Court exclusively. These include:</w:t>
      </w:r>
    </w:p>
    <w:p w14:paraId="7BDCD060" w14:textId="6132DDF2" w:rsidR="00A84443" w:rsidRPr="00885192" w:rsidRDefault="00A84443" w:rsidP="00647C32">
      <w:pPr>
        <w:pStyle w:val="ListParagraph"/>
        <w:numPr>
          <w:ilvl w:val="0"/>
          <w:numId w:val="12"/>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 xml:space="preserve">Interpretation of the Constitution art 165(3)(d). </w:t>
      </w:r>
    </w:p>
    <w:p w14:paraId="15D6F94C" w14:textId="595D5658" w:rsidR="00A84443" w:rsidRPr="00885192" w:rsidRDefault="00A84443" w:rsidP="00647C32">
      <w:pPr>
        <w:pStyle w:val="ListParagraph"/>
        <w:numPr>
          <w:ilvl w:val="0"/>
          <w:numId w:val="12"/>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 xml:space="preserve">Cases involving enforcement of fundamental rights and freedoms of the individual which are set out in Chapter 4 of the Constitution (art 165(3)(b). </w:t>
      </w:r>
    </w:p>
    <w:p w14:paraId="29CA6ECD" w14:textId="2AEE17C6" w:rsidR="00A84443" w:rsidRPr="00885192" w:rsidRDefault="00A84443" w:rsidP="00647C32">
      <w:pPr>
        <w:pStyle w:val="ListParagraph"/>
        <w:numPr>
          <w:ilvl w:val="0"/>
          <w:numId w:val="12"/>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 xml:space="preserve"> Election Petitions involving Parliamentary election (for presidential, the exclusive jurisdiction is with the Supreme Court).</w:t>
      </w:r>
    </w:p>
    <w:p w14:paraId="469138CE" w14:textId="5A12DEFE" w:rsidR="00A84443" w:rsidRPr="00885192" w:rsidRDefault="00A84443" w:rsidP="00647C32">
      <w:pPr>
        <w:pStyle w:val="ListParagraph"/>
        <w:numPr>
          <w:ilvl w:val="0"/>
          <w:numId w:val="12"/>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 xml:space="preserve"> Judicial Review - Under Order 53 of the Civil Procedure Rules, the High Court has powers of Judicial Review of administrative action and can grant orders of Certiorari, Mandamus and Prohibition. </w:t>
      </w:r>
    </w:p>
    <w:p w14:paraId="5C0661EB" w14:textId="22AC05A2" w:rsidR="00A84443" w:rsidRPr="00885192" w:rsidRDefault="00A84443" w:rsidP="00647C32">
      <w:pPr>
        <w:pStyle w:val="ListParagraph"/>
        <w:numPr>
          <w:ilvl w:val="0"/>
          <w:numId w:val="12"/>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 xml:space="preserve">Supervisory Jurisdiction: The High Court exercises supervisory jurisdiction over subordinate courts and in this regard can transfer cases from one subordinate court to another if it deems it fit. </w:t>
      </w:r>
    </w:p>
    <w:p w14:paraId="7445B890" w14:textId="704906D6" w:rsidR="00A84443" w:rsidRPr="00885192" w:rsidRDefault="00A84443" w:rsidP="00647C32">
      <w:pPr>
        <w:pStyle w:val="ListParagraph"/>
        <w:numPr>
          <w:ilvl w:val="0"/>
          <w:numId w:val="12"/>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lastRenderedPageBreak/>
        <w:t xml:space="preserve">Admiralty jurisdiction - Section 4 of the Judicature Act provides that the High Court shall be a court of admiralty i.e. the court shall entertain cases of High Seas, Territorial Waters, Lakes and other navigable inland waters. 42 </w:t>
      </w:r>
    </w:p>
    <w:p w14:paraId="20D3FD04" w14:textId="4DA39594" w:rsidR="00A84443" w:rsidRPr="00885192" w:rsidRDefault="00A84443" w:rsidP="00647C32">
      <w:pPr>
        <w:pStyle w:val="ListParagraph"/>
        <w:numPr>
          <w:ilvl w:val="0"/>
          <w:numId w:val="12"/>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 xml:space="preserve">Appellate Jurisdiction - The High Court has appellate jurisdiction i.e. appeals from all subordinate courts and tribunals exercising quasi-judicial powers can properly be entertained by the High Court. </w:t>
      </w:r>
    </w:p>
    <w:p w14:paraId="7847A66D" w14:textId="21112C2C" w:rsidR="00A84443" w:rsidRPr="00885192" w:rsidRDefault="00A84443" w:rsidP="00647C32">
      <w:pPr>
        <w:pStyle w:val="ListParagraph"/>
        <w:numPr>
          <w:ilvl w:val="0"/>
          <w:numId w:val="12"/>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 xml:space="preserve">Winding up of Companies - This can only be filed at the High Court. </w:t>
      </w:r>
    </w:p>
    <w:p w14:paraId="5EFE3EEC" w14:textId="6388AC30" w:rsidR="00A84443" w:rsidRPr="00885192" w:rsidRDefault="00A84443" w:rsidP="00647C32">
      <w:pPr>
        <w:pStyle w:val="ListParagraph"/>
        <w:numPr>
          <w:ilvl w:val="0"/>
          <w:numId w:val="12"/>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 xml:space="preserve">Probate Jurisdiction - under the Laws of Succession </w:t>
      </w:r>
    </w:p>
    <w:p w14:paraId="323D9F28" w14:textId="00E75251" w:rsidR="00A84443" w:rsidRPr="00885192" w:rsidRDefault="00A84443" w:rsidP="00647C32">
      <w:pPr>
        <w:pStyle w:val="ListParagraph"/>
        <w:numPr>
          <w:ilvl w:val="0"/>
          <w:numId w:val="12"/>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 xml:space="preserve">Bankruptcy petitions </w:t>
      </w:r>
    </w:p>
    <w:p w14:paraId="0CEA3480" w14:textId="75C8064B" w:rsidR="00A84443" w:rsidRPr="00885192" w:rsidRDefault="00A84443" w:rsidP="00647C32">
      <w:pPr>
        <w:pStyle w:val="ListParagraph"/>
        <w:numPr>
          <w:ilvl w:val="0"/>
          <w:numId w:val="12"/>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 xml:space="preserve"> Matters dealing with Intellectual property.</w:t>
      </w:r>
    </w:p>
    <w:p w14:paraId="4B240233" w14:textId="5751519F" w:rsidR="002E37B8" w:rsidRPr="00885192" w:rsidRDefault="002E37B8" w:rsidP="00647C32">
      <w:pPr>
        <w:pStyle w:val="ListParagraph"/>
        <w:numPr>
          <w:ilvl w:val="0"/>
          <w:numId w:val="5"/>
        </w:numPr>
        <w:spacing w:line="240" w:lineRule="auto"/>
        <w:jc w:val="both"/>
        <w:rPr>
          <w:rFonts w:ascii="Times New Roman" w:hAnsi="Times New Roman" w:cs="Times New Roman"/>
          <w:b/>
          <w:bCs/>
          <w:sz w:val="24"/>
          <w:szCs w:val="24"/>
        </w:rPr>
      </w:pPr>
      <w:r w:rsidRPr="00885192">
        <w:rPr>
          <w:rFonts w:ascii="Times New Roman" w:hAnsi="Times New Roman" w:cs="Times New Roman"/>
          <w:b/>
          <w:bCs/>
          <w:sz w:val="24"/>
          <w:szCs w:val="24"/>
        </w:rPr>
        <w:t xml:space="preserve"> </w:t>
      </w:r>
      <w:r w:rsidRPr="00885192">
        <w:rPr>
          <w:rFonts w:ascii="Times New Roman" w:hAnsi="Times New Roman" w:cs="Times New Roman"/>
          <w:b/>
          <w:bCs/>
          <w:sz w:val="24"/>
          <w:szCs w:val="24"/>
        </w:rPr>
        <w:t xml:space="preserve">Specialised Courts </w:t>
      </w:r>
    </w:p>
    <w:p w14:paraId="0E0ECAB0" w14:textId="77777777" w:rsidR="002E37B8" w:rsidRPr="00885192" w:rsidRDefault="002E37B8" w:rsidP="00647C32">
      <w:pPr>
        <w:spacing w:line="240" w:lineRule="auto"/>
        <w:ind w:left="60"/>
        <w:jc w:val="both"/>
        <w:rPr>
          <w:rFonts w:ascii="Times New Roman" w:hAnsi="Times New Roman" w:cs="Times New Roman"/>
          <w:sz w:val="24"/>
          <w:szCs w:val="24"/>
        </w:rPr>
      </w:pPr>
      <w:r w:rsidRPr="00885192">
        <w:rPr>
          <w:rFonts w:ascii="Times New Roman" w:hAnsi="Times New Roman" w:cs="Times New Roman"/>
          <w:sz w:val="24"/>
          <w:szCs w:val="24"/>
        </w:rPr>
        <w:t xml:space="preserve">Under article 159(1), judicial authority is exercisable by courts and tribunals established by or under the Constitution. Some specialised courts have thus been established by the Constitution and are ranked alongside the High Court. These include: </w:t>
      </w:r>
    </w:p>
    <w:p w14:paraId="6FF07467" w14:textId="76AE7A71" w:rsidR="002E37B8" w:rsidRPr="00885192" w:rsidRDefault="002E37B8" w:rsidP="00647C32">
      <w:pPr>
        <w:pStyle w:val="ListParagraph"/>
        <w:numPr>
          <w:ilvl w:val="0"/>
          <w:numId w:val="13"/>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 xml:space="preserve">Employment and Labour Relations Court </w:t>
      </w:r>
    </w:p>
    <w:p w14:paraId="559B5A12" w14:textId="77777777" w:rsidR="002E37B8" w:rsidRPr="00885192" w:rsidRDefault="002E37B8" w:rsidP="00647C32">
      <w:pPr>
        <w:pStyle w:val="ListParagraph"/>
        <w:spacing w:line="240" w:lineRule="auto"/>
        <w:ind w:left="420"/>
        <w:jc w:val="both"/>
        <w:rPr>
          <w:rFonts w:ascii="Times New Roman" w:hAnsi="Times New Roman" w:cs="Times New Roman"/>
          <w:sz w:val="24"/>
          <w:szCs w:val="24"/>
        </w:rPr>
      </w:pPr>
      <w:r w:rsidRPr="00885192">
        <w:rPr>
          <w:rFonts w:ascii="Times New Roman" w:hAnsi="Times New Roman" w:cs="Times New Roman"/>
          <w:sz w:val="24"/>
          <w:szCs w:val="24"/>
        </w:rPr>
        <w:t xml:space="preserve">The Constitution of 2010 has now created the Employment and Labour Relations Court, art 162, which is at the same status as the High Court to determine industrial disputes. </w:t>
      </w:r>
    </w:p>
    <w:p w14:paraId="4FF73E40" w14:textId="77777777" w:rsidR="002E37B8" w:rsidRPr="00885192" w:rsidRDefault="002E37B8" w:rsidP="00647C32">
      <w:pPr>
        <w:pStyle w:val="ListParagraph"/>
        <w:spacing w:line="240" w:lineRule="auto"/>
        <w:ind w:left="420"/>
        <w:jc w:val="both"/>
        <w:rPr>
          <w:rFonts w:ascii="Times New Roman" w:hAnsi="Times New Roman" w:cs="Times New Roman"/>
          <w:sz w:val="24"/>
          <w:szCs w:val="24"/>
        </w:rPr>
      </w:pPr>
    </w:p>
    <w:p w14:paraId="64D68797" w14:textId="455BADBD" w:rsidR="002E37B8" w:rsidRPr="00885192" w:rsidRDefault="002E37B8" w:rsidP="00647C32">
      <w:pPr>
        <w:pStyle w:val="ListParagraph"/>
        <w:spacing w:line="240" w:lineRule="auto"/>
        <w:ind w:left="420"/>
        <w:jc w:val="both"/>
        <w:rPr>
          <w:rFonts w:ascii="Times New Roman" w:hAnsi="Times New Roman" w:cs="Times New Roman"/>
          <w:sz w:val="24"/>
          <w:szCs w:val="24"/>
        </w:rPr>
      </w:pPr>
      <w:r w:rsidRPr="00885192">
        <w:rPr>
          <w:rFonts w:ascii="Times New Roman" w:hAnsi="Times New Roman" w:cs="Times New Roman"/>
          <w:sz w:val="24"/>
          <w:szCs w:val="24"/>
        </w:rPr>
        <w:t xml:space="preserve">In </w:t>
      </w:r>
      <w:r w:rsidRPr="00885192">
        <w:rPr>
          <w:rFonts w:ascii="Times New Roman" w:hAnsi="Times New Roman" w:cs="Times New Roman"/>
          <w:b/>
          <w:bCs/>
          <w:sz w:val="24"/>
          <w:szCs w:val="24"/>
        </w:rPr>
        <w:t>United States International University (USIU) v Attorney General &amp; 2 others</w:t>
      </w:r>
      <w:r w:rsidRPr="00885192">
        <w:rPr>
          <w:rStyle w:val="FootnoteReference"/>
          <w:rFonts w:ascii="Times New Roman" w:hAnsi="Times New Roman" w:cs="Times New Roman"/>
          <w:b/>
          <w:bCs/>
          <w:sz w:val="24"/>
          <w:szCs w:val="24"/>
        </w:rPr>
        <w:footnoteReference w:id="14"/>
      </w:r>
      <w:r w:rsidRPr="00885192">
        <w:rPr>
          <w:rFonts w:ascii="Times New Roman" w:hAnsi="Times New Roman" w:cs="Times New Roman"/>
          <w:sz w:val="24"/>
          <w:szCs w:val="24"/>
        </w:rPr>
        <w:t xml:space="preserve">, the question was whether the Industrial Court is competent to interpret the constitution and enforce matters relating to breach of fundamental rights and freedoms and </w:t>
      </w:r>
      <w:r w:rsidRPr="00885192">
        <w:rPr>
          <w:rFonts w:ascii="Times New Roman" w:hAnsi="Times New Roman" w:cs="Times New Roman"/>
          <w:sz w:val="24"/>
          <w:szCs w:val="24"/>
        </w:rPr>
        <w:t>w</w:t>
      </w:r>
      <w:r w:rsidRPr="00885192">
        <w:rPr>
          <w:rFonts w:ascii="Times New Roman" w:hAnsi="Times New Roman" w:cs="Times New Roman"/>
          <w:sz w:val="24"/>
          <w:szCs w:val="24"/>
        </w:rPr>
        <w:t xml:space="preserve">hether employment and labour relations matters which raise constitutional issues filed in the High Court prior to establishment of the Industrial Court should be handled by the High Court. It was held that: </w:t>
      </w:r>
    </w:p>
    <w:p w14:paraId="05470C8D" w14:textId="1B65CBFD" w:rsidR="002E37B8" w:rsidRPr="00885192" w:rsidRDefault="002E37B8" w:rsidP="00647C32">
      <w:pPr>
        <w:pStyle w:val="ListParagraph"/>
        <w:numPr>
          <w:ilvl w:val="0"/>
          <w:numId w:val="14"/>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 xml:space="preserve">The Industrial Court Act 2011 is silent on the jurisdiction of Industrial Court to interpret the Constitution or to enforce fundamental rights and freedoms. </w:t>
      </w:r>
      <w:r w:rsidRPr="00885192">
        <w:rPr>
          <w:rFonts w:ascii="Times New Roman" w:hAnsi="Times New Roman" w:cs="Times New Roman"/>
          <w:sz w:val="24"/>
          <w:szCs w:val="24"/>
        </w:rPr>
        <w:t>Likewise,</w:t>
      </w:r>
      <w:r w:rsidRPr="00885192">
        <w:rPr>
          <w:rFonts w:ascii="Times New Roman" w:hAnsi="Times New Roman" w:cs="Times New Roman"/>
          <w:sz w:val="24"/>
          <w:szCs w:val="24"/>
        </w:rPr>
        <w:t xml:space="preserve"> Art 165 of the Constitution is silent whether the courts of the status of the High Court have jurisdiction to interpret the constitution, and enforce fundamental rights and freedoms under the Bill of rights. </w:t>
      </w:r>
    </w:p>
    <w:p w14:paraId="06179C21" w14:textId="77777777" w:rsidR="002E37B8" w:rsidRPr="00885192" w:rsidRDefault="002E37B8" w:rsidP="00647C32">
      <w:pPr>
        <w:pStyle w:val="ListParagraph"/>
        <w:numPr>
          <w:ilvl w:val="0"/>
          <w:numId w:val="14"/>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 xml:space="preserve"> The Industrial Court as constituted under the Industrial Court Act, 2011 as a court with the status of the High Court, is competent to interpret the Constitution and enforce matters relating to breach of fundamental rights and freedoms, in matters arising from disputes falling within the provisions of section 12 of the Industrial Court Act, 2011.</w:t>
      </w:r>
    </w:p>
    <w:p w14:paraId="15B7C05F" w14:textId="77777777" w:rsidR="002E37B8" w:rsidRPr="00885192" w:rsidRDefault="002E37B8" w:rsidP="00647C32">
      <w:pPr>
        <w:pStyle w:val="ListParagraph"/>
        <w:numPr>
          <w:ilvl w:val="0"/>
          <w:numId w:val="14"/>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The Industrial Court, having been established to deal with employment and labour matters. It follows that all employment and labour relations matters pending in the High Court, shall be heard by the Industrial Court which is a court of the status of the High Court. The High Court therefore lacks jurisdiction to deal with matters of employment and labour matters whether filed in the High Court before or after the establishment of the Industrial Court. Both matters were thus transferred to the Industrial Court for hearing and disposal.</w:t>
      </w:r>
    </w:p>
    <w:p w14:paraId="706AD1C7" w14:textId="50CBCB1B" w:rsidR="002E37B8" w:rsidRPr="00885192" w:rsidRDefault="002E37B8" w:rsidP="00647C32">
      <w:pPr>
        <w:spacing w:line="240" w:lineRule="auto"/>
        <w:ind w:left="420"/>
        <w:jc w:val="both"/>
        <w:rPr>
          <w:rFonts w:ascii="Times New Roman" w:hAnsi="Times New Roman" w:cs="Times New Roman"/>
          <w:sz w:val="24"/>
          <w:szCs w:val="24"/>
        </w:rPr>
      </w:pPr>
      <w:r w:rsidRPr="00885192">
        <w:rPr>
          <w:rFonts w:ascii="Times New Roman" w:hAnsi="Times New Roman" w:cs="Times New Roman"/>
          <w:sz w:val="24"/>
          <w:szCs w:val="24"/>
        </w:rPr>
        <w:t xml:space="preserve">In </w:t>
      </w:r>
      <w:r w:rsidRPr="00885192">
        <w:rPr>
          <w:rFonts w:ascii="Times New Roman" w:hAnsi="Times New Roman" w:cs="Times New Roman"/>
          <w:b/>
          <w:bCs/>
          <w:sz w:val="24"/>
          <w:szCs w:val="24"/>
        </w:rPr>
        <w:t>Kenyatta University v. Industrial Court of Kenya &amp; another (Misc. Civil Appl. No. 430 of 2007</w:t>
      </w:r>
      <w:r w:rsidR="000836D8">
        <w:rPr>
          <w:rStyle w:val="FootnoteReference"/>
          <w:rFonts w:ascii="Times New Roman" w:hAnsi="Times New Roman" w:cs="Times New Roman"/>
          <w:b/>
          <w:bCs/>
          <w:sz w:val="24"/>
          <w:szCs w:val="24"/>
        </w:rPr>
        <w:footnoteReference w:id="15"/>
      </w:r>
      <w:r w:rsidRPr="00885192">
        <w:rPr>
          <w:rFonts w:ascii="Times New Roman" w:hAnsi="Times New Roman" w:cs="Times New Roman"/>
          <w:sz w:val="24"/>
          <w:szCs w:val="24"/>
        </w:rPr>
        <w:t xml:space="preserve">, the question before the High Court was whether the High Court had jurisdiction </w:t>
      </w:r>
      <w:r w:rsidRPr="00885192">
        <w:rPr>
          <w:rFonts w:ascii="Times New Roman" w:hAnsi="Times New Roman" w:cs="Times New Roman"/>
          <w:sz w:val="24"/>
          <w:szCs w:val="24"/>
        </w:rPr>
        <w:lastRenderedPageBreak/>
        <w:t xml:space="preserve">to entertain an application pertaining to issues of employment and labour relations and to supervise the Industrial court. It was held that the jurisdiction of the High Court vis-à-vis the Industrial Court has now been settled by Article 165 (5) of the Constitution which provide that the High Court shall not have jurisdiction to determine matters pertaining to employment and labour relations. Jurisdiction over such matters is now vested by Article 162(2) in the Industrial Court, a court with the status of the High Court established under the provisions of the Industrial Court Act, 2011. However, it was noted that neither the Constitution nor the Industrial Court Act operates retrospectively and the High Court had jurisdiction to supervise the Industrial Court as it existed in February, 2007 when the decision impugned in this application was made. Thus, had it found that the Industrial Court acted in excess of its jurisdiction, then the High Court would have had the jurisdiction to quash the decision if it was reached ultra vires the jurisdiction of the respondent. </w:t>
      </w:r>
    </w:p>
    <w:p w14:paraId="3755159A" w14:textId="6FF56D5B" w:rsidR="000836D8" w:rsidRPr="000836D8" w:rsidRDefault="002E37B8" w:rsidP="000836D8">
      <w:pPr>
        <w:pStyle w:val="ListParagraph"/>
        <w:numPr>
          <w:ilvl w:val="0"/>
          <w:numId w:val="13"/>
        </w:numPr>
        <w:spacing w:line="240" w:lineRule="auto"/>
        <w:jc w:val="both"/>
        <w:rPr>
          <w:rFonts w:ascii="Times New Roman" w:hAnsi="Times New Roman" w:cs="Times New Roman"/>
          <w:sz w:val="24"/>
          <w:szCs w:val="24"/>
        </w:rPr>
      </w:pPr>
      <w:r w:rsidRPr="00885192">
        <w:rPr>
          <w:rFonts w:ascii="Times New Roman" w:hAnsi="Times New Roman" w:cs="Times New Roman"/>
          <w:sz w:val="24"/>
          <w:szCs w:val="24"/>
        </w:rPr>
        <w:t>Environment and Land Court Environment and Land Court is a court established by the Environment and Land Court Act (No 19 of 2011) pursuant to the Constitution of 2010. The court is at the same level as the High Court as per art 162(2)(a) &amp; (b))</w:t>
      </w:r>
    </w:p>
    <w:p w14:paraId="375296BB" w14:textId="65EB2D84" w:rsidR="00A84443" w:rsidRPr="00885192" w:rsidRDefault="002E37B8" w:rsidP="00647C32">
      <w:pPr>
        <w:pStyle w:val="ListParagraph"/>
        <w:numPr>
          <w:ilvl w:val="0"/>
          <w:numId w:val="5"/>
        </w:numPr>
        <w:spacing w:line="240" w:lineRule="auto"/>
        <w:jc w:val="both"/>
        <w:rPr>
          <w:rFonts w:ascii="Times New Roman" w:hAnsi="Times New Roman" w:cs="Times New Roman"/>
          <w:sz w:val="24"/>
          <w:szCs w:val="24"/>
        </w:rPr>
      </w:pPr>
      <w:r w:rsidRPr="00885192">
        <w:rPr>
          <w:rFonts w:ascii="Times New Roman" w:hAnsi="Times New Roman" w:cs="Times New Roman"/>
          <w:b/>
          <w:bCs/>
          <w:sz w:val="24"/>
          <w:szCs w:val="24"/>
        </w:rPr>
        <w:t>Subordinate courts</w:t>
      </w:r>
    </w:p>
    <w:p w14:paraId="1759CD89" w14:textId="16A18C12" w:rsidR="008454A5" w:rsidRPr="00885192" w:rsidRDefault="008454A5" w:rsidP="00647C32">
      <w:pPr>
        <w:spacing w:line="240" w:lineRule="auto"/>
        <w:jc w:val="both"/>
        <w:rPr>
          <w:rFonts w:ascii="Times New Roman" w:hAnsi="Times New Roman" w:cs="Times New Roman"/>
          <w:i/>
          <w:iCs/>
          <w:sz w:val="24"/>
          <w:szCs w:val="24"/>
        </w:rPr>
      </w:pPr>
      <w:r w:rsidRPr="00885192">
        <w:rPr>
          <w:rFonts w:ascii="Times New Roman" w:hAnsi="Times New Roman" w:cs="Times New Roman"/>
          <w:sz w:val="24"/>
          <w:szCs w:val="24"/>
        </w:rPr>
        <w:t xml:space="preserve">The Constitution further establishes Subordinate Courts </w:t>
      </w:r>
      <w:r w:rsidR="00013D65" w:rsidRPr="00885192">
        <w:rPr>
          <w:rFonts w:ascii="Times New Roman" w:hAnsi="Times New Roman" w:cs="Times New Roman"/>
          <w:sz w:val="24"/>
          <w:szCs w:val="24"/>
        </w:rPr>
        <w:t>including</w:t>
      </w:r>
      <w:r w:rsidRPr="00885192">
        <w:rPr>
          <w:rFonts w:ascii="Times New Roman" w:hAnsi="Times New Roman" w:cs="Times New Roman"/>
          <w:sz w:val="24"/>
          <w:szCs w:val="24"/>
        </w:rPr>
        <w:t>; Magistrate Courts, Kadhi</w:t>
      </w:r>
      <w:r w:rsidR="009126AF" w:rsidRPr="00885192">
        <w:rPr>
          <w:rFonts w:ascii="Times New Roman" w:hAnsi="Times New Roman" w:cs="Times New Roman"/>
          <w:sz w:val="24"/>
          <w:szCs w:val="24"/>
        </w:rPr>
        <w:t>s’</w:t>
      </w:r>
      <w:r w:rsidRPr="00885192">
        <w:rPr>
          <w:rFonts w:ascii="Times New Roman" w:hAnsi="Times New Roman" w:cs="Times New Roman"/>
          <w:sz w:val="24"/>
          <w:szCs w:val="24"/>
        </w:rPr>
        <w:t xml:space="preserve"> courts and Court Martial and confers upon Parliament the powers to enact legislation conferring jurisdiction of these courts.</w:t>
      </w:r>
      <w:r w:rsidR="00013D65" w:rsidRPr="00885192">
        <w:rPr>
          <w:rStyle w:val="FootnoteReference"/>
          <w:rFonts w:ascii="Times New Roman" w:hAnsi="Times New Roman" w:cs="Times New Roman"/>
          <w:sz w:val="24"/>
          <w:szCs w:val="24"/>
        </w:rPr>
        <w:footnoteReference w:id="16"/>
      </w:r>
      <w:r w:rsidR="009126AF" w:rsidRPr="00885192">
        <w:rPr>
          <w:rFonts w:ascii="Times New Roman" w:hAnsi="Times New Roman" w:cs="Times New Roman"/>
          <w:sz w:val="24"/>
          <w:szCs w:val="24"/>
        </w:rPr>
        <w:t xml:space="preserve"> For Kadhis’ courts the jurisdiction is limited to the determination if Muslim law relating either to personal status, marriage, divorce or inheritance in proceedings in which all parties profess the Muslim religion and submit to the jurisdiction of the Kadhis’ courts.</w:t>
      </w:r>
      <w:r w:rsidR="009126AF" w:rsidRPr="00885192">
        <w:rPr>
          <w:rStyle w:val="FootnoteReference"/>
          <w:rFonts w:ascii="Times New Roman" w:hAnsi="Times New Roman" w:cs="Times New Roman"/>
          <w:sz w:val="24"/>
          <w:szCs w:val="24"/>
        </w:rPr>
        <w:footnoteReference w:id="17"/>
      </w:r>
    </w:p>
    <w:sectPr w:rsidR="008454A5" w:rsidRPr="008851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AE34A1" w14:textId="77777777" w:rsidR="00764BBB" w:rsidRDefault="00764BBB" w:rsidP="007578B2">
      <w:pPr>
        <w:spacing w:after="0" w:line="240" w:lineRule="auto"/>
      </w:pPr>
      <w:r>
        <w:separator/>
      </w:r>
    </w:p>
  </w:endnote>
  <w:endnote w:type="continuationSeparator" w:id="0">
    <w:p w14:paraId="7D97EE30" w14:textId="77777777" w:rsidR="00764BBB" w:rsidRDefault="00764BBB" w:rsidP="00757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199B67" w14:textId="77777777" w:rsidR="00764BBB" w:rsidRDefault="00764BBB" w:rsidP="007578B2">
      <w:pPr>
        <w:spacing w:after="0" w:line="240" w:lineRule="auto"/>
      </w:pPr>
      <w:r>
        <w:separator/>
      </w:r>
    </w:p>
  </w:footnote>
  <w:footnote w:type="continuationSeparator" w:id="0">
    <w:p w14:paraId="3110CC6E" w14:textId="77777777" w:rsidR="00764BBB" w:rsidRDefault="00764BBB" w:rsidP="007578B2">
      <w:pPr>
        <w:spacing w:after="0" w:line="240" w:lineRule="auto"/>
      </w:pPr>
      <w:r>
        <w:continuationSeparator/>
      </w:r>
    </w:p>
  </w:footnote>
  <w:footnote w:id="1">
    <w:p w14:paraId="75A2C38B" w14:textId="77777777" w:rsidR="00280766" w:rsidRPr="006D114D" w:rsidRDefault="00280766" w:rsidP="00280766">
      <w:pPr>
        <w:pStyle w:val="FootnoteText"/>
        <w:rPr>
          <w:rFonts w:ascii="Times New Roman" w:hAnsi="Times New Roman" w:cs="Times New Roman"/>
          <w:sz w:val="18"/>
          <w:szCs w:val="18"/>
        </w:rPr>
      </w:pPr>
      <w:r>
        <w:rPr>
          <w:rStyle w:val="FootnoteReference"/>
        </w:rPr>
        <w:footnoteRef/>
      </w:r>
      <w:r>
        <w:t xml:space="preserve"> </w:t>
      </w:r>
      <w:hyperlink r:id="rId1" w:history="1">
        <w:r w:rsidRPr="006D114D">
          <w:rPr>
            <w:rStyle w:val="Hyperlink"/>
            <w:rFonts w:ascii="Times New Roman" w:hAnsi="Times New Roman" w:cs="Times New Roman"/>
            <w:sz w:val="18"/>
            <w:szCs w:val="18"/>
          </w:rPr>
          <w:t>https://thelawdictionary.org/jurisdiction/</w:t>
        </w:r>
      </w:hyperlink>
      <w:r w:rsidRPr="006D114D">
        <w:rPr>
          <w:rFonts w:ascii="Times New Roman" w:hAnsi="Times New Roman" w:cs="Times New Roman"/>
          <w:sz w:val="18"/>
          <w:szCs w:val="18"/>
        </w:rPr>
        <w:t xml:space="preserve"> accessed on 19 of February 2024</w:t>
      </w:r>
    </w:p>
  </w:footnote>
  <w:footnote w:id="2">
    <w:p w14:paraId="72992BB7" w14:textId="1941244A" w:rsidR="006D114D" w:rsidRPr="006D114D" w:rsidRDefault="006D114D">
      <w:pPr>
        <w:pStyle w:val="FootnoteText"/>
        <w:rPr>
          <w:rFonts w:ascii="Times New Roman" w:hAnsi="Times New Roman" w:cs="Times New Roman"/>
          <w:sz w:val="18"/>
          <w:szCs w:val="18"/>
        </w:rPr>
      </w:pPr>
      <w:r w:rsidRPr="006D114D">
        <w:rPr>
          <w:rStyle w:val="FootnoteReference"/>
          <w:rFonts w:ascii="Times New Roman" w:hAnsi="Times New Roman" w:cs="Times New Roman"/>
          <w:sz w:val="18"/>
          <w:szCs w:val="18"/>
        </w:rPr>
        <w:footnoteRef/>
      </w:r>
      <w:r w:rsidRPr="006D114D">
        <w:rPr>
          <w:rFonts w:ascii="Times New Roman" w:hAnsi="Times New Roman" w:cs="Times New Roman"/>
          <w:sz w:val="18"/>
          <w:szCs w:val="18"/>
        </w:rPr>
        <w:t xml:space="preserve"> Motor Vehicle v Caltex Oil Kenya Limited [1989] eKLR</w:t>
      </w:r>
    </w:p>
  </w:footnote>
  <w:footnote w:id="3">
    <w:p w14:paraId="765794E6" w14:textId="5EFBCAF1" w:rsidR="006D114D" w:rsidRPr="006D114D" w:rsidRDefault="006D114D">
      <w:pPr>
        <w:pStyle w:val="FootnoteText"/>
        <w:rPr>
          <w:rFonts w:ascii="Times New Roman" w:hAnsi="Times New Roman" w:cs="Times New Roman"/>
          <w:sz w:val="18"/>
          <w:szCs w:val="18"/>
        </w:rPr>
      </w:pPr>
      <w:r w:rsidRPr="006D114D">
        <w:rPr>
          <w:rStyle w:val="FootnoteReference"/>
          <w:rFonts w:ascii="Times New Roman" w:hAnsi="Times New Roman" w:cs="Times New Roman"/>
          <w:sz w:val="18"/>
          <w:szCs w:val="18"/>
        </w:rPr>
        <w:footnoteRef/>
      </w:r>
      <w:r w:rsidRPr="006D114D">
        <w:rPr>
          <w:rFonts w:ascii="Times New Roman" w:hAnsi="Times New Roman" w:cs="Times New Roman"/>
          <w:sz w:val="18"/>
          <w:szCs w:val="18"/>
        </w:rPr>
        <w:t xml:space="preserve"> Public Service Commission &amp; 2 others v Erick Cheruiyot &amp; 16 Others [2017] eKLR</w:t>
      </w:r>
    </w:p>
  </w:footnote>
  <w:footnote w:id="4">
    <w:p w14:paraId="366782F6" w14:textId="271A3319" w:rsidR="00885192" w:rsidRPr="00647C32" w:rsidRDefault="00885192" w:rsidP="00885192">
      <w:pPr>
        <w:pStyle w:val="FootnoteText"/>
        <w:rPr>
          <w:rFonts w:ascii="Times New Roman" w:hAnsi="Times New Roman" w:cs="Times New Roman"/>
          <w:sz w:val="18"/>
          <w:szCs w:val="18"/>
        </w:rPr>
      </w:pPr>
      <w:r>
        <w:rPr>
          <w:rStyle w:val="FootnoteReference"/>
        </w:rPr>
        <w:footnoteRef/>
      </w:r>
      <w:r>
        <w:t xml:space="preserve"> </w:t>
      </w:r>
      <w:r w:rsidRPr="00647C32">
        <w:rPr>
          <w:rFonts w:ascii="Times New Roman" w:hAnsi="Times New Roman" w:cs="Times New Roman"/>
          <w:sz w:val="18"/>
          <w:szCs w:val="18"/>
        </w:rPr>
        <w:t xml:space="preserve">The Jurisdiction </w:t>
      </w:r>
      <w:proofErr w:type="gramStart"/>
      <w:r w:rsidRPr="00647C32">
        <w:rPr>
          <w:rFonts w:ascii="Times New Roman" w:hAnsi="Times New Roman" w:cs="Times New Roman"/>
          <w:sz w:val="18"/>
          <w:szCs w:val="18"/>
        </w:rPr>
        <w:t>Of</w:t>
      </w:r>
      <w:proofErr w:type="gramEnd"/>
      <w:r w:rsidRPr="00647C32">
        <w:rPr>
          <w:rFonts w:ascii="Times New Roman" w:hAnsi="Times New Roman" w:cs="Times New Roman"/>
          <w:sz w:val="18"/>
          <w:szCs w:val="18"/>
        </w:rPr>
        <w:t xml:space="preserve"> </w:t>
      </w:r>
      <w:r w:rsidRPr="00647C32">
        <w:rPr>
          <w:rFonts w:ascii="Times New Roman" w:hAnsi="Times New Roman" w:cs="Times New Roman"/>
          <w:sz w:val="18"/>
          <w:szCs w:val="18"/>
        </w:rPr>
        <w:t>Courts, Bernard</w:t>
      </w:r>
      <w:r w:rsidRPr="00647C32">
        <w:rPr>
          <w:rFonts w:ascii="Times New Roman" w:hAnsi="Times New Roman" w:cs="Times New Roman"/>
          <w:sz w:val="18"/>
          <w:szCs w:val="18"/>
        </w:rPr>
        <w:t xml:space="preserve"> C. Gavito, 1936, page 1-10</w:t>
      </w:r>
    </w:p>
  </w:footnote>
  <w:footnote w:id="5">
    <w:p w14:paraId="3C17D688" w14:textId="77777777" w:rsidR="00885192" w:rsidRDefault="00885192" w:rsidP="00885192">
      <w:pPr>
        <w:pStyle w:val="FootnoteText"/>
      </w:pPr>
      <w:r w:rsidRPr="00647C32">
        <w:rPr>
          <w:rStyle w:val="FootnoteReference"/>
          <w:rFonts w:ascii="Times New Roman" w:hAnsi="Times New Roman" w:cs="Times New Roman"/>
          <w:sz w:val="18"/>
          <w:szCs w:val="18"/>
        </w:rPr>
        <w:footnoteRef/>
      </w:r>
      <w:r w:rsidRPr="00647C32">
        <w:rPr>
          <w:rFonts w:ascii="Times New Roman" w:hAnsi="Times New Roman" w:cs="Times New Roman"/>
          <w:sz w:val="18"/>
          <w:szCs w:val="18"/>
        </w:rPr>
        <w:t xml:space="preserve"> Theories Of Jurisdiction </w:t>
      </w:r>
      <w:proofErr w:type="gramStart"/>
      <w:r w:rsidRPr="00647C32">
        <w:rPr>
          <w:rFonts w:ascii="Times New Roman" w:hAnsi="Times New Roman" w:cs="Times New Roman"/>
          <w:sz w:val="18"/>
          <w:szCs w:val="18"/>
        </w:rPr>
        <w:t>And</w:t>
      </w:r>
      <w:proofErr w:type="gramEnd"/>
      <w:r w:rsidRPr="00647C32">
        <w:rPr>
          <w:rFonts w:ascii="Times New Roman" w:hAnsi="Times New Roman" w:cs="Times New Roman"/>
          <w:sz w:val="18"/>
          <w:szCs w:val="18"/>
        </w:rPr>
        <w:t xml:space="preserve"> Their Application In Extradition Law And Practice, M. Cherif Bassiouni, 1975, page</w:t>
      </w:r>
      <w:r>
        <w:t xml:space="preserve"> </w:t>
      </w:r>
    </w:p>
  </w:footnote>
  <w:footnote w:id="6">
    <w:p w14:paraId="60065338" w14:textId="6D8CB1A1" w:rsidR="00405D4A" w:rsidRPr="00C053E2" w:rsidRDefault="00405D4A">
      <w:pPr>
        <w:pStyle w:val="FootnoteText"/>
        <w:rPr>
          <w:rFonts w:ascii="Times New Roman" w:hAnsi="Times New Roman" w:cs="Times New Roman"/>
          <w:sz w:val="18"/>
          <w:szCs w:val="18"/>
        </w:rPr>
      </w:pPr>
      <w:r w:rsidRPr="00C053E2">
        <w:rPr>
          <w:rStyle w:val="FootnoteReference"/>
          <w:rFonts w:ascii="Times New Roman" w:hAnsi="Times New Roman" w:cs="Times New Roman"/>
          <w:sz w:val="18"/>
          <w:szCs w:val="18"/>
        </w:rPr>
        <w:footnoteRef/>
      </w:r>
      <w:r w:rsidRPr="00C053E2">
        <w:rPr>
          <w:rFonts w:ascii="Times New Roman" w:hAnsi="Times New Roman" w:cs="Times New Roman"/>
          <w:sz w:val="18"/>
          <w:szCs w:val="18"/>
        </w:rPr>
        <w:t xml:space="preserve"> Article 1 of the constitution of Kenya 2010</w:t>
      </w:r>
    </w:p>
  </w:footnote>
  <w:footnote w:id="7">
    <w:p w14:paraId="49F93BEF" w14:textId="1FB124E7" w:rsidR="00405D4A" w:rsidRPr="00C053E2" w:rsidRDefault="00405D4A">
      <w:pPr>
        <w:pStyle w:val="FootnoteText"/>
        <w:rPr>
          <w:rFonts w:ascii="Times New Roman" w:hAnsi="Times New Roman" w:cs="Times New Roman"/>
          <w:sz w:val="18"/>
          <w:szCs w:val="18"/>
        </w:rPr>
      </w:pPr>
      <w:r w:rsidRPr="00C053E2">
        <w:rPr>
          <w:rStyle w:val="FootnoteReference"/>
          <w:rFonts w:ascii="Times New Roman" w:hAnsi="Times New Roman" w:cs="Times New Roman"/>
          <w:sz w:val="18"/>
          <w:szCs w:val="18"/>
        </w:rPr>
        <w:footnoteRef/>
      </w:r>
      <w:r w:rsidRPr="00C053E2">
        <w:rPr>
          <w:rFonts w:ascii="Times New Roman" w:hAnsi="Times New Roman" w:cs="Times New Roman"/>
          <w:sz w:val="18"/>
          <w:szCs w:val="18"/>
        </w:rPr>
        <w:t xml:space="preserve"> Article 3 of the constitution of Kenya 2010</w:t>
      </w:r>
    </w:p>
  </w:footnote>
  <w:footnote w:id="8">
    <w:p w14:paraId="704B13E0" w14:textId="146859FB" w:rsidR="002F228C" w:rsidRDefault="002F228C">
      <w:pPr>
        <w:pStyle w:val="FootnoteText"/>
      </w:pPr>
      <w:r w:rsidRPr="00C053E2">
        <w:rPr>
          <w:rStyle w:val="FootnoteReference"/>
          <w:rFonts w:ascii="Times New Roman" w:hAnsi="Times New Roman" w:cs="Times New Roman"/>
          <w:sz w:val="18"/>
          <w:szCs w:val="18"/>
        </w:rPr>
        <w:footnoteRef/>
      </w:r>
      <w:r w:rsidRPr="00C053E2">
        <w:rPr>
          <w:rFonts w:ascii="Times New Roman" w:hAnsi="Times New Roman" w:cs="Times New Roman"/>
          <w:sz w:val="18"/>
          <w:szCs w:val="18"/>
        </w:rPr>
        <w:t xml:space="preserve"> Article 160 of the constitution of Kenya 2010</w:t>
      </w:r>
    </w:p>
  </w:footnote>
  <w:footnote w:id="9">
    <w:p w14:paraId="0873CC91" w14:textId="0E62085D" w:rsidR="00BE4A79" w:rsidRPr="00C053E2" w:rsidRDefault="00BE4A79">
      <w:pPr>
        <w:pStyle w:val="FootnoteText"/>
        <w:rPr>
          <w:rFonts w:ascii="Times New Roman" w:hAnsi="Times New Roman" w:cs="Times New Roman"/>
          <w:sz w:val="18"/>
          <w:szCs w:val="18"/>
        </w:rPr>
      </w:pPr>
      <w:r>
        <w:rPr>
          <w:rStyle w:val="FootnoteReference"/>
        </w:rPr>
        <w:footnoteRef/>
      </w:r>
      <w:r>
        <w:t xml:space="preserve"> </w:t>
      </w:r>
      <w:r w:rsidRPr="00C053E2">
        <w:rPr>
          <w:rFonts w:ascii="Times New Roman" w:hAnsi="Times New Roman" w:cs="Times New Roman"/>
          <w:sz w:val="18"/>
          <w:szCs w:val="18"/>
        </w:rPr>
        <w:t>Article 23 of the constitution of Kenya 2010</w:t>
      </w:r>
    </w:p>
  </w:footnote>
  <w:footnote w:id="10">
    <w:p w14:paraId="624F6EC5" w14:textId="079FC0E7" w:rsidR="00647C32" w:rsidRDefault="00647C32">
      <w:pPr>
        <w:pStyle w:val="FootnoteText"/>
      </w:pPr>
      <w:r>
        <w:rPr>
          <w:rStyle w:val="FootnoteReference"/>
        </w:rPr>
        <w:footnoteRef/>
      </w:r>
      <w:r>
        <w:t xml:space="preserve"> [2012] eKLR</w:t>
      </w:r>
    </w:p>
  </w:footnote>
  <w:footnote w:id="11">
    <w:p w14:paraId="6CE7091E" w14:textId="7948B938" w:rsidR="00647C32" w:rsidRDefault="00647C32">
      <w:pPr>
        <w:pStyle w:val="FootnoteText"/>
      </w:pPr>
      <w:r>
        <w:rPr>
          <w:rStyle w:val="FootnoteReference"/>
        </w:rPr>
        <w:footnoteRef/>
      </w:r>
      <w:r>
        <w:t xml:space="preserve"> </w:t>
      </w:r>
      <w:r w:rsidRPr="00647C32">
        <w:rPr>
          <w:rFonts w:ascii="Times New Roman" w:hAnsi="Times New Roman" w:cs="Times New Roman"/>
          <w:sz w:val="18"/>
          <w:szCs w:val="18"/>
        </w:rPr>
        <w:t>Supreme Court of Kenya at Nairobi Petition No.2 of 2012</w:t>
      </w:r>
    </w:p>
  </w:footnote>
  <w:footnote w:id="12">
    <w:p w14:paraId="0A332169" w14:textId="76E3DA61" w:rsidR="00647C32" w:rsidRDefault="00647C32">
      <w:pPr>
        <w:pStyle w:val="FootnoteText"/>
      </w:pPr>
      <w:r>
        <w:rPr>
          <w:rStyle w:val="FootnoteReference"/>
        </w:rPr>
        <w:footnoteRef/>
      </w:r>
      <w:r>
        <w:t xml:space="preserve"> </w:t>
      </w:r>
      <w:r w:rsidRPr="00647C32">
        <w:rPr>
          <w:rFonts w:ascii="Times New Roman" w:hAnsi="Times New Roman" w:cs="Times New Roman"/>
          <w:sz w:val="18"/>
          <w:szCs w:val="18"/>
        </w:rPr>
        <w:t>[2012] eKLR</w:t>
      </w:r>
    </w:p>
  </w:footnote>
  <w:footnote w:id="13">
    <w:p w14:paraId="40AB51D7" w14:textId="03BFF8FC" w:rsidR="006D5BB2" w:rsidRPr="00C053E2" w:rsidRDefault="006D5BB2">
      <w:pPr>
        <w:pStyle w:val="FootnoteText"/>
        <w:rPr>
          <w:rFonts w:ascii="Times New Roman" w:hAnsi="Times New Roman" w:cs="Times New Roman"/>
          <w:sz w:val="18"/>
          <w:szCs w:val="18"/>
        </w:rPr>
      </w:pPr>
      <w:r>
        <w:rPr>
          <w:rStyle w:val="FootnoteReference"/>
        </w:rPr>
        <w:footnoteRef/>
      </w:r>
      <w:r>
        <w:t xml:space="preserve"> </w:t>
      </w:r>
      <w:r w:rsidRPr="00C053E2">
        <w:rPr>
          <w:rFonts w:ascii="Times New Roman" w:hAnsi="Times New Roman" w:cs="Times New Roman"/>
          <w:sz w:val="18"/>
          <w:szCs w:val="18"/>
        </w:rPr>
        <w:t>Article 165 of the constitution of Kenya 2010</w:t>
      </w:r>
    </w:p>
  </w:footnote>
  <w:footnote w:id="14">
    <w:p w14:paraId="69251276" w14:textId="6EF38147" w:rsidR="002E37B8" w:rsidRDefault="002E37B8">
      <w:pPr>
        <w:pStyle w:val="FootnoteText"/>
      </w:pPr>
      <w:r>
        <w:rPr>
          <w:rStyle w:val="FootnoteReference"/>
        </w:rPr>
        <w:footnoteRef/>
      </w:r>
      <w:r>
        <w:t xml:space="preserve"> </w:t>
      </w:r>
      <w:r w:rsidRPr="002E37B8">
        <w:rPr>
          <w:rFonts w:ascii="Times New Roman" w:hAnsi="Times New Roman" w:cs="Times New Roman"/>
          <w:sz w:val="18"/>
          <w:szCs w:val="18"/>
        </w:rPr>
        <w:t>High Court, Nairobi, Petition No 170 of 2012.</w:t>
      </w:r>
    </w:p>
  </w:footnote>
  <w:footnote w:id="15">
    <w:p w14:paraId="353BA5C6" w14:textId="5D686D48" w:rsidR="000836D8" w:rsidRDefault="000836D8">
      <w:pPr>
        <w:pStyle w:val="FootnoteText"/>
      </w:pPr>
      <w:r>
        <w:rPr>
          <w:rStyle w:val="FootnoteReference"/>
        </w:rPr>
        <w:footnoteRef/>
      </w:r>
      <w:r>
        <w:t xml:space="preserve"> [2012] eKLR</w:t>
      </w:r>
    </w:p>
  </w:footnote>
  <w:footnote w:id="16">
    <w:p w14:paraId="4ABF08AB" w14:textId="53DC2C15" w:rsidR="00013D65" w:rsidRPr="00013D65" w:rsidRDefault="00013D65" w:rsidP="00885192">
      <w:pPr>
        <w:pStyle w:val="FootnoteText"/>
        <w:jc w:val="both"/>
        <w:rPr>
          <w:rFonts w:ascii="Times New Roman" w:hAnsi="Times New Roman" w:cs="Times New Roman"/>
          <w:sz w:val="18"/>
          <w:szCs w:val="18"/>
        </w:rPr>
      </w:pPr>
      <w:r>
        <w:rPr>
          <w:rStyle w:val="FootnoteReference"/>
        </w:rPr>
        <w:footnoteRef/>
      </w:r>
      <w:r>
        <w:t xml:space="preserve"> </w:t>
      </w:r>
      <w:r w:rsidRPr="00013D65">
        <w:rPr>
          <w:rFonts w:ascii="Times New Roman" w:hAnsi="Times New Roman" w:cs="Times New Roman"/>
          <w:sz w:val="18"/>
          <w:szCs w:val="18"/>
        </w:rPr>
        <w:t>Article 169</w:t>
      </w:r>
      <w:r w:rsidR="009126AF">
        <w:rPr>
          <w:rFonts w:ascii="Times New Roman" w:hAnsi="Times New Roman" w:cs="Times New Roman"/>
          <w:sz w:val="18"/>
          <w:szCs w:val="18"/>
        </w:rPr>
        <w:t>(2) and 170(3)</w:t>
      </w:r>
      <w:r w:rsidRPr="00013D65">
        <w:rPr>
          <w:rFonts w:ascii="Times New Roman" w:hAnsi="Times New Roman" w:cs="Times New Roman"/>
          <w:sz w:val="18"/>
          <w:szCs w:val="18"/>
        </w:rPr>
        <w:t xml:space="preserve"> of the Constitution of Kenya, 2010</w:t>
      </w:r>
    </w:p>
  </w:footnote>
  <w:footnote w:id="17">
    <w:p w14:paraId="53AE9CFB" w14:textId="1575E356" w:rsidR="009126AF" w:rsidRDefault="009126AF">
      <w:pPr>
        <w:pStyle w:val="FootnoteText"/>
      </w:pPr>
      <w:r>
        <w:rPr>
          <w:rStyle w:val="FootnoteReference"/>
        </w:rPr>
        <w:footnoteRef/>
      </w:r>
      <w:r>
        <w:t xml:space="preserve"> </w:t>
      </w:r>
      <w:r w:rsidRPr="009126AF">
        <w:rPr>
          <w:rFonts w:ascii="Times New Roman" w:hAnsi="Times New Roman" w:cs="Times New Roman"/>
          <w:sz w:val="18"/>
          <w:szCs w:val="18"/>
        </w:rPr>
        <w:t>Article 170(5) of the Constitution of Kenya, 2010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50C67"/>
    <w:multiLevelType w:val="hybridMultilevel"/>
    <w:tmpl w:val="81B44BD8"/>
    <w:lvl w:ilvl="0" w:tplc="50344DEA">
      <w:start w:val="1"/>
      <w:numFmt w:val="decimal"/>
      <w:lvlText w:val="%1)"/>
      <w:lvlJc w:val="left"/>
      <w:pPr>
        <w:ind w:left="420" w:hanging="360"/>
      </w:pPr>
      <w:rPr>
        <w:rFonts w:hint="default"/>
      </w:rPr>
    </w:lvl>
    <w:lvl w:ilvl="1" w:tplc="20000019" w:tentative="1">
      <w:start w:val="1"/>
      <w:numFmt w:val="lowerLetter"/>
      <w:lvlText w:val="%2."/>
      <w:lvlJc w:val="left"/>
      <w:pPr>
        <w:ind w:left="1140" w:hanging="360"/>
      </w:pPr>
    </w:lvl>
    <w:lvl w:ilvl="2" w:tplc="2000001B" w:tentative="1">
      <w:start w:val="1"/>
      <w:numFmt w:val="lowerRoman"/>
      <w:lvlText w:val="%3."/>
      <w:lvlJc w:val="right"/>
      <w:pPr>
        <w:ind w:left="1860" w:hanging="180"/>
      </w:pPr>
    </w:lvl>
    <w:lvl w:ilvl="3" w:tplc="2000000F" w:tentative="1">
      <w:start w:val="1"/>
      <w:numFmt w:val="decimal"/>
      <w:lvlText w:val="%4."/>
      <w:lvlJc w:val="left"/>
      <w:pPr>
        <w:ind w:left="2580" w:hanging="360"/>
      </w:pPr>
    </w:lvl>
    <w:lvl w:ilvl="4" w:tplc="20000019" w:tentative="1">
      <w:start w:val="1"/>
      <w:numFmt w:val="lowerLetter"/>
      <w:lvlText w:val="%5."/>
      <w:lvlJc w:val="left"/>
      <w:pPr>
        <w:ind w:left="3300" w:hanging="360"/>
      </w:pPr>
    </w:lvl>
    <w:lvl w:ilvl="5" w:tplc="2000001B" w:tentative="1">
      <w:start w:val="1"/>
      <w:numFmt w:val="lowerRoman"/>
      <w:lvlText w:val="%6."/>
      <w:lvlJc w:val="right"/>
      <w:pPr>
        <w:ind w:left="4020" w:hanging="180"/>
      </w:pPr>
    </w:lvl>
    <w:lvl w:ilvl="6" w:tplc="2000000F" w:tentative="1">
      <w:start w:val="1"/>
      <w:numFmt w:val="decimal"/>
      <w:lvlText w:val="%7."/>
      <w:lvlJc w:val="left"/>
      <w:pPr>
        <w:ind w:left="4740" w:hanging="360"/>
      </w:pPr>
    </w:lvl>
    <w:lvl w:ilvl="7" w:tplc="20000019" w:tentative="1">
      <w:start w:val="1"/>
      <w:numFmt w:val="lowerLetter"/>
      <w:lvlText w:val="%8."/>
      <w:lvlJc w:val="left"/>
      <w:pPr>
        <w:ind w:left="5460" w:hanging="360"/>
      </w:pPr>
    </w:lvl>
    <w:lvl w:ilvl="8" w:tplc="2000001B" w:tentative="1">
      <w:start w:val="1"/>
      <w:numFmt w:val="lowerRoman"/>
      <w:lvlText w:val="%9."/>
      <w:lvlJc w:val="right"/>
      <w:pPr>
        <w:ind w:left="6180" w:hanging="180"/>
      </w:pPr>
    </w:lvl>
  </w:abstractNum>
  <w:abstractNum w:abstractNumId="1" w15:restartNumberingAfterBreak="0">
    <w:nsid w:val="041A7F41"/>
    <w:multiLevelType w:val="hybridMultilevel"/>
    <w:tmpl w:val="E244CF4A"/>
    <w:lvl w:ilvl="0" w:tplc="C1F8BEA8">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0A4D5C7E"/>
    <w:multiLevelType w:val="hybridMultilevel"/>
    <w:tmpl w:val="1A269F52"/>
    <w:lvl w:ilvl="0" w:tplc="ECB699E2">
      <w:start w:val="1"/>
      <w:numFmt w:val="lowerRoman"/>
      <w:lvlText w:val="(%1)"/>
      <w:lvlJc w:val="left"/>
      <w:pPr>
        <w:ind w:left="780" w:hanging="720"/>
      </w:pPr>
      <w:rPr>
        <w:rFonts w:hint="default"/>
      </w:rPr>
    </w:lvl>
    <w:lvl w:ilvl="1" w:tplc="20000019" w:tentative="1">
      <w:start w:val="1"/>
      <w:numFmt w:val="lowerLetter"/>
      <w:lvlText w:val="%2."/>
      <w:lvlJc w:val="left"/>
      <w:pPr>
        <w:ind w:left="1140" w:hanging="360"/>
      </w:pPr>
    </w:lvl>
    <w:lvl w:ilvl="2" w:tplc="2000001B" w:tentative="1">
      <w:start w:val="1"/>
      <w:numFmt w:val="lowerRoman"/>
      <w:lvlText w:val="%3."/>
      <w:lvlJc w:val="right"/>
      <w:pPr>
        <w:ind w:left="1860" w:hanging="180"/>
      </w:pPr>
    </w:lvl>
    <w:lvl w:ilvl="3" w:tplc="2000000F" w:tentative="1">
      <w:start w:val="1"/>
      <w:numFmt w:val="decimal"/>
      <w:lvlText w:val="%4."/>
      <w:lvlJc w:val="left"/>
      <w:pPr>
        <w:ind w:left="2580" w:hanging="360"/>
      </w:pPr>
    </w:lvl>
    <w:lvl w:ilvl="4" w:tplc="20000019" w:tentative="1">
      <w:start w:val="1"/>
      <w:numFmt w:val="lowerLetter"/>
      <w:lvlText w:val="%5."/>
      <w:lvlJc w:val="left"/>
      <w:pPr>
        <w:ind w:left="3300" w:hanging="360"/>
      </w:pPr>
    </w:lvl>
    <w:lvl w:ilvl="5" w:tplc="2000001B" w:tentative="1">
      <w:start w:val="1"/>
      <w:numFmt w:val="lowerRoman"/>
      <w:lvlText w:val="%6."/>
      <w:lvlJc w:val="right"/>
      <w:pPr>
        <w:ind w:left="4020" w:hanging="180"/>
      </w:pPr>
    </w:lvl>
    <w:lvl w:ilvl="6" w:tplc="2000000F" w:tentative="1">
      <w:start w:val="1"/>
      <w:numFmt w:val="decimal"/>
      <w:lvlText w:val="%7."/>
      <w:lvlJc w:val="left"/>
      <w:pPr>
        <w:ind w:left="4740" w:hanging="360"/>
      </w:pPr>
    </w:lvl>
    <w:lvl w:ilvl="7" w:tplc="20000019" w:tentative="1">
      <w:start w:val="1"/>
      <w:numFmt w:val="lowerLetter"/>
      <w:lvlText w:val="%8."/>
      <w:lvlJc w:val="left"/>
      <w:pPr>
        <w:ind w:left="5460" w:hanging="360"/>
      </w:pPr>
    </w:lvl>
    <w:lvl w:ilvl="8" w:tplc="2000001B" w:tentative="1">
      <w:start w:val="1"/>
      <w:numFmt w:val="lowerRoman"/>
      <w:lvlText w:val="%9."/>
      <w:lvlJc w:val="right"/>
      <w:pPr>
        <w:ind w:left="6180" w:hanging="180"/>
      </w:pPr>
    </w:lvl>
  </w:abstractNum>
  <w:abstractNum w:abstractNumId="3" w15:restartNumberingAfterBreak="0">
    <w:nsid w:val="0A6A321F"/>
    <w:multiLevelType w:val="hybridMultilevel"/>
    <w:tmpl w:val="F640B48C"/>
    <w:lvl w:ilvl="0" w:tplc="13DE9DC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FE1A19"/>
    <w:multiLevelType w:val="hybridMultilevel"/>
    <w:tmpl w:val="41804E32"/>
    <w:lvl w:ilvl="0" w:tplc="896802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C140FCB"/>
    <w:multiLevelType w:val="multilevel"/>
    <w:tmpl w:val="D35C07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173CA4"/>
    <w:multiLevelType w:val="hybridMultilevel"/>
    <w:tmpl w:val="AA8E86EC"/>
    <w:lvl w:ilvl="0" w:tplc="7D56AA8A">
      <w:start w:val="1"/>
      <w:numFmt w:val="decimal"/>
      <w:lvlText w:val="%1)"/>
      <w:lvlJc w:val="left"/>
      <w:pPr>
        <w:ind w:left="1352"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370960"/>
    <w:multiLevelType w:val="multilevel"/>
    <w:tmpl w:val="71B6C9E2"/>
    <w:lvl w:ilvl="0">
      <w:start w:val="1"/>
      <w:numFmt w:val="decimal"/>
      <w:lvlText w:val="%1."/>
      <w:lvlJc w:val="left"/>
      <w:pPr>
        <w:tabs>
          <w:tab w:val="num" w:pos="927"/>
        </w:tabs>
        <w:ind w:left="927" w:hanging="360"/>
      </w:pPr>
      <w:rPr>
        <w:b/>
        <w:bCs w:val="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A41A7F"/>
    <w:multiLevelType w:val="hybridMultilevel"/>
    <w:tmpl w:val="C1488B52"/>
    <w:lvl w:ilvl="0" w:tplc="C5FAC4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EFC01D8"/>
    <w:multiLevelType w:val="hybridMultilevel"/>
    <w:tmpl w:val="9DF432B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FE04210"/>
    <w:multiLevelType w:val="hybridMultilevel"/>
    <w:tmpl w:val="28F46F9A"/>
    <w:lvl w:ilvl="0" w:tplc="2F2ABA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1825309"/>
    <w:multiLevelType w:val="hybridMultilevel"/>
    <w:tmpl w:val="572A57C0"/>
    <w:lvl w:ilvl="0" w:tplc="4776093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352709B"/>
    <w:multiLevelType w:val="multilevel"/>
    <w:tmpl w:val="D35C07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A230C2"/>
    <w:multiLevelType w:val="hybridMultilevel"/>
    <w:tmpl w:val="B40EF268"/>
    <w:lvl w:ilvl="0" w:tplc="1AF8E5A0">
      <w:start w:val="1"/>
      <w:numFmt w:val="lowerRoman"/>
      <w:lvlText w:val="(%1)"/>
      <w:lvlJc w:val="left"/>
      <w:pPr>
        <w:ind w:left="1140" w:hanging="720"/>
      </w:pPr>
      <w:rPr>
        <w:rFonts w:hint="default"/>
      </w:rPr>
    </w:lvl>
    <w:lvl w:ilvl="1" w:tplc="20000019" w:tentative="1">
      <w:start w:val="1"/>
      <w:numFmt w:val="lowerLetter"/>
      <w:lvlText w:val="%2."/>
      <w:lvlJc w:val="left"/>
      <w:pPr>
        <w:ind w:left="1500" w:hanging="360"/>
      </w:pPr>
    </w:lvl>
    <w:lvl w:ilvl="2" w:tplc="2000001B" w:tentative="1">
      <w:start w:val="1"/>
      <w:numFmt w:val="lowerRoman"/>
      <w:lvlText w:val="%3."/>
      <w:lvlJc w:val="right"/>
      <w:pPr>
        <w:ind w:left="2220" w:hanging="180"/>
      </w:pPr>
    </w:lvl>
    <w:lvl w:ilvl="3" w:tplc="2000000F" w:tentative="1">
      <w:start w:val="1"/>
      <w:numFmt w:val="decimal"/>
      <w:lvlText w:val="%4."/>
      <w:lvlJc w:val="left"/>
      <w:pPr>
        <w:ind w:left="2940" w:hanging="360"/>
      </w:pPr>
    </w:lvl>
    <w:lvl w:ilvl="4" w:tplc="20000019" w:tentative="1">
      <w:start w:val="1"/>
      <w:numFmt w:val="lowerLetter"/>
      <w:lvlText w:val="%5."/>
      <w:lvlJc w:val="left"/>
      <w:pPr>
        <w:ind w:left="3660" w:hanging="360"/>
      </w:pPr>
    </w:lvl>
    <w:lvl w:ilvl="5" w:tplc="2000001B" w:tentative="1">
      <w:start w:val="1"/>
      <w:numFmt w:val="lowerRoman"/>
      <w:lvlText w:val="%6."/>
      <w:lvlJc w:val="right"/>
      <w:pPr>
        <w:ind w:left="4380" w:hanging="180"/>
      </w:pPr>
    </w:lvl>
    <w:lvl w:ilvl="6" w:tplc="2000000F" w:tentative="1">
      <w:start w:val="1"/>
      <w:numFmt w:val="decimal"/>
      <w:lvlText w:val="%7."/>
      <w:lvlJc w:val="left"/>
      <w:pPr>
        <w:ind w:left="5100" w:hanging="360"/>
      </w:pPr>
    </w:lvl>
    <w:lvl w:ilvl="7" w:tplc="20000019" w:tentative="1">
      <w:start w:val="1"/>
      <w:numFmt w:val="lowerLetter"/>
      <w:lvlText w:val="%8."/>
      <w:lvlJc w:val="left"/>
      <w:pPr>
        <w:ind w:left="5820" w:hanging="360"/>
      </w:pPr>
    </w:lvl>
    <w:lvl w:ilvl="8" w:tplc="2000001B" w:tentative="1">
      <w:start w:val="1"/>
      <w:numFmt w:val="lowerRoman"/>
      <w:lvlText w:val="%9."/>
      <w:lvlJc w:val="right"/>
      <w:pPr>
        <w:ind w:left="6540" w:hanging="180"/>
      </w:pPr>
    </w:lvl>
  </w:abstractNum>
  <w:num w:numId="1" w16cid:durableId="978148850">
    <w:abstractNumId w:val="9"/>
  </w:num>
  <w:num w:numId="2" w16cid:durableId="1058285352">
    <w:abstractNumId w:val="7"/>
  </w:num>
  <w:num w:numId="3" w16cid:durableId="664091845">
    <w:abstractNumId w:val="12"/>
  </w:num>
  <w:num w:numId="4" w16cid:durableId="149104333">
    <w:abstractNumId w:val="5"/>
  </w:num>
  <w:num w:numId="5" w16cid:durableId="1636184047">
    <w:abstractNumId w:val="6"/>
  </w:num>
  <w:num w:numId="6" w16cid:durableId="1667974103">
    <w:abstractNumId w:val="8"/>
  </w:num>
  <w:num w:numId="7" w16cid:durableId="1714842294">
    <w:abstractNumId w:val="10"/>
  </w:num>
  <w:num w:numId="8" w16cid:durableId="1602907835">
    <w:abstractNumId w:val="4"/>
  </w:num>
  <w:num w:numId="9" w16cid:durableId="2088648561">
    <w:abstractNumId w:val="11"/>
  </w:num>
  <w:num w:numId="10" w16cid:durableId="1345550033">
    <w:abstractNumId w:val="3"/>
  </w:num>
  <w:num w:numId="11" w16cid:durableId="2040886131">
    <w:abstractNumId w:val="1"/>
  </w:num>
  <w:num w:numId="12" w16cid:durableId="1279489915">
    <w:abstractNumId w:val="2"/>
  </w:num>
  <w:num w:numId="13" w16cid:durableId="1835105002">
    <w:abstractNumId w:val="0"/>
  </w:num>
  <w:num w:numId="14" w16cid:durableId="7661902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9D1"/>
    <w:rsid w:val="00013D65"/>
    <w:rsid w:val="000836D8"/>
    <w:rsid w:val="00280766"/>
    <w:rsid w:val="002E37B8"/>
    <w:rsid w:val="002F228C"/>
    <w:rsid w:val="00405D4A"/>
    <w:rsid w:val="00541CA1"/>
    <w:rsid w:val="005D7044"/>
    <w:rsid w:val="00647C32"/>
    <w:rsid w:val="00651E83"/>
    <w:rsid w:val="006D114D"/>
    <w:rsid w:val="006D5BB2"/>
    <w:rsid w:val="007326A0"/>
    <w:rsid w:val="007578B2"/>
    <w:rsid w:val="00764BBB"/>
    <w:rsid w:val="00796F4E"/>
    <w:rsid w:val="008454A5"/>
    <w:rsid w:val="00865A66"/>
    <w:rsid w:val="00885192"/>
    <w:rsid w:val="008C747F"/>
    <w:rsid w:val="009126AF"/>
    <w:rsid w:val="00A84443"/>
    <w:rsid w:val="00BE4A79"/>
    <w:rsid w:val="00C053E2"/>
    <w:rsid w:val="00C81E95"/>
    <w:rsid w:val="00D24EA1"/>
    <w:rsid w:val="00D6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3E854"/>
  <w15:chartTrackingRefBased/>
  <w15:docId w15:val="{925F4FC1-E05E-4147-9A3A-8FACF54EA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9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39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9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9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9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9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39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9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9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9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9D1"/>
    <w:rPr>
      <w:rFonts w:eastAsiaTheme="majorEastAsia" w:cstheme="majorBidi"/>
      <w:color w:val="272727" w:themeColor="text1" w:themeTint="D8"/>
    </w:rPr>
  </w:style>
  <w:style w:type="paragraph" w:styleId="Title">
    <w:name w:val="Title"/>
    <w:basedOn w:val="Normal"/>
    <w:next w:val="Normal"/>
    <w:link w:val="TitleChar"/>
    <w:uiPriority w:val="10"/>
    <w:qFormat/>
    <w:rsid w:val="00D63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9D1"/>
    <w:pPr>
      <w:spacing w:before="160"/>
      <w:jc w:val="center"/>
    </w:pPr>
    <w:rPr>
      <w:i/>
      <w:iCs/>
      <w:color w:val="404040" w:themeColor="text1" w:themeTint="BF"/>
    </w:rPr>
  </w:style>
  <w:style w:type="character" w:customStyle="1" w:styleId="QuoteChar">
    <w:name w:val="Quote Char"/>
    <w:basedOn w:val="DefaultParagraphFont"/>
    <w:link w:val="Quote"/>
    <w:uiPriority w:val="29"/>
    <w:rsid w:val="00D639D1"/>
    <w:rPr>
      <w:i/>
      <w:iCs/>
      <w:color w:val="404040" w:themeColor="text1" w:themeTint="BF"/>
    </w:rPr>
  </w:style>
  <w:style w:type="paragraph" w:styleId="ListParagraph">
    <w:name w:val="List Paragraph"/>
    <w:basedOn w:val="Normal"/>
    <w:uiPriority w:val="34"/>
    <w:qFormat/>
    <w:rsid w:val="00D639D1"/>
    <w:pPr>
      <w:ind w:left="720"/>
      <w:contextualSpacing/>
    </w:pPr>
  </w:style>
  <w:style w:type="character" w:styleId="IntenseEmphasis">
    <w:name w:val="Intense Emphasis"/>
    <w:basedOn w:val="DefaultParagraphFont"/>
    <w:uiPriority w:val="21"/>
    <w:qFormat/>
    <w:rsid w:val="00D639D1"/>
    <w:rPr>
      <w:i/>
      <w:iCs/>
      <w:color w:val="0F4761" w:themeColor="accent1" w:themeShade="BF"/>
    </w:rPr>
  </w:style>
  <w:style w:type="paragraph" w:styleId="IntenseQuote">
    <w:name w:val="Intense Quote"/>
    <w:basedOn w:val="Normal"/>
    <w:next w:val="Normal"/>
    <w:link w:val="IntenseQuoteChar"/>
    <w:uiPriority w:val="30"/>
    <w:qFormat/>
    <w:rsid w:val="00D639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9D1"/>
    <w:rPr>
      <w:i/>
      <w:iCs/>
      <w:color w:val="0F4761" w:themeColor="accent1" w:themeShade="BF"/>
    </w:rPr>
  </w:style>
  <w:style w:type="character" w:styleId="IntenseReference">
    <w:name w:val="Intense Reference"/>
    <w:basedOn w:val="DefaultParagraphFont"/>
    <w:uiPriority w:val="32"/>
    <w:qFormat/>
    <w:rsid w:val="00D639D1"/>
    <w:rPr>
      <w:b/>
      <w:bCs/>
      <w:smallCaps/>
      <w:color w:val="0F4761" w:themeColor="accent1" w:themeShade="BF"/>
      <w:spacing w:val="5"/>
    </w:rPr>
  </w:style>
  <w:style w:type="paragraph" w:styleId="FootnoteText">
    <w:name w:val="footnote text"/>
    <w:basedOn w:val="Normal"/>
    <w:link w:val="FootnoteTextChar"/>
    <w:uiPriority w:val="99"/>
    <w:semiHidden/>
    <w:unhideWhenUsed/>
    <w:rsid w:val="007578B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78B2"/>
    <w:rPr>
      <w:sz w:val="20"/>
      <w:szCs w:val="20"/>
    </w:rPr>
  </w:style>
  <w:style w:type="character" w:styleId="FootnoteReference">
    <w:name w:val="footnote reference"/>
    <w:basedOn w:val="DefaultParagraphFont"/>
    <w:uiPriority w:val="99"/>
    <w:semiHidden/>
    <w:unhideWhenUsed/>
    <w:rsid w:val="007578B2"/>
    <w:rPr>
      <w:vertAlign w:val="superscript"/>
    </w:rPr>
  </w:style>
  <w:style w:type="character" w:styleId="Hyperlink">
    <w:name w:val="Hyperlink"/>
    <w:basedOn w:val="DefaultParagraphFont"/>
    <w:uiPriority w:val="99"/>
    <w:unhideWhenUsed/>
    <w:rsid w:val="007578B2"/>
    <w:rPr>
      <w:color w:val="467886" w:themeColor="hyperlink"/>
      <w:u w:val="single"/>
    </w:rPr>
  </w:style>
  <w:style w:type="character" w:styleId="UnresolvedMention">
    <w:name w:val="Unresolved Mention"/>
    <w:basedOn w:val="DefaultParagraphFont"/>
    <w:uiPriority w:val="99"/>
    <w:semiHidden/>
    <w:unhideWhenUsed/>
    <w:rsid w:val="007578B2"/>
    <w:rPr>
      <w:color w:val="605E5C"/>
      <w:shd w:val="clear" w:color="auto" w:fill="E1DFDD"/>
    </w:rPr>
  </w:style>
  <w:style w:type="character" w:styleId="Strong">
    <w:name w:val="Strong"/>
    <w:basedOn w:val="DefaultParagraphFont"/>
    <w:uiPriority w:val="22"/>
    <w:qFormat/>
    <w:rsid w:val="002F228C"/>
    <w:rPr>
      <w:b/>
      <w:bCs/>
    </w:rPr>
  </w:style>
  <w:style w:type="paragraph" w:styleId="NormalWeb">
    <w:name w:val="Normal (Web)"/>
    <w:basedOn w:val="Normal"/>
    <w:uiPriority w:val="99"/>
    <w:unhideWhenUsed/>
    <w:rsid w:val="0028076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280766"/>
    <w:rPr>
      <w:i/>
      <w:iCs/>
    </w:rPr>
  </w:style>
  <w:style w:type="paragraph" w:styleId="BodyText">
    <w:name w:val="Body Text"/>
    <w:basedOn w:val="Normal"/>
    <w:link w:val="BodyTextChar"/>
    <w:uiPriority w:val="99"/>
    <w:semiHidden/>
    <w:unhideWhenUsed/>
    <w:rsid w:val="00280766"/>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99"/>
    <w:semiHidden/>
    <w:rsid w:val="00280766"/>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280766"/>
    <w:pPr>
      <w:spacing w:after="0" w:line="240" w:lineRule="auto"/>
    </w:pPr>
    <w:rPr>
      <w:rFonts w:ascii="Arial" w:eastAsia="Arial" w:hAnsi="Arial" w:cs="Arial"/>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1C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1CA1"/>
  </w:style>
  <w:style w:type="paragraph" w:styleId="Footer">
    <w:name w:val="footer"/>
    <w:basedOn w:val="Normal"/>
    <w:link w:val="FooterChar"/>
    <w:uiPriority w:val="99"/>
    <w:unhideWhenUsed/>
    <w:rsid w:val="00541C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1C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4944">
      <w:bodyDiv w:val="1"/>
      <w:marLeft w:val="0"/>
      <w:marRight w:val="0"/>
      <w:marTop w:val="0"/>
      <w:marBottom w:val="0"/>
      <w:divBdr>
        <w:top w:val="none" w:sz="0" w:space="0" w:color="auto"/>
        <w:left w:val="none" w:sz="0" w:space="0" w:color="auto"/>
        <w:bottom w:val="none" w:sz="0" w:space="0" w:color="auto"/>
        <w:right w:val="none" w:sz="0" w:space="0" w:color="auto"/>
      </w:divBdr>
    </w:div>
    <w:div w:id="584730553">
      <w:bodyDiv w:val="1"/>
      <w:marLeft w:val="0"/>
      <w:marRight w:val="0"/>
      <w:marTop w:val="0"/>
      <w:marBottom w:val="0"/>
      <w:divBdr>
        <w:top w:val="none" w:sz="0" w:space="0" w:color="auto"/>
        <w:left w:val="none" w:sz="0" w:space="0" w:color="auto"/>
        <w:bottom w:val="none" w:sz="0" w:space="0" w:color="auto"/>
        <w:right w:val="none" w:sz="0" w:space="0" w:color="auto"/>
      </w:divBdr>
    </w:div>
    <w:div w:id="1745907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thelawdictionary.org/jurisdi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B8462-4642-400F-81C0-4BEEA526C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10</Pages>
  <Words>3429</Words>
  <Characters>19547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Boniface  Mawira Karere</dc:creator>
  <cp:keywords/>
  <dc:description/>
  <cp:lastModifiedBy>super leo</cp:lastModifiedBy>
  <cp:revision>4</cp:revision>
  <dcterms:created xsi:type="dcterms:W3CDTF">2024-02-19T16:51:00Z</dcterms:created>
  <dcterms:modified xsi:type="dcterms:W3CDTF">2024-02-21T08:34:00Z</dcterms:modified>
</cp:coreProperties>
</file>