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62" w:lineRule="auto" w:line="253"/>
        <w:ind w:left="179"/>
        <w:jc w:val="center"/>
        <w:rPr>
          <w:rFonts w:ascii="Times New Roman" w:cs="Times New Roman" w:eastAsia="Times New Roman" w:hAnsi="Times New Roman"/>
          <w:color w:val="000000"/>
          <w:kern w:val="0"/>
          <w:sz w:val="24"/>
          <w:szCs w:val="24"/>
          <w14:ligatures xmlns:w14="http://schemas.microsoft.com/office/word/2010/wordml" w14:val="none"/>
        </w:rPr>
      </w:pPr>
      <w:r>
        <w:rPr>
          <w:rFonts w:ascii="Times New Roman" w:cs="Times New Roman" w:eastAsia="Times New Roman" w:hAnsi="Times New Roman"/>
          <w:noProof/>
          <w:color w:val="000000"/>
          <w:kern w:val="0"/>
          <w:sz w:val="24"/>
          <w:szCs w:val="24"/>
          <w14:ligatures xmlns:w14="http://schemas.microsoft.com/office/word/2010/wordml" w14:val="none"/>
        </w:rPr>
        <w:drawing>
          <wp:inline distL="0" distT="0" distB="0" distR="0">
            <wp:extent cx="1485900" cy="1619250"/>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485900" cy="1619250"/>
                    </a:xfrm>
                    <a:prstGeom prst="rect"/>
                    <a:ln>
                      <a:noFill/>
                    </a:ln>
                  </pic:spPr>
                </pic:pic>
              </a:graphicData>
            </a:graphic>
          </wp:inline>
        </w:drawing>
      </w:r>
      <w:r>
        <w:rPr>
          <w:rFonts w:ascii="Times New Roman" w:cs="Times New Roman" w:eastAsia="Times New Roman" w:hAnsi="Times New Roman"/>
          <w:color w:val="000000"/>
          <w:kern w:val="0"/>
          <w:sz w:val="24"/>
          <w:szCs w:val="24"/>
          <w14:ligatures xmlns:w14="http://schemas.microsoft.com/office/word/2010/wordml" w14:val="none"/>
        </w:rPr>
        <w:t xml:space="preserve"> </w:t>
      </w:r>
    </w:p>
    <w:p>
      <w:pPr>
        <w:pStyle w:val="style0"/>
        <w:spacing w:after="312" w:lineRule="auto" w:line="253"/>
        <w:ind w:left="25" w:right="81" w:hanging="10"/>
        <w:jc w:val="center"/>
        <w:rPr>
          <w:rFonts w:ascii="Times New Roman" w:cs="Times New Roman" w:eastAsia="Times New Roman" w:hAnsi="Times New Roman"/>
          <w:color w:val="000000"/>
          <w:kern w:val="0"/>
          <w:sz w:val="24"/>
          <w:szCs w:val="24"/>
          <w14:ligatures xmlns:w14="http://schemas.microsoft.com/office/word/2010/wordml" w14:val="none"/>
        </w:rPr>
      </w:pPr>
      <w:r>
        <w:rPr>
          <w:rFonts w:ascii="Times New Roman" w:cs="Times New Roman" w:eastAsia="Times New Roman" w:hAnsi="Times New Roman"/>
          <w:b/>
          <w:color w:val="000000"/>
          <w:kern w:val="0"/>
          <w:sz w:val="24"/>
          <w:szCs w:val="24"/>
          <w14:ligatures xmlns:w14="http://schemas.microsoft.com/office/word/2010/wordml" w14:val="none"/>
        </w:rPr>
        <w:t xml:space="preserve">THE KENYA SCHOOL OF LAW </w:t>
      </w:r>
    </w:p>
    <w:p>
      <w:pPr>
        <w:pStyle w:val="style0"/>
        <w:spacing w:after="312" w:lineRule="auto" w:line="253"/>
        <w:ind w:left="25" w:right="82" w:hanging="10"/>
        <w:jc w:val="center"/>
        <w:rPr>
          <w:rFonts w:ascii="Times New Roman" w:cs="Times New Roman" w:eastAsia="Times New Roman" w:hAnsi="Times New Roman"/>
          <w:color w:val="000000"/>
          <w:kern w:val="0"/>
          <w:sz w:val="24"/>
          <w:szCs w:val="24"/>
          <w14:ligatures xmlns:w14="http://schemas.microsoft.com/office/word/2010/wordml" w14:val="none"/>
        </w:rPr>
      </w:pPr>
      <w:r>
        <w:rPr>
          <w:rFonts w:ascii="Times New Roman" w:cs="Times New Roman" w:eastAsia="Times New Roman" w:hAnsi="Times New Roman"/>
          <w:b/>
          <w:color w:val="000000"/>
          <w:kern w:val="0"/>
          <w:sz w:val="24"/>
          <w:szCs w:val="24"/>
          <w14:ligatures xmlns:w14="http://schemas.microsoft.com/office/word/2010/wordml" w14:val="none"/>
        </w:rPr>
        <w:t xml:space="preserve">ADVOCATES TRAINING PROGRAMME  </w:t>
      </w:r>
    </w:p>
    <w:p>
      <w:pPr>
        <w:pStyle w:val="style0"/>
        <w:spacing w:after="312" w:lineRule="auto" w:line="253"/>
        <w:ind w:left="25" w:right="76" w:hanging="10"/>
        <w:jc w:val="center"/>
        <w:rPr>
          <w:rFonts w:ascii="Times New Roman" w:cs="Times New Roman" w:eastAsia="Times New Roman" w:hAnsi="Times New Roman"/>
          <w:color w:val="000000"/>
          <w:kern w:val="0"/>
          <w:sz w:val="24"/>
          <w:szCs w:val="24"/>
          <w14:ligatures xmlns:w14="http://schemas.microsoft.com/office/word/2010/wordml" w14:val="none"/>
        </w:rPr>
      </w:pPr>
      <w:r>
        <w:rPr>
          <w:rFonts w:ascii="Times New Roman" w:cs="Times New Roman" w:eastAsia="Times New Roman" w:hAnsi="Times New Roman"/>
          <w:b/>
          <w:color w:val="000000"/>
          <w:kern w:val="0"/>
          <w:sz w:val="24"/>
          <w:szCs w:val="24"/>
          <w14:ligatures xmlns:w14="http://schemas.microsoft.com/office/word/2010/wordml" w14:val="none"/>
        </w:rPr>
        <w:t xml:space="preserve">ACADEMIC YEAR: </w:t>
      </w:r>
      <w:r>
        <w:rPr>
          <w:rFonts w:ascii="Times New Roman" w:cs="Times New Roman" w:eastAsia="Times New Roman" w:hAnsi="Times New Roman"/>
          <w:b/>
          <w:color w:val="000000"/>
          <w:kern w:val="0"/>
          <w:sz w:val="24"/>
          <w:szCs w:val="24"/>
          <w14:ligatures xmlns:w14="http://schemas.microsoft.com/office/word/2010/wordml" w14:val="none"/>
        </w:rPr>
        <w:t xml:space="preserve">2022/2023 </w:t>
      </w:r>
    </w:p>
    <w:p>
      <w:pPr>
        <w:pStyle w:val="style0"/>
        <w:spacing w:after="312" w:lineRule="auto" w:line="253"/>
        <w:ind w:left="25" w:right="81" w:hanging="10"/>
        <w:jc w:val="center"/>
        <w:rPr>
          <w:rFonts w:ascii="Times New Roman" w:cs="Times New Roman" w:eastAsia="Times New Roman" w:hAnsi="Times New Roman"/>
          <w:color w:val="000000"/>
          <w:kern w:val="0"/>
          <w:sz w:val="24"/>
          <w:szCs w:val="24"/>
          <w14:ligatures xmlns:w14="http://schemas.microsoft.com/office/word/2010/wordml" w14:val="none"/>
        </w:rPr>
      </w:pPr>
      <w:r>
        <w:rPr>
          <w:rFonts w:ascii="Times New Roman" w:cs="Times New Roman" w:eastAsia="Times New Roman" w:hAnsi="Times New Roman"/>
          <w:b/>
          <w:color w:val="000000"/>
          <w:kern w:val="0"/>
          <w:sz w:val="24"/>
          <w:szCs w:val="24"/>
          <w14:ligatures xmlns:w14="http://schemas.microsoft.com/office/word/2010/wordml" w14:val="none"/>
        </w:rPr>
        <w:t xml:space="preserve">COURSE CODE: ATP 108 </w:t>
      </w:r>
    </w:p>
    <w:p>
      <w:pPr>
        <w:pStyle w:val="style0"/>
        <w:spacing w:after="312" w:lineRule="auto" w:line="253"/>
        <w:ind w:left="25" w:right="77" w:hanging="10"/>
        <w:jc w:val="center"/>
        <w:rPr>
          <w:rFonts w:ascii="Times New Roman" w:cs="Times New Roman" w:eastAsia="Times New Roman" w:hAnsi="Times New Roman"/>
          <w:color w:val="000000"/>
          <w:kern w:val="0"/>
          <w:sz w:val="24"/>
          <w:szCs w:val="24"/>
          <w14:ligatures xmlns:w14="http://schemas.microsoft.com/office/word/2010/wordml" w14:val="none"/>
        </w:rPr>
      </w:pPr>
      <w:r>
        <w:rPr>
          <w:rFonts w:ascii="Times New Roman" w:cs="Times New Roman" w:eastAsia="Times New Roman" w:hAnsi="Times New Roman"/>
          <w:b/>
          <w:color w:val="000000"/>
          <w:kern w:val="0"/>
          <w:sz w:val="24"/>
          <w:szCs w:val="24"/>
          <w14:ligatures xmlns:w14="http://schemas.microsoft.com/office/word/2010/wordml" w14:val="none"/>
        </w:rPr>
        <w:t xml:space="preserve">COMMERCIAL TRANSACTIONS </w:t>
      </w:r>
      <w:r>
        <w:rPr>
          <w:rFonts w:ascii="Times New Roman" w:cs="Times New Roman" w:eastAsia="Times New Roman" w:hAnsi="Times New Roman"/>
          <w:b/>
          <w:color w:val="000000"/>
          <w:kern w:val="0"/>
          <w:sz w:val="24"/>
          <w:szCs w:val="24"/>
          <w14:ligatures xmlns:w14="http://schemas.microsoft.com/office/word/2010/wordml" w14:val="none"/>
        </w:rPr>
        <w:t>ASSIGNMENT</w:t>
      </w:r>
      <w:r>
        <w:rPr>
          <w:rFonts w:ascii="Times New Roman" w:cs="Times New Roman" w:eastAsia="Times New Roman" w:hAnsi="Times New Roman"/>
          <w:b/>
          <w:color w:val="000000"/>
          <w:kern w:val="0"/>
          <w:sz w:val="24"/>
          <w:szCs w:val="24"/>
          <w14:ligatures xmlns:w14="http://schemas.microsoft.com/office/word/2010/wordml" w14:val="none"/>
        </w:rPr>
        <w:t xml:space="preserve"> </w:t>
      </w:r>
    </w:p>
    <w:p>
      <w:pPr>
        <w:pStyle w:val="style0"/>
        <w:spacing w:after="312" w:lineRule="auto" w:line="253"/>
        <w:ind w:left="25" w:right="76" w:hanging="10"/>
        <w:jc w:val="center"/>
        <w:rPr>
          <w:rFonts w:ascii="Times New Roman" w:cs="Times New Roman" w:eastAsia="Times New Roman" w:hAnsi="Times New Roman"/>
          <w:color w:val="000000"/>
          <w:kern w:val="0"/>
          <w:sz w:val="24"/>
          <w:szCs w:val="24"/>
          <w14:ligatures xmlns:w14="http://schemas.microsoft.com/office/word/2010/wordml" w14:val="none"/>
        </w:rPr>
      </w:pPr>
      <w:r>
        <w:rPr>
          <w:rFonts w:ascii="Times New Roman" w:cs="Times New Roman" w:eastAsia="Times New Roman" w:hAnsi="Times New Roman"/>
          <w:b/>
          <w:color w:val="000000"/>
          <w:kern w:val="0"/>
          <w:sz w:val="24"/>
          <w:szCs w:val="24"/>
          <w14:ligatures xmlns:w14="http://schemas.microsoft.com/office/word/2010/wordml" w14:val="none"/>
        </w:rPr>
        <w:t xml:space="preserve">COURSE INSTRUCTOR: MR. </w:t>
      </w:r>
      <w:r>
        <w:rPr>
          <w:rFonts w:ascii="Times New Roman" w:cs="Times New Roman" w:eastAsia="Times New Roman" w:hAnsi="Times New Roman"/>
          <w:b/>
          <w:color w:val="000000"/>
          <w:kern w:val="0"/>
          <w:sz w:val="24"/>
          <w:szCs w:val="24"/>
          <w14:ligatures xmlns:w14="http://schemas.microsoft.com/office/word/2010/wordml" w14:val="none"/>
        </w:rPr>
        <w:t>GEORGE MBAYE</w:t>
      </w:r>
      <w:r>
        <w:rPr>
          <w:rFonts w:ascii="Times New Roman" w:cs="Times New Roman" w:eastAsia="Times New Roman" w:hAnsi="Times New Roman"/>
          <w:color w:val="000000"/>
          <w:kern w:val="0"/>
          <w:sz w:val="24"/>
          <w:szCs w:val="24"/>
          <w14:ligatures xmlns:w14="http://schemas.microsoft.com/office/word/2010/wordml" w14:val="none"/>
        </w:rPr>
        <w:t xml:space="preserve"> </w:t>
      </w:r>
    </w:p>
    <w:p>
      <w:pPr>
        <w:pStyle w:val="style0"/>
        <w:spacing w:after="312" w:lineRule="auto" w:line="253"/>
        <w:ind w:left="25" w:right="78" w:hanging="10"/>
        <w:jc w:val="center"/>
        <w:rPr>
          <w:rFonts w:ascii="Times New Roman" w:cs="Times New Roman" w:eastAsia="Times New Roman" w:hAnsi="Times New Roman"/>
          <w:b/>
          <w:color w:val="000000"/>
          <w:kern w:val="0"/>
          <w:sz w:val="24"/>
          <w:szCs w:val="24"/>
          <w14:ligatures xmlns:w14="http://schemas.microsoft.com/office/word/2010/wordml" w14:val="none"/>
        </w:rPr>
      </w:pPr>
      <w:r>
        <w:rPr>
          <w:rFonts w:ascii="Times New Roman" w:cs="Times New Roman" w:eastAsia="Times New Roman" w:hAnsi="Times New Roman"/>
          <w:b/>
          <w:color w:val="000000"/>
          <w:kern w:val="0"/>
          <w:sz w:val="24"/>
          <w:szCs w:val="24"/>
          <w14:ligatures xmlns:w14="http://schemas.microsoft.com/office/word/2010/wordml" w14:val="none"/>
        </w:rPr>
        <w:t>FIRM 2</w:t>
      </w:r>
      <w:r>
        <w:rPr>
          <w:rFonts w:ascii="Times New Roman" w:cs="Times New Roman" w:eastAsia="Times New Roman" w:hAnsi="Times New Roman"/>
          <w:b/>
          <w:color w:val="000000"/>
          <w:kern w:val="0"/>
          <w:sz w:val="24"/>
          <w:szCs w:val="24"/>
          <w14:ligatures xmlns:w14="http://schemas.microsoft.com/office/word/2010/wordml" w14:val="none"/>
        </w:rPr>
        <w:t>, CLASS E</w:t>
      </w:r>
    </w:p>
    <w:p>
      <w:pPr>
        <w:pStyle w:val="style0"/>
        <w:spacing w:after="312" w:lineRule="auto" w:line="253"/>
        <w:ind w:left="25" w:right="78" w:hanging="10"/>
        <w:jc w:val="center"/>
        <w:rPr>
          <w:rFonts w:ascii="Times New Roman" w:cs="Times New Roman" w:eastAsia="Times New Roman" w:hAnsi="Times New Roman"/>
          <w:b/>
          <w:color w:val="000000"/>
          <w:kern w:val="0"/>
          <w:sz w:val="24"/>
          <w:szCs w:val="24"/>
          <w14:ligatures xmlns:w14="http://schemas.microsoft.com/office/word/2010/wordml" w14:val="none"/>
        </w:rPr>
      </w:pPr>
    </w:p>
    <w:tbl>
      <w:tblPr>
        <w:tblStyle w:val="style154"/>
        <w:tblW w:w="8635" w:type="dxa"/>
        <w:jc w:val="center"/>
        <w:tblInd w:w="0" w:type="dxa"/>
        <w:tblLook w:val="04A0" w:firstRow="1" w:lastRow="0" w:firstColumn="1" w:lastColumn="0" w:noHBand="0" w:noVBand="1"/>
      </w:tblPr>
      <w:tblGrid>
        <w:gridCol w:w="1733"/>
        <w:gridCol w:w="3503"/>
        <w:gridCol w:w="3400"/>
      </w:tblGrid>
      <w:tr>
        <w:trPr>
          <w:trHeight w:val="640" w:hRule="atLeast"/>
          <w:jc w:val="center"/>
        </w:trPr>
        <w:tc>
          <w:tcPr>
            <w:tcW w:w="979" w:type="dxa"/>
            <w:tcBorders>
              <w:top w:val="single" w:sz="4" w:space="0" w:color="auto"/>
              <w:left w:val="single" w:sz="4" w:space="0" w:color="auto"/>
              <w:bottom w:val="single" w:sz="4" w:space="0" w:color="auto"/>
              <w:right w:val="single" w:sz="4" w:space="0" w:color="auto"/>
            </w:tcBorders>
            <w:hideMark/>
          </w:tcPr>
          <w:p>
            <w:pPr>
              <w:pStyle w:val="style0"/>
              <w:spacing w:after="128" w:lineRule="auto" w:line="253"/>
              <w:ind w:right="77"/>
              <w:rPr>
                <w:rFonts w:ascii="Times New Roman" w:eastAsia="Times New Roman" w:hAnsi="Times New Roman"/>
                <w:b/>
                <w:color w:val="000000"/>
                <w:sz w:val="24"/>
                <w:szCs w:val="24"/>
              </w:rPr>
            </w:pPr>
            <w:r>
              <w:rPr>
                <w:rFonts w:ascii="Times New Roman" w:eastAsia="Times New Roman" w:hAnsi="Times New Roman"/>
                <w:b/>
                <w:color w:val="000000"/>
                <w:sz w:val="24"/>
                <w:szCs w:val="24"/>
              </w:rPr>
              <w:t>S/NO.</w:t>
            </w:r>
          </w:p>
        </w:tc>
        <w:tc>
          <w:tcPr>
            <w:tcW w:w="3941" w:type="dxa"/>
            <w:tcBorders>
              <w:top w:val="single" w:sz="4" w:space="0" w:color="auto"/>
              <w:left w:val="single" w:sz="4" w:space="0" w:color="auto"/>
              <w:bottom w:val="single" w:sz="4" w:space="0" w:color="auto"/>
              <w:right w:val="single" w:sz="4" w:space="0" w:color="auto"/>
            </w:tcBorders>
            <w:hideMark/>
          </w:tcPr>
          <w:p>
            <w:pPr>
              <w:pStyle w:val="style0"/>
              <w:spacing w:after="128" w:lineRule="auto" w:line="253"/>
              <w:ind w:right="77"/>
              <w:rPr>
                <w:rFonts w:ascii="Times New Roman" w:eastAsia="Times New Roman" w:hAnsi="Times New Roman"/>
                <w:b/>
                <w:color w:val="000000"/>
                <w:sz w:val="24"/>
                <w:szCs w:val="24"/>
              </w:rPr>
            </w:pPr>
            <w:r>
              <w:rPr>
                <w:rFonts w:ascii="Times New Roman" w:eastAsia="Times New Roman" w:hAnsi="Times New Roman"/>
                <w:b/>
                <w:color w:val="000000"/>
                <w:sz w:val="24"/>
                <w:szCs w:val="24"/>
              </w:rPr>
              <w:t>NAME</w:t>
            </w:r>
          </w:p>
        </w:tc>
        <w:tc>
          <w:tcPr>
            <w:tcW w:w="3715" w:type="dxa"/>
            <w:tcBorders>
              <w:top w:val="single" w:sz="4" w:space="0" w:color="auto"/>
              <w:left w:val="single" w:sz="4" w:space="0" w:color="auto"/>
              <w:bottom w:val="single" w:sz="4" w:space="0" w:color="auto"/>
              <w:right w:val="single" w:sz="4" w:space="0" w:color="auto"/>
            </w:tcBorders>
            <w:hideMark/>
          </w:tcPr>
          <w:p>
            <w:pPr>
              <w:pStyle w:val="style0"/>
              <w:spacing w:after="128" w:lineRule="auto" w:line="253"/>
              <w:ind w:right="77"/>
              <w:rPr>
                <w:rFonts w:ascii="Times New Roman" w:eastAsia="Times New Roman" w:hAnsi="Times New Roman"/>
                <w:b/>
                <w:color w:val="000000"/>
                <w:sz w:val="24"/>
                <w:szCs w:val="24"/>
              </w:rPr>
            </w:pPr>
            <w:r>
              <w:rPr>
                <w:rFonts w:ascii="Times New Roman" w:eastAsia="Times New Roman" w:hAnsi="Times New Roman"/>
                <w:b/>
                <w:color w:val="000000"/>
                <w:sz w:val="24"/>
                <w:szCs w:val="24"/>
              </w:rPr>
              <w:t>REGISTRATION NUMBER</w:t>
            </w:r>
          </w:p>
        </w:tc>
      </w:tr>
      <w:tr>
        <w:tblPrEx/>
        <w:trPr>
          <w:trHeight w:val="640" w:hRule="atLeast"/>
          <w:jc w:val="center"/>
        </w:trPr>
        <w:tc>
          <w:tcPr>
            <w:tcW w:w="979" w:type="dxa"/>
            <w:tcBorders>
              <w:top w:val="single" w:sz="4" w:space="0" w:color="auto"/>
              <w:left w:val="single" w:sz="4" w:space="0" w:color="auto"/>
              <w:bottom w:val="single" w:sz="4" w:space="0" w:color="auto"/>
              <w:right w:val="single" w:sz="4" w:space="0" w:color="auto"/>
            </w:tcBorders>
          </w:tcPr>
          <w:p>
            <w:pPr>
              <w:pStyle w:val="style0"/>
              <w:numPr>
                <w:ilvl w:val="0"/>
                <w:numId w:val="1"/>
              </w:numPr>
              <w:spacing w:after="128" w:lineRule="auto" w:line="253"/>
              <w:ind w:right="77"/>
              <w:jc w:val="both"/>
              <w:contextualSpacing/>
              <w:rPr>
                <w:rFonts w:ascii="Times New Roman" w:eastAsia="Times New Roman" w:hAnsi="Times New Roman"/>
                <w:b/>
                <w:color w:val="000000"/>
                <w:sz w:val="24"/>
                <w:szCs w:val="24"/>
              </w:rPr>
            </w:pPr>
          </w:p>
        </w:tc>
        <w:tc>
          <w:tcPr>
            <w:tcW w:w="3941" w:type="dxa"/>
            <w:tcBorders>
              <w:top w:val="single" w:sz="4" w:space="0" w:color="auto"/>
              <w:left w:val="single" w:sz="4" w:space="0" w:color="auto"/>
              <w:bottom w:val="single" w:sz="4" w:space="0" w:color="auto"/>
              <w:right w:val="single" w:sz="4" w:space="0" w:color="auto"/>
            </w:tcBorders>
            <w:hideMark/>
          </w:tcPr>
          <w:p>
            <w:pPr>
              <w:pStyle w:val="style0"/>
              <w:spacing w:after="128" w:lineRule="auto" w:line="253"/>
              <w:ind w:right="77"/>
              <w:rPr>
                <w:rFonts w:ascii="Times New Roman" w:eastAsia="Times New Roman" w:hAnsi="Times New Roman"/>
                <w:bCs/>
                <w:color w:val="000000"/>
                <w:sz w:val="24"/>
                <w:szCs w:val="24"/>
              </w:rPr>
            </w:pPr>
            <w:r>
              <w:rPr>
                <w:rFonts w:ascii="Times New Roman" w:eastAsia="Times New Roman" w:hAnsi="Times New Roman"/>
                <w:bCs/>
                <w:color w:val="000000"/>
                <w:sz w:val="24"/>
                <w:szCs w:val="24"/>
              </w:rPr>
              <w:t>OTIENO ROSELYNE AJWANG’</w:t>
            </w:r>
          </w:p>
        </w:tc>
        <w:tc>
          <w:tcPr>
            <w:tcW w:w="3715" w:type="dxa"/>
            <w:tcBorders>
              <w:top w:val="single" w:sz="4" w:space="0" w:color="auto"/>
              <w:left w:val="single" w:sz="4" w:space="0" w:color="auto"/>
              <w:bottom w:val="single" w:sz="4" w:space="0" w:color="auto"/>
              <w:right w:val="single" w:sz="4" w:space="0" w:color="auto"/>
            </w:tcBorders>
            <w:hideMark/>
          </w:tcPr>
          <w:p>
            <w:pPr>
              <w:pStyle w:val="style0"/>
              <w:spacing w:after="128" w:lineRule="auto" w:line="253"/>
              <w:ind w:right="77"/>
              <w:rPr>
                <w:rFonts w:ascii="Times New Roman" w:eastAsia="Times New Roman" w:hAnsi="Times New Roman"/>
                <w:bCs/>
                <w:color w:val="000000"/>
                <w:sz w:val="24"/>
                <w:szCs w:val="24"/>
              </w:rPr>
            </w:pPr>
          </w:p>
        </w:tc>
      </w:tr>
      <w:tr>
        <w:tblPrEx/>
        <w:trPr>
          <w:trHeight w:val="618" w:hRule="atLeast"/>
          <w:jc w:val="center"/>
        </w:trPr>
        <w:tc>
          <w:tcPr>
            <w:tcW w:w="979" w:type="dxa"/>
            <w:tcBorders>
              <w:top w:val="single" w:sz="4" w:space="0" w:color="auto"/>
              <w:left w:val="single" w:sz="4" w:space="0" w:color="auto"/>
              <w:bottom w:val="single" w:sz="4" w:space="0" w:color="auto"/>
              <w:right w:val="single" w:sz="4" w:space="0" w:color="auto"/>
            </w:tcBorders>
          </w:tcPr>
          <w:p>
            <w:pPr>
              <w:pStyle w:val="style0"/>
              <w:numPr>
                <w:ilvl w:val="0"/>
                <w:numId w:val="1"/>
              </w:numPr>
              <w:spacing w:after="128" w:lineRule="auto" w:line="253"/>
              <w:ind w:right="77"/>
              <w:jc w:val="both"/>
              <w:contextualSpacing/>
              <w:rPr>
                <w:rFonts w:ascii="Times New Roman" w:eastAsia="Times New Roman" w:hAnsi="Times New Roman"/>
                <w:bCs/>
                <w:color w:val="000000"/>
                <w:sz w:val="24"/>
                <w:szCs w:val="24"/>
              </w:rPr>
            </w:pPr>
          </w:p>
        </w:tc>
        <w:tc>
          <w:tcPr>
            <w:tcW w:w="3941" w:type="dxa"/>
            <w:tcBorders>
              <w:top w:val="single" w:sz="4" w:space="0" w:color="auto"/>
              <w:left w:val="single" w:sz="4" w:space="0" w:color="auto"/>
              <w:bottom w:val="single" w:sz="4" w:space="0" w:color="auto"/>
              <w:right w:val="single" w:sz="4" w:space="0" w:color="auto"/>
            </w:tcBorders>
            <w:hideMark/>
          </w:tcPr>
          <w:p>
            <w:pPr>
              <w:pStyle w:val="style0"/>
              <w:spacing w:after="128" w:lineRule="auto" w:line="253"/>
              <w:ind w:right="77"/>
              <w:rPr>
                <w:rFonts w:ascii="Times New Roman" w:eastAsia="Times New Roman" w:hAnsi="Times New Roman"/>
                <w:bCs/>
                <w:color w:val="000000"/>
                <w:sz w:val="24"/>
                <w:szCs w:val="24"/>
              </w:rPr>
            </w:pPr>
            <w:r>
              <w:rPr>
                <w:rFonts w:ascii="Times New Roman" w:eastAsia="Times New Roman" w:hAnsi="Times New Roman"/>
                <w:bCs/>
                <w:color w:val="000000"/>
                <w:sz w:val="24"/>
                <w:szCs w:val="24"/>
              </w:rPr>
              <w:t>OMOLO OTIENO</w:t>
            </w:r>
          </w:p>
        </w:tc>
        <w:tc>
          <w:tcPr>
            <w:tcW w:w="3715" w:type="dxa"/>
            <w:tcBorders>
              <w:top w:val="single" w:sz="4" w:space="0" w:color="auto"/>
              <w:left w:val="single" w:sz="4" w:space="0" w:color="auto"/>
              <w:bottom w:val="single" w:sz="4" w:space="0" w:color="auto"/>
              <w:right w:val="single" w:sz="4" w:space="0" w:color="auto"/>
            </w:tcBorders>
            <w:hideMark/>
          </w:tcPr>
          <w:p>
            <w:pPr>
              <w:pStyle w:val="style0"/>
              <w:spacing w:after="128" w:lineRule="auto" w:line="253"/>
              <w:ind w:right="77"/>
              <w:rPr>
                <w:rFonts w:ascii="Times New Roman" w:eastAsia="Times New Roman" w:hAnsi="Times New Roman"/>
                <w:bCs/>
                <w:color w:val="000000"/>
                <w:sz w:val="24"/>
                <w:szCs w:val="24"/>
              </w:rPr>
            </w:pPr>
          </w:p>
        </w:tc>
      </w:tr>
      <w:tr>
        <w:tblPrEx/>
        <w:trPr>
          <w:trHeight w:val="640" w:hRule="atLeast"/>
          <w:jc w:val="center"/>
        </w:trPr>
        <w:tc>
          <w:tcPr>
            <w:tcW w:w="979" w:type="dxa"/>
            <w:tcBorders>
              <w:top w:val="single" w:sz="4" w:space="0" w:color="auto"/>
              <w:left w:val="single" w:sz="4" w:space="0" w:color="auto"/>
              <w:bottom w:val="single" w:sz="4" w:space="0" w:color="auto"/>
              <w:right w:val="single" w:sz="4" w:space="0" w:color="auto"/>
            </w:tcBorders>
          </w:tcPr>
          <w:p>
            <w:pPr>
              <w:pStyle w:val="style0"/>
              <w:numPr>
                <w:ilvl w:val="0"/>
                <w:numId w:val="1"/>
              </w:numPr>
              <w:spacing w:after="128" w:lineRule="auto" w:line="253"/>
              <w:ind w:right="77"/>
              <w:jc w:val="both"/>
              <w:contextualSpacing/>
              <w:rPr>
                <w:rFonts w:ascii="Times New Roman" w:eastAsia="Times New Roman" w:hAnsi="Times New Roman"/>
                <w:bCs/>
                <w:color w:val="000000"/>
                <w:sz w:val="24"/>
                <w:szCs w:val="24"/>
              </w:rPr>
            </w:pPr>
          </w:p>
        </w:tc>
        <w:tc>
          <w:tcPr>
            <w:tcW w:w="3941" w:type="dxa"/>
            <w:tcBorders>
              <w:top w:val="single" w:sz="4" w:space="0" w:color="auto"/>
              <w:left w:val="single" w:sz="4" w:space="0" w:color="auto"/>
              <w:bottom w:val="single" w:sz="4" w:space="0" w:color="auto"/>
              <w:right w:val="single" w:sz="4" w:space="0" w:color="auto"/>
            </w:tcBorders>
            <w:hideMark/>
          </w:tcPr>
          <w:p>
            <w:pPr>
              <w:pStyle w:val="style0"/>
              <w:spacing w:after="128" w:lineRule="auto" w:line="253"/>
              <w:ind w:right="77"/>
              <w:rPr>
                <w:rFonts w:ascii="Times New Roman" w:eastAsia="Times New Roman" w:hAnsi="Times New Roman"/>
                <w:bCs/>
                <w:color w:val="000000"/>
                <w:sz w:val="24"/>
                <w:szCs w:val="24"/>
              </w:rPr>
            </w:pPr>
            <w:r>
              <w:rPr>
                <w:rFonts w:ascii="Times New Roman" w:eastAsia="Times New Roman" w:hAnsi="Times New Roman"/>
                <w:bCs/>
                <w:color w:val="000000"/>
                <w:sz w:val="24"/>
                <w:szCs w:val="24"/>
              </w:rPr>
              <w:t>ROBERT KIPROP</w:t>
            </w:r>
          </w:p>
        </w:tc>
        <w:tc>
          <w:tcPr>
            <w:tcW w:w="3715" w:type="dxa"/>
            <w:tcBorders>
              <w:top w:val="single" w:sz="4" w:space="0" w:color="auto"/>
              <w:left w:val="single" w:sz="4" w:space="0" w:color="auto"/>
              <w:bottom w:val="single" w:sz="4" w:space="0" w:color="auto"/>
              <w:right w:val="single" w:sz="4" w:space="0" w:color="auto"/>
            </w:tcBorders>
            <w:hideMark/>
          </w:tcPr>
          <w:p>
            <w:pPr>
              <w:pStyle w:val="style0"/>
              <w:spacing w:after="128" w:lineRule="auto" w:line="253"/>
              <w:ind w:right="77"/>
              <w:rPr>
                <w:rFonts w:ascii="Times New Roman" w:eastAsia="Times New Roman" w:hAnsi="Times New Roman"/>
                <w:bCs/>
                <w:color w:val="000000"/>
                <w:sz w:val="24"/>
                <w:szCs w:val="24"/>
              </w:rPr>
            </w:pPr>
          </w:p>
        </w:tc>
      </w:tr>
      <w:tr>
        <w:tblPrEx/>
        <w:trPr>
          <w:trHeight w:val="640" w:hRule="atLeast"/>
          <w:jc w:val="center"/>
        </w:trPr>
        <w:tc>
          <w:tcPr>
            <w:tcW w:w="979" w:type="dxa"/>
            <w:tcBorders>
              <w:top w:val="single" w:sz="4" w:space="0" w:color="auto"/>
              <w:left w:val="single" w:sz="4" w:space="0" w:color="auto"/>
              <w:bottom w:val="single" w:sz="4" w:space="0" w:color="auto"/>
              <w:right w:val="single" w:sz="4" w:space="0" w:color="auto"/>
            </w:tcBorders>
          </w:tcPr>
          <w:p>
            <w:pPr>
              <w:pStyle w:val="style0"/>
              <w:numPr>
                <w:ilvl w:val="0"/>
                <w:numId w:val="1"/>
              </w:numPr>
              <w:spacing w:after="128" w:lineRule="auto" w:line="253"/>
              <w:ind w:right="77"/>
              <w:jc w:val="both"/>
              <w:contextualSpacing/>
              <w:rPr>
                <w:rFonts w:ascii="Times New Roman" w:eastAsia="Times New Roman" w:hAnsi="Times New Roman"/>
                <w:bCs/>
                <w:color w:val="000000"/>
                <w:sz w:val="24"/>
                <w:szCs w:val="24"/>
              </w:rPr>
            </w:pPr>
          </w:p>
        </w:tc>
        <w:tc>
          <w:tcPr>
            <w:tcW w:w="3941" w:type="dxa"/>
            <w:tcBorders>
              <w:top w:val="single" w:sz="4" w:space="0" w:color="auto"/>
              <w:left w:val="single" w:sz="4" w:space="0" w:color="auto"/>
              <w:bottom w:val="single" w:sz="4" w:space="0" w:color="auto"/>
              <w:right w:val="single" w:sz="4" w:space="0" w:color="auto"/>
            </w:tcBorders>
            <w:hideMark/>
          </w:tcPr>
          <w:p>
            <w:pPr>
              <w:pStyle w:val="style0"/>
              <w:spacing w:after="128" w:lineRule="auto" w:line="253"/>
              <w:ind w:right="77"/>
              <w:rPr>
                <w:rFonts w:ascii="Times New Roman" w:eastAsia="Times New Roman" w:hAnsi="Times New Roman"/>
                <w:bCs/>
                <w:color w:val="000000"/>
                <w:sz w:val="24"/>
                <w:szCs w:val="24"/>
              </w:rPr>
            </w:pPr>
            <w:r>
              <w:rPr>
                <w:rFonts w:ascii="Times New Roman" w:eastAsia="Times New Roman" w:hAnsi="Times New Roman"/>
                <w:bCs/>
                <w:color w:val="000000"/>
                <w:sz w:val="24"/>
                <w:szCs w:val="24"/>
              </w:rPr>
              <w:t>WAFULA KERE</w:t>
            </w:r>
          </w:p>
        </w:tc>
        <w:tc>
          <w:tcPr>
            <w:tcW w:w="3715" w:type="dxa"/>
            <w:tcBorders>
              <w:top w:val="single" w:sz="4" w:space="0" w:color="auto"/>
              <w:left w:val="single" w:sz="4" w:space="0" w:color="auto"/>
              <w:bottom w:val="single" w:sz="4" w:space="0" w:color="auto"/>
              <w:right w:val="single" w:sz="4" w:space="0" w:color="auto"/>
            </w:tcBorders>
            <w:hideMark/>
          </w:tcPr>
          <w:p>
            <w:pPr>
              <w:pStyle w:val="style0"/>
              <w:spacing w:after="128" w:lineRule="auto" w:line="253"/>
              <w:ind w:right="77"/>
              <w:rPr>
                <w:rFonts w:ascii="Times New Roman" w:eastAsia="Times New Roman" w:hAnsi="Times New Roman"/>
                <w:bCs/>
                <w:color w:val="000000"/>
                <w:sz w:val="24"/>
                <w:szCs w:val="24"/>
              </w:rPr>
            </w:pPr>
          </w:p>
        </w:tc>
      </w:tr>
      <w:tr>
        <w:tblPrEx/>
        <w:trPr>
          <w:trHeight w:val="640" w:hRule="atLeast"/>
          <w:jc w:val="center"/>
        </w:trPr>
        <w:tc>
          <w:tcPr>
            <w:tcW w:w="979" w:type="dxa"/>
            <w:tcBorders>
              <w:top w:val="single" w:sz="4" w:space="0" w:color="auto"/>
              <w:left w:val="single" w:sz="4" w:space="0" w:color="auto"/>
              <w:bottom w:val="single" w:sz="4" w:space="0" w:color="auto"/>
              <w:right w:val="single" w:sz="4" w:space="0" w:color="auto"/>
            </w:tcBorders>
          </w:tcPr>
          <w:p>
            <w:pPr>
              <w:pStyle w:val="style0"/>
              <w:numPr>
                <w:ilvl w:val="0"/>
                <w:numId w:val="1"/>
              </w:numPr>
              <w:spacing w:after="128" w:lineRule="auto" w:line="253"/>
              <w:ind w:right="77"/>
              <w:jc w:val="both"/>
              <w:contextualSpacing/>
              <w:rPr>
                <w:rFonts w:ascii="Times New Roman" w:eastAsia="Times New Roman" w:hAnsi="Times New Roman"/>
                <w:bCs/>
                <w:color w:val="000000"/>
                <w:sz w:val="24"/>
                <w:szCs w:val="24"/>
              </w:rPr>
            </w:pPr>
          </w:p>
        </w:tc>
        <w:tc>
          <w:tcPr>
            <w:tcW w:w="3941" w:type="dxa"/>
            <w:tcBorders>
              <w:top w:val="single" w:sz="4" w:space="0" w:color="auto"/>
              <w:left w:val="single" w:sz="4" w:space="0" w:color="auto"/>
              <w:bottom w:val="single" w:sz="4" w:space="0" w:color="auto"/>
              <w:right w:val="single" w:sz="4" w:space="0" w:color="auto"/>
            </w:tcBorders>
            <w:hideMark/>
          </w:tcPr>
          <w:p>
            <w:pPr>
              <w:pStyle w:val="style0"/>
              <w:spacing w:after="128" w:lineRule="auto" w:line="253"/>
              <w:ind w:right="77"/>
              <w:rPr>
                <w:rFonts w:ascii="Times New Roman" w:eastAsia="Times New Roman" w:hAnsi="Times New Roman"/>
                <w:bCs/>
                <w:color w:val="000000"/>
                <w:sz w:val="24"/>
                <w:szCs w:val="24"/>
              </w:rPr>
            </w:pPr>
            <w:r>
              <w:rPr>
                <w:rFonts w:ascii="Times New Roman" w:eastAsia="Times New Roman" w:hAnsi="Times New Roman"/>
                <w:bCs/>
                <w:color w:val="000000"/>
                <w:sz w:val="24"/>
                <w:szCs w:val="24"/>
              </w:rPr>
              <w:t>ESTHER GIKONYO</w:t>
            </w:r>
          </w:p>
        </w:tc>
        <w:tc>
          <w:tcPr>
            <w:tcW w:w="3715" w:type="dxa"/>
            <w:tcBorders>
              <w:top w:val="single" w:sz="4" w:space="0" w:color="auto"/>
              <w:left w:val="single" w:sz="4" w:space="0" w:color="auto"/>
              <w:bottom w:val="single" w:sz="4" w:space="0" w:color="auto"/>
              <w:right w:val="single" w:sz="4" w:space="0" w:color="auto"/>
            </w:tcBorders>
            <w:hideMark/>
          </w:tcPr>
          <w:p>
            <w:pPr>
              <w:pStyle w:val="style0"/>
              <w:spacing w:after="128" w:lineRule="auto" w:line="253"/>
              <w:ind w:right="77"/>
              <w:rPr>
                <w:rFonts w:ascii="Times New Roman" w:eastAsia="Times New Roman" w:hAnsi="Times New Roman"/>
                <w:bCs/>
                <w:color w:val="000000"/>
                <w:sz w:val="24"/>
                <w:szCs w:val="24"/>
              </w:rPr>
            </w:pPr>
          </w:p>
        </w:tc>
      </w:tr>
      <w:tr>
        <w:tblPrEx/>
        <w:trPr>
          <w:trHeight w:val="640" w:hRule="atLeast"/>
          <w:jc w:val="center"/>
        </w:trPr>
        <w:tc>
          <w:tcPr>
            <w:tcW w:w="979" w:type="dxa"/>
            <w:tcBorders>
              <w:top w:val="single" w:sz="4" w:space="0" w:color="auto"/>
              <w:left w:val="single" w:sz="4" w:space="0" w:color="auto"/>
              <w:bottom w:val="single" w:sz="4" w:space="0" w:color="auto"/>
              <w:right w:val="single" w:sz="4" w:space="0" w:color="auto"/>
            </w:tcBorders>
          </w:tcPr>
          <w:p>
            <w:pPr>
              <w:pStyle w:val="style0"/>
              <w:numPr>
                <w:ilvl w:val="0"/>
                <w:numId w:val="1"/>
              </w:numPr>
              <w:spacing w:after="128" w:lineRule="auto" w:line="253"/>
              <w:ind w:right="77"/>
              <w:jc w:val="both"/>
              <w:contextualSpacing/>
              <w:rPr>
                <w:rFonts w:ascii="Times New Roman" w:eastAsia="Times New Roman" w:hAnsi="Times New Roman"/>
                <w:bCs/>
                <w:color w:val="000000"/>
                <w:sz w:val="24"/>
                <w:szCs w:val="24"/>
              </w:rPr>
            </w:pPr>
          </w:p>
        </w:tc>
        <w:tc>
          <w:tcPr>
            <w:tcW w:w="3941" w:type="dxa"/>
            <w:tcBorders>
              <w:top w:val="single" w:sz="4" w:space="0" w:color="auto"/>
              <w:left w:val="single" w:sz="4" w:space="0" w:color="auto"/>
              <w:bottom w:val="single" w:sz="4" w:space="0" w:color="auto"/>
              <w:right w:val="single" w:sz="4" w:space="0" w:color="auto"/>
            </w:tcBorders>
            <w:hideMark/>
          </w:tcPr>
          <w:p>
            <w:pPr>
              <w:pStyle w:val="style0"/>
              <w:spacing w:after="128" w:lineRule="auto" w:line="253"/>
              <w:ind w:right="77"/>
              <w:rPr>
                <w:rFonts w:ascii="Times New Roman" w:eastAsia="Times New Roman" w:hAnsi="Times New Roman"/>
                <w:bCs/>
                <w:color w:val="000000"/>
                <w:sz w:val="24"/>
                <w:szCs w:val="24"/>
              </w:rPr>
            </w:pPr>
            <w:r>
              <w:rPr>
                <w:rFonts w:ascii="Times New Roman" w:eastAsia="Times New Roman" w:hAnsi="Times New Roman"/>
                <w:bCs/>
                <w:color w:val="000000"/>
                <w:sz w:val="24"/>
                <w:szCs w:val="24"/>
              </w:rPr>
              <w:t>KHENDI PURITY WONYENE</w:t>
            </w:r>
          </w:p>
        </w:tc>
        <w:tc>
          <w:tcPr>
            <w:tcW w:w="3715" w:type="dxa"/>
            <w:tcBorders>
              <w:top w:val="single" w:sz="4" w:space="0" w:color="auto"/>
              <w:left w:val="single" w:sz="4" w:space="0" w:color="auto"/>
              <w:bottom w:val="single" w:sz="4" w:space="0" w:color="auto"/>
              <w:right w:val="single" w:sz="4" w:space="0" w:color="auto"/>
            </w:tcBorders>
            <w:hideMark/>
          </w:tcPr>
          <w:p>
            <w:pPr>
              <w:pStyle w:val="style0"/>
              <w:spacing w:after="128" w:lineRule="auto" w:line="253"/>
              <w:ind w:right="77"/>
              <w:rPr>
                <w:rFonts w:ascii="Times New Roman" w:eastAsia="Times New Roman" w:hAnsi="Times New Roman"/>
                <w:bCs/>
                <w:color w:val="000000"/>
                <w:sz w:val="24"/>
                <w:szCs w:val="24"/>
              </w:rPr>
            </w:pPr>
          </w:p>
        </w:tc>
      </w:tr>
      <w:tr>
        <w:tblPrEx/>
        <w:trPr>
          <w:trHeight w:val="618" w:hRule="atLeast"/>
          <w:jc w:val="center"/>
        </w:trPr>
        <w:tc>
          <w:tcPr>
            <w:tcW w:w="979" w:type="dxa"/>
            <w:tcBorders>
              <w:top w:val="single" w:sz="4" w:space="0" w:color="auto"/>
              <w:left w:val="single" w:sz="4" w:space="0" w:color="auto"/>
              <w:bottom w:val="single" w:sz="4" w:space="0" w:color="auto"/>
              <w:right w:val="single" w:sz="4" w:space="0" w:color="auto"/>
            </w:tcBorders>
          </w:tcPr>
          <w:p>
            <w:pPr>
              <w:pStyle w:val="style0"/>
              <w:numPr>
                <w:ilvl w:val="0"/>
                <w:numId w:val="1"/>
              </w:numPr>
              <w:spacing w:after="128" w:lineRule="auto" w:line="253"/>
              <w:ind w:right="77"/>
              <w:jc w:val="both"/>
              <w:contextualSpacing/>
              <w:rPr>
                <w:rFonts w:ascii="Times New Roman" w:eastAsia="Times New Roman" w:hAnsi="Times New Roman"/>
                <w:bCs/>
                <w:color w:val="000000"/>
                <w:sz w:val="24"/>
                <w:szCs w:val="24"/>
              </w:rPr>
            </w:pPr>
          </w:p>
        </w:tc>
        <w:tc>
          <w:tcPr>
            <w:tcW w:w="3941" w:type="dxa"/>
            <w:tcBorders>
              <w:top w:val="single" w:sz="4" w:space="0" w:color="auto"/>
              <w:left w:val="single" w:sz="4" w:space="0" w:color="auto"/>
              <w:bottom w:val="single" w:sz="4" w:space="0" w:color="auto"/>
              <w:right w:val="single" w:sz="4" w:space="0" w:color="auto"/>
            </w:tcBorders>
            <w:hideMark/>
          </w:tcPr>
          <w:p>
            <w:pPr>
              <w:pStyle w:val="style0"/>
              <w:spacing w:after="128" w:lineRule="auto" w:line="253"/>
              <w:ind w:right="77"/>
              <w:rPr>
                <w:rFonts w:ascii="Times New Roman" w:eastAsia="Times New Roman" w:hAnsi="Times New Roman"/>
                <w:bCs/>
                <w:color w:val="000000"/>
                <w:sz w:val="24"/>
                <w:szCs w:val="24"/>
              </w:rPr>
            </w:pPr>
            <w:r>
              <w:rPr>
                <w:rFonts w:ascii="Times New Roman" w:eastAsia="Times New Roman" w:hAnsi="Times New Roman"/>
                <w:bCs/>
                <w:color w:val="000000"/>
                <w:sz w:val="24"/>
                <w:szCs w:val="24"/>
              </w:rPr>
              <w:t>GLORIA MWAMURE</w:t>
            </w:r>
          </w:p>
        </w:tc>
        <w:tc>
          <w:tcPr>
            <w:tcW w:w="3715" w:type="dxa"/>
            <w:tcBorders>
              <w:top w:val="single" w:sz="4" w:space="0" w:color="auto"/>
              <w:left w:val="single" w:sz="4" w:space="0" w:color="auto"/>
              <w:bottom w:val="single" w:sz="4" w:space="0" w:color="auto"/>
              <w:right w:val="single" w:sz="4" w:space="0" w:color="auto"/>
            </w:tcBorders>
            <w:hideMark/>
          </w:tcPr>
          <w:p>
            <w:pPr>
              <w:pStyle w:val="style0"/>
              <w:spacing w:after="128" w:lineRule="auto" w:line="253"/>
              <w:ind w:right="77"/>
              <w:rPr>
                <w:rFonts w:ascii="Times New Roman" w:eastAsia="Times New Roman" w:hAnsi="Times New Roman"/>
                <w:bCs/>
                <w:color w:val="000000"/>
                <w:sz w:val="24"/>
                <w:szCs w:val="24"/>
              </w:rPr>
            </w:pPr>
          </w:p>
        </w:tc>
      </w:tr>
    </w:tbl>
    <w:p>
      <w:pPr>
        <w:pStyle w:val="style0"/>
        <w:spacing w:after="312" w:lineRule="auto" w:line="253"/>
        <w:ind w:left="25" w:right="78" w:hanging="10"/>
        <w:jc w:val="center"/>
        <w:rPr>
          <w:rFonts w:ascii="Times New Roman" w:cs="Times New Roman" w:eastAsia="Times New Roman" w:hAnsi="Times New Roman"/>
          <w:color w:val="000000"/>
          <w:kern w:val="0"/>
          <w:sz w:val="24"/>
          <w:szCs w:val="24"/>
          <w14:ligatures xmlns:w14="http://schemas.microsoft.com/office/word/2010/wordml" w14:val="none"/>
        </w:rPr>
      </w:pPr>
    </w:p>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LIST OF ABBREVIATIONS</w:t>
      </w:r>
    </w:p>
    <w:p>
      <w:pPr>
        <w:pStyle w:val="style179"/>
        <w:numPr>
          <w:ilvl w:val="0"/>
          <w:numId w:val="3"/>
        </w:numPr>
        <w:spacing w:lineRule="auto" w:line="360"/>
        <w:rPr>
          <w:rFonts w:ascii="Times New Roman" w:cs="Times New Roman" w:hAnsi="Times New Roman"/>
          <w:b/>
          <w:bCs/>
          <w:sz w:val="24"/>
          <w:szCs w:val="24"/>
        </w:rPr>
      </w:pPr>
      <w:r>
        <w:rPr>
          <w:rFonts w:ascii="Times New Roman" w:cs="Times New Roman" w:hAnsi="Times New Roman"/>
          <w:sz w:val="24"/>
          <w:szCs w:val="24"/>
        </w:rPr>
        <w:t xml:space="preserve">BIS - </w:t>
      </w:r>
      <w:r>
        <w:rPr>
          <w:rFonts w:ascii="Times New Roman" w:cs="Times New Roman" w:hAnsi="Times New Roman"/>
          <w:sz w:val="24"/>
          <w:szCs w:val="24"/>
        </w:rPr>
        <w:t xml:space="preserve">Bank of International settlements </w:t>
      </w:r>
    </w:p>
    <w:p>
      <w:pPr>
        <w:pStyle w:val="style179"/>
        <w:numPr>
          <w:ilvl w:val="0"/>
          <w:numId w:val="3"/>
        </w:numPr>
        <w:spacing w:lineRule="auto" w:line="360"/>
        <w:rPr>
          <w:rFonts w:ascii="Times New Roman" w:cs="Times New Roman" w:hAnsi="Times New Roman"/>
          <w:sz w:val="24"/>
          <w:szCs w:val="24"/>
        </w:rPr>
      </w:pPr>
      <w:r>
        <w:rPr>
          <w:rFonts w:ascii="Times New Roman" w:cs="Times New Roman" w:hAnsi="Times New Roman"/>
          <w:sz w:val="24"/>
          <w:szCs w:val="24"/>
        </w:rPr>
        <w:t>CBDC – Central Bank Digital Currency</w:t>
      </w:r>
    </w:p>
    <w:p>
      <w:pPr>
        <w:pStyle w:val="style179"/>
        <w:numPr>
          <w:ilvl w:val="0"/>
          <w:numId w:val="3"/>
        </w:numPr>
        <w:spacing w:lineRule="auto" w:line="360"/>
        <w:rPr>
          <w:rFonts w:ascii="Times New Roman" w:cs="Times New Roman" w:hAnsi="Times New Roman"/>
          <w:sz w:val="24"/>
          <w:szCs w:val="24"/>
        </w:rPr>
      </w:pPr>
      <w:r>
        <w:rPr>
          <w:rFonts w:ascii="Times New Roman" w:cs="Times New Roman" w:hAnsi="Times New Roman"/>
          <w:sz w:val="24"/>
          <w:szCs w:val="24"/>
        </w:rPr>
        <w:t>CBK – Central Bank of Kenya</w:t>
      </w:r>
    </w:p>
    <w:p>
      <w:pPr>
        <w:pStyle w:val="style179"/>
        <w:numPr>
          <w:ilvl w:val="0"/>
          <w:numId w:val="3"/>
        </w:numPr>
        <w:spacing w:lineRule="auto" w:line="360"/>
        <w:rPr>
          <w:rFonts w:ascii="Times New Roman" w:cs="Times New Roman" w:hAnsi="Times New Roman"/>
          <w:sz w:val="24"/>
          <w:szCs w:val="24"/>
        </w:rPr>
      </w:pPr>
      <w:r>
        <w:rPr>
          <w:rFonts w:ascii="Times New Roman" w:cs="Times New Roman" w:hAnsi="Times New Roman"/>
          <w:sz w:val="24"/>
          <w:szCs w:val="24"/>
        </w:rPr>
        <w:t>Electronic money – e-money</w:t>
      </w:r>
    </w:p>
    <w:p>
      <w:pPr>
        <w:pStyle w:val="style179"/>
        <w:numPr>
          <w:ilvl w:val="0"/>
          <w:numId w:val="3"/>
        </w:numPr>
        <w:spacing w:lineRule="auto" w:line="360"/>
        <w:rPr>
          <w:rFonts w:ascii="Times New Roman" w:cs="Times New Roman" w:hAnsi="Times New Roman"/>
          <w:sz w:val="24"/>
          <w:szCs w:val="24"/>
        </w:rPr>
      </w:pPr>
      <w:r>
        <w:rPr>
          <w:rFonts w:ascii="Times New Roman" w:cs="Times New Roman" w:hAnsi="Times New Roman"/>
          <w:sz w:val="24"/>
          <w:szCs w:val="24"/>
        </w:rPr>
        <w:t>GSC – Global Stable Coin</w:t>
      </w:r>
    </w:p>
    <w:p>
      <w:pPr>
        <w:pStyle w:val="style179"/>
        <w:numPr>
          <w:ilvl w:val="0"/>
          <w:numId w:val="3"/>
        </w:numPr>
        <w:spacing w:lineRule="auto" w:line="360"/>
        <w:rPr>
          <w:rFonts w:ascii="Times New Roman" w:cs="Times New Roman" w:hAnsi="Times New Roman"/>
          <w:sz w:val="24"/>
          <w:szCs w:val="24"/>
        </w:rPr>
      </w:pPr>
      <w:r>
        <w:rPr>
          <w:rFonts w:ascii="Times New Roman" w:cs="Times New Roman" w:hAnsi="Times New Roman"/>
          <w:sz w:val="24"/>
          <w:szCs w:val="24"/>
        </w:rPr>
        <w:t>IMF – International Monetary Fund</w:t>
      </w:r>
    </w:p>
    <w:p>
      <w:pPr>
        <w:pStyle w:val="style179"/>
        <w:numPr>
          <w:ilvl w:val="0"/>
          <w:numId w:val="3"/>
        </w:numPr>
        <w:spacing w:lineRule="auto" w:line="360"/>
        <w:rPr>
          <w:rFonts w:ascii="Times New Roman" w:cs="Times New Roman" w:hAnsi="Times New Roman"/>
          <w:sz w:val="24"/>
          <w:szCs w:val="24"/>
        </w:rPr>
      </w:pPr>
      <w:r>
        <w:rPr>
          <w:rFonts w:ascii="Times New Roman" w:cs="Times New Roman" w:hAnsi="Times New Roman"/>
          <w:sz w:val="24"/>
          <w:szCs w:val="24"/>
        </w:rPr>
        <w:t>PSPs – Payment Service Providers</w:t>
      </w: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 xml:space="preserve">QUESTION </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DISCUSS WHETHER CENTRAL BANK DIGITAL CURRENCY POSE A THREAT TO STATE SOVEREIGNITY</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INTRODUCTION</w:t>
      </w:r>
    </w:p>
    <w:p>
      <w:pPr>
        <w:pStyle w:val="style0"/>
        <w:spacing w:lineRule="auto" w:line="360"/>
        <w:jc w:val="both"/>
        <w:rPr>
          <w:rFonts w:ascii="Times New Roman" w:cs="Times New Roman" w:hAnsi="Times New Roman"/>
          <w:i/>
          <w:iCs/>
          <w:sz w:val="24"/>
          <w:szCs w:val="24"/>
        </w:rPr>
      </w:pPr>
      <w:r>
        <w:rPr>
          <w:rFonts w:ascii="Times New Roman" w:cs="Times New Roman" w:hAnsi="Times New Roman"/>
          <w:i/>
          <w:iCs/>
          <w:sz w:val="24"/>
          <w:szCs w:val="24"/>
        </w:rPr>
        <w:t>Monetary transformation through history have been driven by changing technology, changing tastes, economic growth and the demands to effectively satisfy the functions of money</w:t>
      </w:r>
      <w:r>
        <w:rPr>
          <w:rFonts w:ascii="Times New Roman" w:cs="Times New Roman" w:hAnsi="Times New Roman"/>
          <w:i/>
          <w:iCs/>
          <w:sz w:val="24"/>
          <w:szCs w:val="24"/>
        </w:rPr>
        <w:t>. Michael Bordo 19</w:t>
      </w:r>
      <w:r>
        <w:rPr>
          <w:rFonts w:ascii="Times New Roman" w:cs="Times New Roman" w:hAnsi="Times New Roman"/>
          <w:i/>
          <w:iCs/>
          <w:sz w:val="24"/>
          <w:szCs w:val="24"/>
          <w:vertAlign w:val="superscript"/>
        </w:rPr>
        <w:t>th</w:t>
      </w:r>
      <w:r>
        <w:rPr>
          <w:rFonts w:ascii="Times New Roman" w:cs="Times New Roman" w:hAnsi="Times New Roman"/>
          <w:i/>
          <w:iCs/>
          <w:sz w:val="24"/>
          <w:szCs w:val="24"/>
        </w:rPr>
        <w:t xml:space="preserve"> October 2021 (professor of economics, Rutgers University)</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New digital currencies have emerged to facilitate payment transactions across the continent. They include; e-money, cryptocurrency, stable coin and CBDC.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The concept of CBDC can be said to have been partially inspired by Bitcoin and similar blockchain based cryptocurrencies. It is also a known concept in the field of economics, whereby the central bank enables citizens to hold accounts with it, providing a reliable and safe public savings or payment medium. Which can either be wholesale or retail.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w:t>
      </w:r>
      <w:bookmarkStart w:id="0" w:name="_Hlk110133029"/>
      <w:r>
        <w:rPr>
          <w:rFonts w:ascii="Times New Roman" w:cs="Times New Roman" w:hAnsi="Times New Roman"/>
          <w:sz w:val="24"/>
          <w:szCs w:val="24"/>
        </w:rPr>
        <w:t xml:space="preserve"> </w:t>
      </w:r>
      <w:r>
        <w:rPr>
          <w:rFonts w:ascii="Times New Roman" w:cs="Times New Roman" w:hAnsi="Times New Roman"/>
          <w:sz w:val="24"/>
          <w:szCs w:val="24"/>
        </w:rPr>
        <w:t xml:space="preserve">BIS </w:t>
      </w:r>
      <w:bookmarkEnd w:id="0"/>
      <w:r>
        <w:rPr>
          <w:rFonts w:ascii="Times New Roman" w:cs="Times New Roman" w:hAnsi="Times New Roman"/>
          <w:sz w:val="24"/>
          <w:szCs w:val="24"/>
        </w:rPr>
        <w:t xml:space="preserve">published a report in December 2020 listing the known CBDC wholesale and retail projects at that time. </w:t>
      </w:r>
      <w:r>
        <w:rPr>
          <w:rFonts w:ascii="Times New Roman" w:cs="Times New Roman" w:hAnsi="Times New Roman"/>
          <w:sz w:val="24"/>
          <w:szCs w:val="24"/>
        </w:rPr>
        <w:t xml:space="preserve">The report estimated that </w:t>
      </w:r>
      <w:r>
        <w:rPr>
          <w:rFonts w:ascii="Times New Roman" w:cs="Times New Roman" w:hAnsi="Times New Roman"/>
          <w:sz w:val="24"/>
          <w:szCs w:val="24"/>
        </w:rPr>
        <w:t>y April 2021, there would be at least 80 central banks around the world that are looking at digital currencies</w:t>
      </w:r>
      <w:r>
        <w:rPr>
          <w:rStyle w:val="style38"/>
          <w:rFonts w:ascii="Times New Roman" w:cs="Times New Roman" w:hAnsi="Times New Roman"/>
          <w:sz w:val="24"/>
          <w:szCs w:val="24"/>
        </w:rPr>
        <w:footnoteReference w:id="1"/>
      </w:r>
      <w:r>
        <w:rPr>
          <w:rFonts w:ascii="Times New Roman" w:cs="Times New Roman" w:hAnsi="Times New Roman"/>
          <w:sz w:val="24"/>
          <w:szCs w:val="24"/>
        </w:rPr>
        <w: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In yet another survey carried out by BIS in 2020, it established </w:t>
      </w:r>
      <w:r>
        <w:rPr>
          <w:rFonts w:ascii="Times New Roman" w:cs="Times New Roman" w:hAnsi="Times New Roman"/>
          <w:sz w:val="24"/>
          <w:szCs w:val="24"/>
        </w:rPr>
        <w:t>that 86% of central banks were examining the advantages and disadvantages of launching CBDCs</w:t>
      </w:r>
      <w:r>
        <w:rPr>
          <w:rFonts w:ascii="Times New Roman" w:cs="Times New Roman" w:hAnsi="Times New Roman"/>
          <w:sz w:val="24"/>
          <w:szCs w:val="24"/>
        </w:rPr>
        <w:t xml:space="preserve"> in their various jurisdictions.</w:t>
      </w:r>
      <w:r>
        <w:rPr>
          <w:rStyle w:val="style38"/>
          <w:rFonts w:ascii="Times New Roman" w:cs="Times New Roman" w:hAnsi="Times New Roman"/>
          <w:sz w:val="24"/>
          <w:szCs w:val="24"/>
        </w:rPr>
        <w:footnoteReference w:id="2"/>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Many believe that conventional or fiat money may one day be a thing of the past, </w:t>
      </w:r>
      <w:r>
        <w:rPr>
          <w:rFonts w:ascii="Times New Roman" w:cs="Times New Roman" w:hAnsi="Times New Roman"/>
          <w:sz w:val="24"/>
          <w:szCs w:val="24"/>
        </w:rPr>
        <w:t xml:space="preserve">as </w:t>
      </w:r>
      <w:r>
        <w:rPr>
          <w:rFonts w:ascii="Times New Roman" w:cs="Times New Roman" w:hAnsi="Times New Roman"/>
          <w:sz w:val="24"/>
          <w:szCs w:val="24"/>
        </w:rPr>
        <w:t>they will be replaced by CBDCs.</w:t>
      </w:r>
      <w:r>
        <w:rPr>
          <w:rFonts w:ascii="Times New Roman" w:cs="Times New Roman" w:hAnsi="Times New Roman"/>
          <w:sz w:val="24"/>
          <w:szCs w:val="24"/>
        </w:rPr>
        <w:t xml:space="preserve">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At the initial stages, when discussions were undergoing pertaining the use of CBDCs, most central banks in various jurisdictions </w:t>
      </w:r>
      <w:r>
        <w:rPr>
          <w:rFonts w:ascii="Times New Roman" w:cs="Times New Roman" w:hAnsi="Times New Roman"/>
          <w:sz w:val="24"/>
          <w:szCs w:val="24"/>
        </w:rPr>
        <w:t>rais</w:t>
      </w:r>
      <w:r>
        <w:rPr>
          <w:rFonts w:ascii="Times New Roman" w:cs="Times New Roman" w:hAnsi="Times New Roman"/>
          <w:sz w:val="24"/>
          <w:szCs w:val="24"/>
        </w:rPr>
        <w:t>ed</w:t>
      </w:r>
      <w:r>
        <w:rPr>
          <w:rFonts w:ascii="Times New Roman" w:cs="Times New Roman" w:hAnsi="Times New Roman"/>
          <w:sz w:val="24"/>
          <w:szCs w:val="24"/>
        </w:rPr>
        <w:t xml:space="preserve"> fears </w:t>
      </w:r>
      <w:r>
        <w:rPr>
          <w:rFonts w:ascii="Times New Roman" w:cs="Times New Roman" w:hAnsi="Times New Roman"/>
          <w:sz w:val="24"/>
          <w:szCs w:val="24"/>
        </w:rPr>
        <w:t>of them</w:t>
      </w:r>
      <w:r>
        <w:rPr>
          <w:rFonts w:ascii="Times New Roman" w:cs="Times New Roman" w:hAnsi="Times New Roman"/>
          <w:sz w:val="24"/>
          <w:szCs w:val="24"/>
        </w:rPr>
        <w:t xml:space="preserve"> losing grip</w:t>
      </w:r>
      <w:r>
        <w:rPr>
          <w:rFonts w:ascii="Times New Roman" w:cs="Times New Roman" w:hAnsi="Times New Roman"/>
          <w:sz w:val="24"/>
          <w:szCs w:val="24"/>
        </w:rPr>
        <w:t xml:space="preserve"> over</w:t>
      </w:r>
      <w:r>
        <w:rPr>
          <w:rFonts w:ascii="Times New Roman" w:cs="Times New Roman" w:hAnsi="Times New Roman"/>
          <w:sz w:val="24"/>
          <w:szCs w:val="24"/>
        </w:rPr>
        <w:t xml:space="preserve"> money supply and payment systems and economic stability.</w:t>
      </w:r>
      <w:r>
        <w:rPr>
          <w:rFonts w:ascii="Times New Roman" w:cs="Times New Roman" w:hAnsi="Times New Roman"/>
          <w:sz w:val="24"/>
          <w:szCs w:val="24"/>
        </w:rPr>
        <w:t xml:space="preserve"> However, over time most jurisdictions developed interests in exploring CBDC. Some of the reasons for developing the interests include;</w:t>
      </w:r>
    </w:p>
    <w:p>
      <w:pPr>
        <w:pStyle w:val="style179"/>
        <w:numPr>
          <w:ilvl w:val="0"/>
          <w:numId w:val="12"/>
        </w:numPr>
        <w:spacing w:lineRule="auto" w:line="360"/>
        <w:jc w:val="both"/>
        <w:rPr>
          <w:rFonts w:ascii="Times New Roman" w:cs="Times New Roman" w:hAnsi="Times New Roman"/>
          <w:sz w:val="24"/>
          <w:szCs w:val="24"/>
        </w:rPr>
      </w:pPr>
      <w:r>
        <w:rPr>
          <w:rFonts w:ascii="Times New Roman" w:cs="Times New Roman" w:hAnsi="Times New Roman"/>
          <w:sz w:val="24"/>
          <w:szCs w:val="24"/>
        </w:rPr>
        <w:t>The need to popularize digital currencies since the usage of paper money was becoming dwindling.</w:t>
      </w:r>
    </w:p>
    <w:p>
      <w:pPr>
        <w:pStyle w:val="style179"/>
        <w:numPr>
          <w:ilvl w:val="0"/>
          <w:numId w:val="12"/>
        </w:numPr>
        <w:spacing w:lineRule="auto" w:line="360"/>
        <w:jc w:val="both"/>
        <w:rPr>
          <w:rFonts w:ascii="Times New Roman" w:cs="Times New Roman" w:hAnsi="Times New Roman"/>
          <w:sz w:val="24"/>
          <w:szCs w:val="24"/>
        </w:rPr>
      </w:pPr>
      <w:r>
        <w:rPr>
          <w:rFonts w:ascii="Times New Roman" w:cs="Times New Roman" w:hAnsi="Times New Roman"/>
          <w:sz w:val="24"/>
          <w:szCs w:val="24"/>
        </w:rPr>
        <w:t>Making the issuance of currencies more efficient by adopting CBDC.</w:t>
      </w:r>
    </w:p>
    <w:p>
      <w:pPr>
        <w:pStyle w:val="style179"/>
        <w:numPr>
          <w:ilvl w:val="0"/>
          <w:numId w:val="12"/>
        </w:numPr>
        <w:spacing w:lineRule="auto" w:line="360"/>
        <w:jc w:val="both"/>
        <w:rPr>
          <w:rFonts w:ascii="Times New Roman" w:cs="Times New Roman" w:hAnsi="Times New Roman"/>
          <w:sz w:val="24"/>
          <w:szCs w:val="24"/>
        </w:rPr>
      </w:pPr>
      <w:r>
        <w:rPr>
          <w:rFonts w:ascii="Times New Roman" w:cs="Times New Roman" w:hAnsi="Times New Roman"/>
          <w:sz w:val="24"/>
          <w:szCs w:val="24"/>
        </w:rPr>
        <w:t>Satisfying the curiosity of its citizens who had opted for private virtual currencies like bitcoin which are not regulated and are causing damages to the users.</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Central Bank Digital Currencies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This is a digital currency issued by the central bank and intended to serve as legal tender. It can also be described as </w:t>
      </w:r>
      <w:r>
        <w:rPr>
          <w:rFonts w:ascii="Times New Roman" w:cs="Times New Roman" w:hAnsi="Times New Roman"/>
          <w:sz w:val="24"/>
          <w:szCs w:val="24"/>
        </w:rPr>
        <w:t>a digital bank note.</w:t>
      </w:r>
      <w:r>
        <w:rPr>
          <w:rFonts w:ascii="Times New Roman" w:cs="Times New Roman" w:hAnsi="Times New Roman"/>
          <w:sz w:val="24"/>
          <w:szCs w:val="24"/>
        </w:rPr>
        <w:t xml:space="preserve"> Therefore, a digital currency is the electronic form of fiat money that a government issues to facilitate trade, thus it is only issued by the Central bank.</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Types of CBDCs</w:t>
      </w:r>
      <w:r>
        <w:rPr>
          <w:rStyle w:val="style38"/>
          <w:rFonts w:ascii="Times New Roman" w:cs="Times New Roman" w:hAnsi="Times New Roman"/>
          <w:b/>
          <w:bCs/>
          <w:sz w:val="24"/>
          <w:szCs w:val="24"/>
        </w:rPr>
        <w:footnoteReference w:id="3"/>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There are two major types of CBDCs. They include;</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i/>
          <w:iCs/>
          <w:sz w:val="24"/>
          <w:szCs w:val="24"/>
        </w:rPr>
        <w:t>Wholesale CBDC</w:t>
      </w:r>
      <w:r>
        <w:rPr>
          <w:rFonts w:ascii="Times New Roman" w:cs="Times New Roman" w:hAnsi="Times New Roman"/>
          <w:sz w:val="24"/>
          <w:szCs w:val="24"/>
        </w:rPr>
        <w:t xml:space="preserve"> which is only available to select institutions, mostly banks with accounts at the central bank, that is commercial banks. It is for financial institutions that hold reserve deposits with a central bank. It could be used to improve payments and securities settlement efficiency, as well as to reduce counterpart credit and liquidity risks.</w:t>
      </w:r>
    </w:p>
    <w:p>
      <w:pPr>
        <w:pStyle w:val="style0"/>
        <w:spacing w:lineRule="auto" w:line="360"/>
        <w:jc w:val="both"/>
        <w:rPr>
          <w:rFonts w:ascii="Times New Roman" w:cs="Times New Roman" w:hAnsi="Times New Roman"/>
          <w:sz w:val="24"/>
          <w:szCs w:val="24"/>
        </w:rPr>
      </w:pPr>
      <w:r>
        <w:rPr>
          <w:rFonts w:ascii="Times New Roman" w:cs="Times New Roman" w:hAnsi="Times New Roman"/>
          <w:b/>
          <w:bCs/>
          <w:i/>
          <w:iCs/>
          <w:sz w:val="24"/>
          <w:szCs w:val="24"/>
        </w:rPr>
        <w:t>R</w:t>
      </w:r>
      <w:r>
        <w:rPr>
          <w:rFonts w:ascii="Times New Roman" w:cs="Times New Roman" w:hAnsi="Times New Roman"/>
          <w:b/>
          <w:bCs/>
          <w:i/>
          <w:iCs/>
          <w:sz w:val="24"/>
          <w:szCs w:val="24"/>
        </w:rPr>
        <w:t>etail CBDC</w:t>
      </w:r>
      <w:r>
        <w:rPr>
          <w:rFonts w:ascii="Times New Roman" w:cs="Times New Roman" w:hAnsi="Times New Roman"/>
          <w:sz w:val="24"/>
          <w:szCs w:val="24"/>
        </w:rPr>
        <w:t xml:space="preserve"> on the other hand is one that will be issued for the general public.</w:t>
      </w:r>
      <w:r>
        <w:rPr>
          <w:rFonts w:ascii="Times New Roman" w:cs="Times New Roman" w:hAnsi="Times New Roman"/>
          <w:sz w:val="24"/>
          <w:szCs w:val="24"/>
        </w:rPr>
        <w:t xml:space="preserve"> It is</w:t>
      </w:r>
      <w:r>
        <w:rPr>
          <w:rFonts w:ascii="Times New Roman" w:cs="Times New Roman" w:hAnsi="Times New Roman"/>
          <w:sz w:val="24"/>
          <w:szCs w:val="24"/>
        </w:rPr>
        <w:t xml:space="preserve"> based on Distributed Ledger Technology (DLT) </w:t>
      </w:r>
      <w:r>
        <w:rPr>
          <w:rFonts w:ascii="Times New Roman" w:cs="Times New Roman" w:hAnsi="Times New Roman"/>
          <w:sz w:val="24"/>
          <w:szCs w:val="24"/>
        </w:rPr>
        <w:t xml:space="preserve">which </w:t>
      </w:r>
      <w:r>
        <w:rPr>
          <w:rFonts w:ascii="Times New Roman" w:cs="Times New Roman" w:hAnsi="Times New Roman"/>
          <w:sz w:val="24"/>
          <w:szCs w:val="24"/>
        </w:rPr>
        <w:t>has the features of anonymity, traceability, availability 24 hours a day and 365 days a year, and the feasibility of an interest rate application.</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Characteristics of CBDC</w:t>
      </w:r>
    </w:p>
    <w:p>
      <w:pPr>
        <w:pStyle w:val="style179"/>
        <w:numPr>
          <w:ilvl w:val="0"/>
          <w:numId w:val="14"/>
        </w:numPr>
        <w:spacing w:lineRule="auto" w:line="360"/>
        <w:jc w:val="both"/>
        <w:rPr>
          <w:rFonts w:ascii="Times New Roman" w:cs="Times New Roman" w:hAnsi="Times New Roman"/>
          <w:b/>
          <w:bCs/>
          <w:sz w:val="24"/>
          <w:szCs w:val="24"/>
        </w:rPr>
      </w:pPr>
      <w:r>
        <w:rPr>
          <w:rFonts w:ascii="Times New Roman" w:cs="Times New Roman" w:hAnsi="Times New Roman"/>
          <w:sz w:val="24"/>
          <w:szCs w:val="24"/>
        </w:rPr>
        <w:t>It is a high security digital instrument. Just like paper banknotes, it is a means of payment, a unit of account and a store of value. Each unit is uniquely identifiable to prevent counterfeiting just like the paper currency</w:t>
      </w:r>
      <w:r>
        <w:rPr>
          <w:rStyle w:val="style38"/>
          <w:rFonts w:ascii="Times New Roman" w:cs="Times New Roman" w:hAnsi="Times New Roman"/>
          <w:sz w:val="24"/>
          <w:szCs w:val="24"/>
        </w:rPr>
        <w:footnoteReference w:id="4"/>
      </w:r>
      <w:r>
        <w:rPr>
          <w:rFonts w:ascii="Times New Roman" w:cs="Times New Roman" w:hAnsi="Times New Roman"/>
          <w:sz w:val="24"/>
          <w:szCs w:val="24"/>
        </w:rPr>
        <w:t>.</w:t>
      </w:r>
    </w:p>
    <w:p>
      <w:pPr>
        <w:pStyle w:val="style179"/>
        <w:numPr>
          <w:ilvl w:val="0"/>
          <w:numId w:val="8"/>
        </w:numPr>
        <w:spacing w:lineRule="auto" w:line="360"/>
        <w:jc w:val="both"/>
        <w:rPr>
          <w:rFonts w:ascii="Times New Roman" w:cs="Times New Roman" w:hAnsi="Times New Roman"/>
          <w:sz w:val="24"/>
          <w:szCs w:val="24"/>
        </w:rPr>
      </w:pPr>
      <w:r>
        <w:rPr>
          <w:rFonts w:ascii="Times New Roman" w:cs="Times New Roman" w:hAnsi="Times New Roman"/>
          <w:sz w:val="24"/>
          <w:szCs w:val="24"/>
        </w:rPr>
        <w:t>Centralized bank accounts at the central bank for all the citizens.</w:t>
      </w:r>
      <w:r>
        <w:rPr>
          <w:rStyle w:val="style38"/>
          <w:rFonts w:ascii="Times New Roman" w:cs="Times New Roman" w:hAnsi="Times New Roman"/>
          <w:sz w:val="24"/>
          <w:szCs w:val="24"/>
        </w:rPr>
        <w:footnoteReference w:id="5"/>
      </w:r>
      <w:r>
        <w:rPr>
          <w:rFonts w:ascii="Times New Roman" w:cs="Times New Roman" w:hAnsi="Times New Roman"/>
          <w:sz w:val="24"/>
          <w:szCs w:val="24"/>
        </w:rPr>
        <w:t xml:space="preserve"> </w:t>
      </w:r>
    </w:p>
    <w:p>
      <w:pPr>
        <w:pStyle w:val="style179"/>
        <w:numPr>
          <w:ilvl w:val="0"/>
          <w:numId w:val="8"/>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It is can be stored, transferred and transmitted by all kinds of digital payment systems and services. It is argued that the validity of digital currency is independent of the digital payment systems storing and </w:t>
      </w:r>
      <w:r>
        <w:rPr>
          <w:rFonts w:ascii="Times New Roman" w:cs="Times New Roman" w:hAnsi="Times New Roman"/>
          <w:sz w:val="24"/>
          <w:szCs w:val="24"/>
        </w:rPr>
        <w:t>transferring the digital fiat currency.</w:t>
      </w:r>
      <w:r>
        <w:rPr>
          <w:rStyle w:val="style38"/>
          <w:rFonts w:ascii="Times New Roman" w:cs="Times New Roman" w:hAnsi="Times New Roman"/>
          <w:sz w:val="24"/>
          <w:szCs w:val="24"/>
        </w:rPr>
        <w:footnoteReference w:id="6"/>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How are CBDC used?</w:t>
      </w:r>
      <w:r>
        <w:rPr>
          <w:rStyle w:val="style38"/>
          <w:rFonts w:ascii="Times New Roman" w:cs="Times New Roman" w:hAnsi="Times New Roman"/>
          <w:b/>
          <w:bCs/>
          <w:sz w:val="24"/>
          <w:szCs w:val="24"/>
        </w:rPr>
        <w:footnoteReference w:id="7"/>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They can perform different functions and have different respective impacts on the financial system</w:t>
      </w:r>
      <w:r>
        <w:rPr>
          <w:rFonts w:ascii="Times New Roman" w:cs="Times New Roman" w:hAnsi="Times New Roman"/>
          <w:sz w:val="24"/>
          <w:szCs w:val="24"/>
        </w:rPr>
        <w:t>;</w:t>
      </w:r>
    </w:p>
    <w:p>
      <w:pPr>
        <w:pStyle w:val="style179"/>
        <w:numPr>
          <w:ilvl w:val="0"/>
          <w:numId w:val="11"/>
        </w:numPr>
        <w:spacing w:lineRule="auto" w:line="360"/>
        <w:jc w:val="both"/>
        <w:rPr>
          <w:rFonts w:ascii="Times New Roman" w:cs="Times New Roman" w:hAnsi="Times New Roman"/>
          <w:sz w:val="24"/>
          <w:szCs w:val="24"/>
        </w:rPr>
      </w:pPr>
      <w:r>
        <w:rPr>
          <w:rFonts w:ascii="Times New Roman" w:cs="Times New Roman" w:hAnsi="Times New Roman"/>
          <w:sz w:val="24"/>
          <w:szCs w:val="24"/>
        </w:rPr>
        <w:t>They can be used as cash only that they are in digital form.</w:t>
      </w:r>
    </w:p>
    <w:p>
      <w:pPr>
        <w:pStyle w:val="style179"/>
        <w:numPr>
          <w:ilvl w:val="0"/>
          <w:numId w:val="11"/>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Payment Systems. More citizens will be able to make their payments for their goods and services from anywhere at any time. In other words, it will be easily accessible since the monetary system is digitized. </w:t>
      </w:r>
    </w:p>
    <w:p>
      <w:pPr>
        <w:pStyle w:val="style179"/>
        <w:numPr>
          <w:ilvl w:val="0"/>
          <w:numId w:val="11"/>
        </w:numPr>
        <w:spacing w:lineRule="auto" w:line="360"/>
        <w:jc w:val="both"/>
        <w:rPr>
          <w:rFonts w:ascii="Times New Roman" w:cs="Times New Roman" w:hAnsi="Times New Roman"/>
          <w:sz w:val="24"/>
          <w:szCs w:val="24"/>
        </w:rPr>
      </w:pPr>
      <w:r>
        <w:rPr>
          <w:rFonts w:ascii="Times New Roman" w:cs="Times New Roman" w:hAnsi="Times New Roman"/>
          <w:sz w:val="24"/>
          <w:szCs w:val="24"/>
        </w:rPr>
        <w:t>Deposits –The role of commercial banks and their impact on the economy will change dramatically since citizens will now be allowed to make direct deposits with the central bank.</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Impact of CBDCs on the financial System</w:t>
      </w:r>
      <w:r>
        <w:rPr>
          <w:rStyle w:val="style38"/>
          <w:rFonts w:ascii="Times New Roman" w:cs="Times New Roman" w:hAnsi="Times New Roman"/>
          <w:b/>
          <w:bCs/>
          <w:sz w:val="24"/>
          <w:szCs w:val="24"/>
        </w:rPr>
        <w:footnoteReference w:id="8"/>
      </w:r>
    </w:p>
    <w:p>
      <w:pPr>
        <w:pStyle w:val="style0"/>
        <w:spacing w:lineRule="auto" w:line="360"/>
        <w:jc w:val="both"/>
        <w:rPr>
          <w:rFonts w:ascii="Times New Roman" w:cs="Times New Roman" w:hAnsi="Times New Roman"/>
          <w:sz w:val="24"/>
          <w:szCs w:val="24"/>
        </w:rPr>
      </w:pPr>
      <w:r>
        <w:rPr>
          <w:rFonts w:ascii="Times New Roman" w:cs="Times New Roman" w:hAnsi="Times New Roman"/>
          <w:b/>
          <w:bCs/>
          <w:i/>
          <w:iCs/>
          <w:sz w:val="24"/>
          <w:szCs w:val="24"/>
        </w:rPr>
        <w:t>Financial inclusion</w:t>
      </w:r>
      <w:r>
        <w:rPr>
          <w:rFonts w:ascii="Times New Roman" w:cs="Times New Roman" w:hAnsi="Times New Roman"/>
          <w:sz w:val="24"/>
          <w:szCs w:val="24"/>
        </w:rPr>
        <w:t xml:space="preserve"> – the inclusion of the crypto technology in the sphere of central banking permits fee reductions, the expansion of the payment </w:t>
      </w:r>
      <w:r>
        <w:rPr>
          <w:rFonts w:ascii="Times New Roman" w:cs="Times New Roman" w:hAnsi="Times New Roman"/>
          <w:sz w:val="24"/>
          <w:szCs w:val="24"/>
        </w:rPr>
        <w:t>infrastructure and a deeper integration of the banking system into the digitized economy.</w:t>
      </w:r>
    </w:p>
    <w:p>
      <w:pPr>
        <w:pStyle w:val="style0"/>
        <w:spacing w:lineRule="auto" w:line="360"/>
        <w:jc w:val="both"/>
        <w:rPr>
          <w:rFonts w:ascii="Times New Roman" w:cs="Times New Roman" w:hAnsi="Times New Roman"/>
          <w:sz w:val="24"/>
          <w:szCs w:val="24"/>
        </w:rPr>
      </w:pPr>
      <w:r>
        <w:rPr>
          <w:rFonts w:ascii="Times New Roman" w:cs="Times New Roman" w:hAnsi="Times New Roman"/>
          <w:b/>
          <w:bCs/>
          <w:i/>
          <w:iCs/>
          <w:sz w:val="24"/>
          <w:szCs w:val="24"/>
        </w:rPr>
        <w:t>Increasing fiscal policy efficiency</w:t>
      </w:r>
      <w:r>
        <w:rPr>
          <w:rFonts w:ascii="Times New Roman" w:cs="Times New Roman" w:hAnsi="Times New Roman"/>
          <w:sz w:val="24"/>
          <w:szCs w:val="24"/>
        </w:rPr>
        <w:t xml:space="preserve"> – blockchain technologies will expand the tools of supervisory bodies, increase cash flow transparency and improve the quality of collection and analysis of macroeconomic indicators.</w:t>
      </w:r>
    </w:p>
    <w:p>
      <w:pPr>
        <w:pStyle w:val="style0"/>
        <w:spacing w:lineRule="auto" w:line="360"/>
        <w:jc w:val="both"/>
        <w:rPr>
          <w:rFonts w:ascii="Times New Roman" w:cs="Times New Roman" w:hAnsi="Times New Roman"/>
          <w:sz w:val="24"/>
          <w:szCs w:val="24"/>
        </w:rPr>
      </w:pPr>
      <w:r>
        <w:rPr>
          <w:rFonts w:ascii="Times New Roman" w:cs="Times New Roman" w:hAnsi="Times New Roman"/>
          <w:b/>
          <w:bCs/>
          <w:i/>
          <w:iCs/>
          <w:sz w:val="24"/>
          <w:szCs w:val="24"/>
        </w:rPr>
        <w:t>Stability</w:t>
      </w:r>
      <w:r>
        <w:rPr>
          <w:rFonts w:ascii="Times New Roman" w:cs="Times New Roman" w:hAnsi="Times New Roman"/>
          <w:sz w:val="24"/>
          <w:szCs w:val="24"/>
        </w:rPr>
        <w:t xml:space="preserve"> – it is assumed to stabilize the financial system due to the factors mentioned above. </w:t>
      </w:r>
      <w:r>
        <w:rPr>
          <w:rFonts w:ascii="Times New Roman" w:cs="Times New Roman" w:hAnsi="Times New Roman"/>
          <w:sz w:val="24"/>
          <w:szCs w:val="24"/>
        </w:rPr>
        <w:t>In addition,</w:t>
      </w:r>
      <w:r>
        <w:rPr>
          <w:rFonts w:ascii="Times New Roman" w:cs="Times New Roman" w:hAnsi="Times New Roman"/>
          <w:sz w:val="24"/>
          <w:szCs w:val="24"/>
        </w:rPr>
        <w:t xml:space="preserve"> stability is promoted by increasing the central bank’s competitiveness compared to cryptocurrencies and large technological corporations. </w:t>
      </w:r>
    </w:p>
    <w:p>
      <w:pPr>
        <w:pStyle w:val="style0"/>
        <w:spacing w:lineRule="auto" w:line="360"/>
        <w:jc w:val="both"/>
        <w:rPr>
          <w:rFonts w:ascii="Times New Roman" w:cs="Times New Roman" w:hAnsi="Times New Roman"/>
          <w:sz w:val="24"/>
          <w:szCs w:val="24"/>
        </w:rPr>
      </w:pPr>
      <w:r>
        <w:rPr>
          <w:rFonts w:ascii="Times New Roman" w:cs="Times New Roman" w:hAnsi="Times New Roman"/>
          <w:b/>
          <w:bCs/>
          <w:i/>
          <w:iCs/>
          <w:sz w:val="24"/>
          <w:szCs w:val="24"/>
        </w:rPr>
        <w:t xml:space="preserve">Stimulation of national </w:t>
      </w:r>
      <w:r>
        <w:rPr>
          <w:rFonts w:ascii="Times New Roman" w:cs="Times New Roman" w:hAnsi="Times New Roman"/>
          <w:b/>
          <w:bCs/>
          <w:i/>
          <w:iCs/>
          <w:sz w:val="24"/>
          <w:szCs w:val="24"/>
        </w:rPr>
        <w:t>currency usage</w:t>
      </w:r>
      <w:r>
        <w:rPr>
          <w:rFonts w:ascii="Times New Roman" w:cs="Times New Roman" w:hAnsi="Times New Roman"/>
          <w:sz w:val="24"/>
          <w:szCs w:val="24"/>
        </w:rPr>
        <w:t>. This is especially crucial in countries whose economies are excessively tied to the US dollar.</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Differences between CBDCs and other forms Digital Currencies</w:t>
      </w:r>
      <w:r>
        <w:rPr>
          <w:rStyle w:val="style38"/>
          <w:rFonts w:ascii="Times New Roman" w:cs="Times New Roman" w:hAnsi="Times New Roman"/>
          <w:b/>
          <w:bCs/>
          <w:sz w:val="24"/>
          <w:szCs w:val="24"/>
        </w:rPr>
        <w:footnoteReference w:id="9"/>
      </w:r>
      <w:r>
        <w:rPr>
          <w:rFonts w:ascii="Times New Roman" w:cs="Times New Roman" w:hAnsi="Times New Roman"/>
          <w:b/>
          <w:bCs/>
          <w:sz w:val="24"/>
          <w:szCs w:val="24"/>
        </w:rPr>
        <w:t xml:space="preserve">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Are digital currencies cryptocurrencies?</w:t>
      </w:r>
      <w:r>
        <w:rPr>
          <w:rFonts w:ascii="Times New Roman" w:cs="Times New Roman" w:hAnsi="Times New Roman"/>
          <w:sz w:val="24"/>
          <w:szCs w:val="24"/>
        </w:rPr>
        <w:t xml:space="preserve"> To many people, they are. </w:t>
      </w:r>
      <w:r>
        <w:rPr>
          <w:rFonts w:ascii="Times New Roman" w:cs="Times New Roman" w:hAnsi="Times New Roman"/>
          <w:sz w:val="24"/>
          <w:szCs w:val="24"/>
        </w:rPr>
        <w:t xml:space="preserve">However, the two are different </w:t>
      </w:r>
      <w:r>
        <w:rPr>
          <w:rFonts w:ascii="Times New Roman" w:cs="Times New Roman" w:hAnsi="Times New Roman"/>
          <w:sz w:val="24"/>
          <w:szCs w:val="24"/>
        </w:rPr>
        <w:t>in terms of</w:t>
      </w:r>
      <w:r>
        <w:rPr>
          <w:rFonts w:ascii="Times New Roman" w:cs="Times New Roman" w:hAnsi="Times New Roman"/>
          <w:sz w:val="24"/>
          <w:szCs w:val="24"/>
        </w:rPr>
        <w:t xml:space="preserve"> use, regulation, volatility, stability and circulation</w:t>
      </w:r>
      <w:r>
        <w:rPr>
          <w:rFonts w:ascii="Times New Roman" w:cs="Times New Roman" w:hAnsi="Times New Roman"/>
          <w:sz w:val="24"/>
          <w:szCs w:val="24"/>
        </w:rPr>
        <w:t xml:space="preserve"> as discussed below;</w:t>
      </w:r>
    </w:p>
    <w:p>
      <w:pPr>
        <w:pStyle w:val="style179"/>
        <w:numPr>
          <w:ilvl w:val="0"/>
          <w:numId w:val="9"/>
        </w:numPr>
        <w:spacing w:lineRule="auto" w:line="360"/>
        <w:jc w:val="both"/>
        <w:rPr>
          <w:rFonts w:ascii="Times New Roman" w:cs="Times New Roman" w:hAnsi="Times New Roman"/>
          <w:b/>
          <w:bCs/>
          <w:i/>
          <w:iCs/>
          <w:sz w:val="24"/>
          <w:szCs w:val="24"/>
        </w:rPr>
      </w:pPr>
      <w:r>
        <w:rPr>
          <w:rFonts w:ascii="Times New Roman" w:cs="Times New Roman" w:hAnsi="Times New Roman"/>
          <w:b/>
          <w:bCs/>
          <w:i/>
          <w:iCs/>
          <w:sz w:val="24"/>
          <w:szCs w:val="24"/>
        </w:rPr>
        <w:t>Centralized vs decentralized</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CBDCs are issued by central banks, hence are legal tender and centralized. The government has control over the amount of CBDCs in circulation. This ensures no shortage or oversupply of digital currency</w:t>
      </w:r>
      <w:r>
        <w:rPr>
          <w:rFonts w:ascii="Times New Roman" w:cs="Times New Roman" w:hAnsi="Times New Roman"/>
          <w:sz w:val="24"/>
          <w:szCs w:val="24"/>
        </w:rPr>
        <w: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Cryptos</w:t>
      </w:r>
      <w:r>
        <w:rPr>
          <w:rFonts w:ascii="Times New Roman" w:cs="Times New Roman" w:hAnsi="Times New Roman"/>
          <w:sz w:val="24"/>
          <w:szCs w:val="24"/>
        </w:rPr>
        <w:t xml:space="preserve"> are </w:t>
      </w:r>
      <w:r>
        <w:rPr>
          <w:rFonts w:ascii="Times New Roman" w:cs="Times New Roman" w:hAnsi="Times New Roman"/>
          <w:sz w:val="24"/>
          <w:szCs w:val="24"/>
        </w:rPr>
        <w:t>generated by users themselves through a process called ‘mining’</w:t>
      </w:r>
      <w:r>
        <w:rPr>
          <w:rFonts w:ascii="Times New Roman" w:cs="Times New Roman" w:hAnsi="Times New Roman"/>
          <w:sz w:val="24"/>
          <w:szCs w:val="24"/>
        </w:rPr>
        <w:t>. T</w:t>
      </w:r>
      <w:r>
        <w:rPr>
          <w:rFonts w:ascii="Times New Roman" w:cs="Times New Roman" w:hAnsi="Times New Roman"/>
          <w:sz w:val="24"/>
          <w:szCs w:val="24"/>
        </w:rPr>
        <w:t xml:space="preserve">hey are not legal tender. </w:t>
      </w:r>
    </w:p>
    <w:p>
      <w:pPr>
        <w:pStyle w:val="style179"/>
        <w:numPr>
          <w:ilvl w:val="0"/>
          <w:numId w:val="9"/>
        </w:numPr>
        <w:spacing w:lineRule="auto" w:line="360"/>
        <w:jc w:val="both"/>
        <w:rPr>
          <w:rFonts w:ascii="Times New Roman" w:cs="Times New Roman" w:hAnsi="Times New Roman"/>
          <w:b/>
          <w:bCs/>
          <w:i/>
          <w:iCs/>
          <w:sz w:val="24"/>
          <w:szCs w:val="24"/>
        </w:rPr>
      </w:pPr>
      <w:r>
        <w:rPr>
          <w:rFonts w:ascii="Times New Roman" w:cs="Times New Roman" w:hAnsi="Times New Roman"/>
          <w:b/>
          <w:bCs/>
          <w:i/>
          <w:iCs/>
          <w:sz w:val="24"/>
          <w:szCs w:val="24"/>
        </w:rPr>
        <w:t>Regulated v</w:t>
      </w:r>
      <w:r>
        <w:rPr>
          <w:rFonts w:ascii="Times New Roman" w:cs="Times New Roman" w:hAnsi="Times New Roman"/>
          <w:b/>
          <w:bCs/>
          <w:i/>
          <w:iCs/>
          <w:sz w:val="24"/>
          <w:szCs w:val="24"/>
        </w:rPr>
        <w:t>s</w:t>
      </w:r>
      <w:r>
        <w:rPr>
          <w:rFonts w:ascii="Times New Roman" w:cs="Times New Roman" w:hAnsi="Times New Roman"/>
          <w:b/>
          <w:bCs/>
          <w:i/>
          <w:iCs/>
          <w:sz w:val="24"/>
          <w:szCs w:val="24"/>
        </w:rPr>
        <w:t xml:space="preserve"> Unregulated</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CBDCs - </w:t>
      </w:r>
      <w:r>
        <w:rPr>
          <w:rFonts w:ascii="Times New Roman" w:cs="Times New Roman" w:hAnsi="Times New Roman"/>
          <w:sz w:val="24"/>
          <w:szCs w:val="24"/>
        </w:rPr>
        <w:t>allows the central bank to address problems or issues</w:t>
      </w:r>
      <w:r>
        <w:rPr>
          <w:rFonts w:ascii="Times New Roman" w:cs="Times New Roman" w:hAnsi="Times New Roman"/>
          <w:sz w:val="24"/>
          <w:szCs w:val="24"/>
        </w:rPr>
        <w:t xml:space="preserve"> arising from transactions. The regulator has the power to freeze, flag or cancel certain transactions that violate financial laws.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C</w:t>
      </w:r>
      <w:r>
        <w:rPr>
          <w:rFonts w:ascii="Times New Roman" w:cs="Times New Roman" w:hAnsi="Times New Roman"/>
          <w:sz w:val="24"/>
          <w:szCs w:val="24"/>
        </w:rPr>
        <w:t>ryptocurrencies are regulated by their respective communities</w:t>
      </w:r>
      <w:r>
        <w:rPr>
          <w:rFonts w:ascii="Times New Roman" w:cs="Times New Roman" w:hAnsi="Times New Roman"/>
          <w:sz w:val="24"/>
          <w:szCs w:val="24"/>
        </w:rPr>
        <w:t xml:space="preserve"> thus a</w:t>
      </w:r>
      <w:r>
        <w:rPr>
          <w:rFonts w:ascii="Times New Roman" w:cs="Times New Roman" w:hAnsi="Times New Roman"/>
          <w:sz w:val="24"/>
          <w:szCs w:val="24"/>
        </w:rPr>
        <w:t>uthorities have no control over how and when they are used.</w:t>
      </w:r>
    </w:p>
    <w:p>
      <w:pPr>
        <w:pStyle w:val="style179"/>
        <w:numPr>
          <w:ilvl w:val="0"/>
          <w:numId w:val="9"/>
        </w:numPr>
        <w:spacing w:lineRule="auto" w:line="360"/>
        <w:jc w:val="both"/>
        <w:rPr>
          <w:rFonts w:ascii="Times New Roman" w:cs="Times New Roman" w:hAnsi="Times New Roman"/>
          <w:b/>
          <w:bCs/>
          <w:i/>
          <w:iCs/>
          <w:sz w:val="24"/>
          <w:szCs w:val="24"/>
        </w:rPr>
      </w:pPr>
      <w:r>
        <w:rPr>
          <w:rFonts w:ascii="Times New Roman" w:cs="Times New Roman" w:hAnsi="Times New Roman"/>
          <w:b/>
          <w:bCs/>
          <w:i/>
          <w:iCs/>
          <w:sz w:val="24"/>
          <w:szCs w:val="24"/>
        </w:rPr>
        <w:t>Stable vs Volatile</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central bank maintains the value of CBDC to minimize fluctuations that could upset the market/economy. This is done through a series of fiscal policies, usually in relation to other currencies, to stabilize the economy.</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For cryptos </w:t>
      </w:r>
      <w:r>
        <w:rPr>
          <w:rFonts w:ascii="Times New Roman" w:cs="Times New Roman" w:hAnsi="Times New Roman"/>
          <w:sz w:val="24"/>
          <w:szCs w:val="24"/>
        </w:rPr>
        <w:t>such as bitcoin, Ethereum or dogecoin, their value is determined by the laws of demand and supply. The more people buy a given cryptocurrency, the higher it is likely to cost.</w:t>
      </w:r>
      <w:r>
        <w:rPr>
          <w:rFonts w:ascii="Times New Roman" w:cs="Times New Roman" w:hAnsi="Times New Roman"/>
          <w:sz w:val="24"/>
          <w:szCs w:val="24"/>
        </w:rPr>
        <w:t xml:space="preserve"> </w:t>
      </w:r>
      <w:r>
        <w:rPr>
          <w:rFonts w:ascii="Times New Roman" w:cs="Times New Roman" w:hAnsi="Times New Roman"/>
          <w:sz w:val="24"/>
          <w:szCs w:val="24"/>
        </w:rPr>
        <w:t xml:space="preserve">The absence </w:t>
      </w:r>
      <w:r>
        <w:rPr>
          <w:rFonts w:ascii="Times New Roman" w:cs="Times New Roman" w:hAnsi="Times New Roman"/>
          <w:sz w:val="24"/>
          <w:szCs w:val="24"/>
        </w:rPr>
        <w:t>of central authority to control stability makes them highly volatile. In addition, experts say that High Volatility is also caused by a speculative ‘immature’ market in which the cryptos operate.</w:t>
      </w:r>
    </w:p>
    <w:p>
      <w:pPr>
        <w:pStyle w:val="style179"/>
        <w:numPr>
          <w:ilvl w:val="0"/>
          <w:numId w:val="9"/>
        </w:numPr>
        <w:spacing w:lineRule="auto" w:line="360"/>
        <w:jc w:val="both"/>
        <w:rPr>
          <w:rFonts w:ascii="Times New Roman" w:cs="Times New Roman" w:hAnsi="Times New Roman"/>
          <w:b/>
          <w:bCs/>
          <w:i/>
          <w:iCs/>
          <w:sz w:val="24"/>
          <w:szCs w:val="24"/>
        </w:rPr>
      </w:pPr>
      <w:r>
        <w:rPr>
          <w:rFonts w:ascii="Times New Roman" w:cs="Times New Roman" w:hAnsi="Times New Roman"/>
          <w:b/>
          <w:bCs/>
          <w:i/>
          <w:iCs/>
          <w:sz w:val="24"/>
          <w:szCs w:val="24"/>
        </w:rPr>
        <w:t>Universal acceptability</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Digital currencies</w:t>
      </w:r>
      <w:r>
        <w:rPr>
          <w:rFonts w:ascii="Times New Roman" w:cs="Times New Roman" w:hAnsi="Times New Roman"/>
          <w:sz w:val="24"/>
          <w:szCs w:val="24"/>
        </w:rPr>
        <w:t xml:space="preserve"> are</w:t>
      </w:r>
      <w:r>
        <w:rPr>
          <w:rFonts w:ascii="Times New Roman" w:cs="Times New Roman" w:hAnsi="Times New Roman"/>
          <w:sz w:val="24"/>
          <w:szCs w:val="24"/>
        </w:rPr>
        <w:t xml:space="preserve"> the electronic form of physical money</w:t>
      </w:r>
      <w:r>
        <w:rPr>
          <w:rFonts w:ascii="Times New Roman" w:cs="Times New Roman" w:hAnsi="Times New Roman"/>
          <w:sz w:val="24"/>
          <w:szCs w:val="24"/>
        </w:rPr>
        <w:t xml:space="preserve"> and </w:t>
      </w:r>
      <w:r>
        <w:rPr>
          <w:rFonts w:ascii="Times New Roman" w:cs="Times New Roman" w:hAnsi="Times New Roman"/>
          <w:sz w:val="24"/>
          <w:szCs w:val="24"/>
        </w:rPr>
        <w:t>can be operated between different banking systems. Hence, globally acceptable.</w:t>
      </w:r>
      <w:r>
        <w:rPr>
          <w:rFonts w:ascii="Times New Roman" w:cs="Times New Roman" w:hAnsi="Times New Roman"/>
          <w:sz w:val="24"/>
          <w:szCs w:val="24"/>
        </w:rPr>
        <w:t xml:space="preserve"> </w:t>
      </w:r>
      <w:r>
        <w:rPr>
          <w:rFonts w:ascii="Times New Roman" w:cs="Times New Roman" w:hAnsi="Times New Roman"/>
          <w:sz w:val="24"/>
          <w:szCs w:val="24"/>
        </w:rPr>
        <w:t xml:space="preserve">For instance, one can exchange </w:t>
      </w:r>
      <w:r>
        <w:rPr>
          <w:rFonts w:ascii="Times New Roman" w:cs="Times New Roman" w:hAnsi="Times New Roman"/>
          <w:sz w:val="24"/>
          <w:szCs w:val="24"/>
        </w:rPr>
        <w:t xml:space="preserve">a Kenyan CBDC with a different currency, say the </w:t>
      </w:r>
      <w:r>
        <w:rPr>
          <w:rFonts w:ascii="Times New Roman" w:cs="Times New Roman" w:hAnsi="Times New Roman"/>
          <w:sz w:val="24"/>
          <w:szCs w:val="24"/>
        </w:rPr>
        <w:t>Nigeria currency, naira</w:t>
      </w:r>
      <w:r>
        <w:rPr>
          <w:rFonts w:ascii="Times New Roman" w:cs="Times New Roman" w:hAnsi="Times New Roman"/>
          <w:sz w:val="24"/>
          <w:szCs w:val="24"/>
        </w:rPr>
        <w: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Cryptocurrencies can only be operated within the same blockchain that created them. This means that a bitcoin cannot be converted into Ethereum.</w:t>
      </w:r>
    </w:p>
    <w:p>
      <w:pPr>
        <w:pStyle w:val="style179"/>
        <w:numPr>
          <w:ilvl w:val="0"/>
          <w:numId w:val="9"/>
        </w:numPr>
        <w:spacing w:lineRule="auto" w:line="360"/>
        <w:jc w:val="both"/>
        <w:rPr>
          <w:rFonts w:ascii="Times New Roman" w:cs="Times New Roman" w:hAnsi="Times New Roman"/>
          <w:b/>
          <w:bCs/>
          <w:i/>
          <w:iCs/>
          <w:sz w:val="24"/>
          <w:szCs w:val="24"/>
        </w:rPr>
      </w:pPr>
      <w:r>
        <w:rPr>
          <w:rFonts w:ascii="Times New Roman" w:cs="Times New Roman" w:hAnsi="Times New Roman"/>
          <w:b/>
          <w:bCs/>
          <w:i/>
          <w:iCs/>
          <w:sz w:val="24"/>
          <w:szCs w:val="24"/>
        </w:rPr>
        <w:t>Confidential vs Transparent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For digital currencies, transactions are only available to the sender and the receiver and the host bank. This information is private and can only be made public through a court order.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Since cryptos use a decentralized ledger, details of all transactions are in the public domain. Anyone can access and track payments and transfers from one wallet to another.</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CBDCs in Kenya and Other Jurisdictions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introduction of CBDC has been under debate globally for the last few years, with some countries racing ahead to roll them out</w:t>
      </w:r>
      <w:r>
        <w:rPr>
          <w:rFonts w:ascii="Times New Roman" w:cs="Times New Roman" w:hAnsi="Times New Roman"/>
          <w:sz w:val="24"/>
          <w:szCs w:val="24"/>
        </w:rPr>
        <w:t xml:space="preserve">. </w:t>
      </w:r>
      <w:r>
        <w:rPr>
          <w:rFonts w:ascii="Times New Roman" w:cs="Times New Roman" w:hAnsi="Times New Roman"/>
          <w:sz w:val="24"/>
          <w:szCs w:val="24"/>
        </w:rPr>
        <w:t>According to IMF, almost 100 countries are actively evaluating CBDCs</w:t>
      </w:r>
      <w:r>
        <w:rPr>
          <w:rStyle w:val="style38"/>
          <w:rFonts w:ascii="Times New Roman" w:cs="Times New Roman" w:hAnsi="Times New Roman"/>
          <w:sz w:val="24"/>
          <w:szCs w:val="24"/>
        </w:rPr>
        <w:footnoteReference w:id="10"/>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China, Ghana, South Africa </w:t>
      </w:r>
      <w:r>
        <w:rPr>
          <w:rFonts w:ascii="Times New Roman" w:cs="Times New Roman" w:hAnsi="Times New Roman"/>
          <w:sz w:val="24"/>
          <w:szCs w:val="24"/>
        </w:rPr>
        <w:t xml:space="preserve">and Nigeria </w:t>
      </w:r>
      <w:r>
        <w:rPr>
          <w:rFonts w:ascii="Times New Roman" w:cs="Times New Roman" w:hAnsi="Times New Roman"/>
          <w:sz w:val="24"/>
          <w:szCs w:val="24"/>
        </w:rPr>
        <w:t xml:space="preserve">are among those running pilot tests.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For instance, Nigeria </w:t>
      </w:r>
      <w:r>
        <w:rPr>
          <w:rFonts w:ascii="Times New Roman" w:cs="Times New Roman" w:hAnsi="Times New Roman"/>
          <w:sz w:val="24"/>
          <w:szCs w:val="24"/>
        </w:rPr>
        <w:t>launched its eNaira CBDC pilot in October 2021</w:t>
      </w:r>
      <w:r>
        <w:rPr>
          <w:rStyle w:val="style38"/>
          <w:rFonts w:ascii="Times New Roman" w:cs="Times New Roman" w:hAnsi="Times New Roman"/>
          <w:sz w:val="24"/>
          <w:szCs w:val="24"/>
        </w:rPr>
        <w:footnoteReference w:id="11"/>
      </w:r>
      <w:r>
        <w:rPr>
          <w:rFonts w:ascii="Times New Roman" w:cs="Times New Roman" w:hAnsi="Times New Roman"/>
          <w:sz w:val="24"/>
          <w:szCs w:val="24"/>
        </w:rPr>
        <w:t xml:space="preserve">. Initially it was only open to bank account holder but currently it is open to the public. Nigeria already </w:t>
      </w:r>
      <w:r>
        <w:rPr>
          <w:rFonts w:ascii="Times New Roman" w:cs="Times New Roman" w:hAnsi="Times New Roman"/>
          <w:sz w:val="24"/>
          <w:szCs w:val="24"/>
        </w:rPr>
        <w:t>have</w:t>
      </w:r>
      <w:r>
        <w:rPr>
          <w:rFonts w:ascii="Times New Roman" w:cs="Times New Roman" w:hAnsi="Times New Roman"/>
          <w:sz w:val="24"/>
          <w:szCs w:val="24"/>
        </w:rPr>
        <w:t xml:space="preserve"> regulatory framework in place for their CBDC</w:t>
      </w:r>
      <w:r>
        <w:rPr>
          <w:rStyle w:val="style38"/>
          <w:rFonts w:ascii="Times New Roman" w:cs="Times New Roman" w:hAnsi="Times New Roman"/>
          <w:sz w:val="24"/>
          <w:szCs w:val="24"/>
        </w:rPr>
        <w:footnoteReference w:id="12"/>
      </w:r>
      <w:r>
        <w:rPr>
          <w:rFonts w:ascii="Times New Roman" w:cs="Times New Roman" w:hAnsi="Times New Roman"/>
          <w:sz w:val="24"/>
          <w:szCs w:val="24"/>
        </w:rPr>
        <w: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Kenya was not left out in introducing the same to the public </w:t>
      </w:r>
      <w:r>
        <w:rPr>
          <w:rFonts w:ascii="Times New Roman" w:cs="Times New Roman" w:hAnsi="Times New Roman"/>
          <w:sz w:val="24"/>
          <w:szCs w:val="24"/>
        </w:rPr>
        <w:t>for public participation.</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The CBK </w:t>
      </w:r>
      <w:r>
        <w:rPr>
          <w:rFonts w:ascii="Times New Roman" w:cs="Times New Roman" w:hAnsi="Times New Roman"/>
          <w:sz w:val="24"/>
          <w:szCs w:val="24"/>
        </w:rPr>
        <w:t xml:space="preserve">through a Discussion Paper on CBDC introduced digital currency to the citizens of Kenya where it sought the views of the public on adopting digital currency in the country. </w:t>
      </w:r>
      <w:r>
        <w:rPr>
          <w:rFonts w:ascii="Times New Roman" w:cs="Times New Roman" w:hAnsi="Times New Roman"/>
          <w:sz w:val="24"/>
          <w:szCs w:val="24"/>
        </w:rPr>
        <w:t xml:space="preserve">According to the bank, digital currency </w:t>
      </w:r>
      <w:r>
        <w:rPr>
          <w:rFonts w:ascii="Times New Roman" w:cs="Times New Roman" w:hAnsi="Times New Roman"/>
          <w:sz w:val="24"/>
          <w:szCs w:val="24"/>
        </w:rPr>
        <w:t>could ease cross-border payments and complement mobile money in the local market.</w:t>
      </w:r>
      <w:r>
        <w:rPr>
          <w:rStyle w:val="style38"/>
          <w:rFonts w:ascii="Times New Roman" w:cs="Times New Roman" w:hAnsi="Times New Roman"/>
          <w:sz w:val="24"/>
          <w:szCs w:val="24"/>
        </w:rPr>
        <w:footnoteReference w:id="13"/>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proposed CBDC will be a virtual version of the shilling, exchangeable on a one-to-one basis with the physical cash.</w:t>
      </w:r>
      <w:r>
        <w:rPr>
          <w:rFonts w:ascii="Times New Roman" w:cs="Times New Roman" w:hAnsi="Times New Roman"/>
          <w:sz w:val="24"/>
          <w:szCs w:val="24"/>
        </w:rPr>
        <w:t xml:space="preserve"> In addition, it will allow Kenyans to directly keep cash with the CBK, thus placing it in competition with commercial banks for deposits.</w:t>
      </w:r>
      <w:r>
        <w:rPr>
          <w:rFonts w:ascii="Times New Roman" w:cs="Times New Roman" w:hAnsi="Times New Roman"/>
          <w:sz w:val="24"/>
          <w:szCs w:val="24"/>
        </w:rPr>
        <w:t xml:space="preserve"> This would in turn lead to a migration of deposits from the commercial banks to the CBK.</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The CBK’s new role will be to keep track of holdings, transactions and </w:t>
      </w:r>
      <w:r>
        <w:rPr>
          <w:rFonts w:ascii="Times New Roman" w:cs="Times New Roman" w:hAnsi="Times New Roman"/>
          <w:sz w:val="24"/>
          <w:szCs w:val="24"/>
        </w:rPr>
        <w:t>settlement.</w:t>
      </w:r>
      <w:r>
        <w:rPr>
          <w:rStyle w:val="style38"/>
          <w:rFonts w:ascii="Times New Roman" w:cs="Times New Roman" w:hAnsi="Times New Roman"/>
          <w:sz w:val="24"/>
          <w:szCs w:val="24"/>
        </w:rPr>
        <w:footnoteReference w:id="14"/>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CBDC would significantly reduce the concentration of liquidity and credit risk in payment systems. This reduces the systematic importance of large banks and </w:t>
      </w:r>
      <w:r>
        <w:rPr>
          <w:rFonts w:ascii="Times New Roman" w:cs="Times New Roman" w:hAnsi="Times New Roman"/>
          <w:sz w:val="24"/>
          <w:szCs w:val="24"/>
        </w:rPr>
        <w:t>PSPs</w:t>
      </w:r>
      <w:r>
        <w:rPr>
          <w:rFonts w:ascii="Times New Roman" w:cs="Times New Roman" w:hAnsi="Times New Roman"/>
          <w:sz w:val="24"/>
          <w:szCs w:val="24"/>
        </w:rPr>
        <w:t>. However, the CBK would enter into direct competition with the banks and PSPs</w:t>
      </w:r>
      <w:r>
        <w:rPr>
          <w:rFonts w:ascii="Times New Roman" w:cs="Times New Roman" w:hAnsi="Times New Roman"/>
          <w:sz w:val="24"/>
          <w:szCs w:val="24"/>
        </w:rPr>
        <w:t xml:space="preserve"> it regulates.</w:t>
      </w:r>
      <w:r>
        <w:rPr>
          <w:rStyle w:val="style38"/>
          <w:rFonts w:ascii="Times New Roman" w:cs="Times New Roman" w:hAnsi="Times New Roman"/>
          <w:sz w:val="24"/>
          <w:szCs w:val="24"/>
        </w:rPr>
        <w:footnoteReference w:id="15"/>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paper also acknowledged that there could be a significant shift from deposits to CBDCs which can pose risks to financial stability.</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BENEFITS</w:t>
      </w:r>
      <w:r>
        <w:rPr>
          <w:rFonts w:ascii="Times New Roman" w:cs="Times New Roman" w:hAnsi="Times New Roman"/>
          <w:b/>
          <w:bCs/>
          <w:sz w:val="24"/>
          <w:szCs w:val="24"/>
        </w:rPr>
        <w:t xml:space="preserve"> of CBDCs</w:t>
      </w:r>
      <w:r>
        <w:rPr>
          <w:rStyle w:val="style38"/>
          <w:rFonts w:ascii="Times New Roman" w:cs="Times New Roman" w:hAnsi="Times New Roman"/>
          <w:b/>
          <w:bCs/>
          <w:sz w:val="24"/>
          <w:szCs w:val="24"/>
        </w:rPr>
        <w:footnoteReference w:id="16"/>
      </w:r>
    </w:p>
    <w:p>
      <w:pPr>
        <w:pStyle w:val="style179"/>
        <w:numPr>
          <w:ilvl w:val="0"/>
          <w:numId w:val="13"/>
        </w:numPr>
        <w:spacing w:lineRule="auto" w:line="360"/>
        <w:jc w:val="both"/>
        <w:rPr>
          <w:rFonts w:ascii="Times New Roman" w:cs="Times New Roman" w:hAnsi="Times New Roman"/>
          <w:sz w:val="24"/>
          <w:szCs w:val="24"/>
        </w:rPr>
      </w:pPr>
      <w:r>
        <w:rPr>
          <w:rFonts w:ascii="Times New Roman" w:cs="Times New Roman" w:hAnsi="Times New Roman"/>
          <w:b/>
          <w:bCs/>
          <w:i/>
          <w:iCs/>
          <w:sz w:val="24"/>
          <w:szCs w:val="24"/>
        </w:rPr>
        <w:t>Financial stability and payments resilience</w:t>
      </w:r>
      <w:r>
        <w:rPr>
          <w:rFonts w:ascii="Times New Roman" w:cs="Times New Roman" w:hAnsi="Times New Roman"/>
          <w:sz w:val="24"/>
          <w:szCs w:val="24"/>
        </w:rPr>
        <w:t>. They</w:t>
      </w:r>
      <w:r>
        <w:rPr>
          <w:rFonts w:ascii="Times New Roman" w:cs="Times New Roman" w:hAnsi="Times New Roman"/>
          <w:sz w:val="24"/>
          <w:szCs w:val="24"/>
        </w:rPr>
        <w:t xml:space="preserve"> enhance financial stability by contributing to resilience in payments</w:t>
      </w:r>
      <w:r>
        <w:rPr>
          <w:rFonts w:ascii="Times New Roman" w:cs="Times New Roman" w:hAnsi="Times New Roman"/>
          <w:sz w:val="24"/>
          <w:szCs w:val="24"/>
        </w:rPr>
        <w:t xml:space="preserve">, hence </w:t>
      </w:r>
      <w:r>
        <w:rPr>
          <w:rFonts w:ascii="Times New Roman" w:cs="Times New Roman" w:hAnsi="Times New Roman"/>
          <w:sz w:val="24"/>
          <w:szCs w:val="24"/>
        </w:rPr>
        <w:t>diversi</w:t>
      </w:r>
      <w:r>
        <w:rPr>
          <w:rFonts w:ascii="Times New Roman" w:cs="Times New Roman" w:hAnsi="Times New Roman"/>
          <w:sz w:val="24"/>
          <w:szCs w:val="24"/>
        </w:rPr>
        <w:t>ty in</w:t>
      </w:r>
      <w:r>
        <w:rPr>
          <w:rFonts w:ascii="Times New Roman" w:cs="Times New Roman" w:hAnsi="Times New Roman"/>
          <w:sz w:val="24"/>
          <w:szCs w:val="24"/>
        </w:rPr>
        <w:t xml:space="preserve"> the range of payment options.</w:t>
      </w:r>
    </w:p>
    <w:p>
      <w:pPr>
        <w:pStyle w:val="style179"/>
        <w:numPr>
          <w:ilvl w:val="0"/>
          <w:numId w:val="13"/>
        </w:numPr>
        <w:spacing w:lineRule="auto" w:line="360"/>
        <w:jc w:val="both"/>
        <w:rPr>
          <w:rFonts w:ascii="Times New Roman" w:cs="Times New Roman" w:hAnsi="Times New Roman"/>
          <w:sz w:val="24"/>
          <w:szCs w:val="24"/>
        </w:rPr>
      </w:pPr>
      <w:r>
        <w:rPr>
          <w:rFonts w:ascii="Times New Roman" w:cs="Times New Roman" w:hAnsi="Times New Roman"/>
          <w:b/>
          <w:bCs/>
          <w:i/>
          <w:iCs/>
          <w:sz w:val="24"/>
          <w:szCs w:val="24"/>
        </w:rPr>
        <w:t>Mitigating systemic risks</w:t>
      </w:r>
      <w:r>
        <w:rPr>
          <w:rFonts w:ascii="Times New Roman" w:cs="Times New Roman" w:hAnsi="Times New Roman"/>
          <w:sz w:val="24"/>
          <w:szCs w:val="24"/>
        </w:rPr>
        <w:t>. They</w:t>
      </w:r>
      <w:r>
        <w:rPr>
          <w:rFonts w:ascii="Times New Roman" w:cs="Times New Roman" w:hAnsi="Times New Roman"/>
          <w:sz w:val="24"/>
          <w:szCs w:val="24"/>
        </w:rPr>
        <w:t xml:space="preserve"> could make the financial system safer by allowing individuals, private sector companies and non-bank financial institutions to settle directly in central bank</w:t>
      </w:r>
      <w:r>
        <w:rPr>
          <w:rFonts w:ascii="Times New Roman" w:cs="Times New Roman" w:hAnsi="Times New Roman"/>
          <w:sz w:val="24"/>
          <w:szCs w:val="24"/>
        </w:rPr>
        <w:t xml:space="preserve"> money, rather than bank deposits. </w:t>
      </w:r>
    </w:p>
    <w:p>
      <w:pPr>
        <w:pStyle w:val="style179"/>
        <w:numPr>
          <w:ilvl w:val="0"/>
          <w:numId w:val="13"/>
        </w:numPr>
        <w:spacing w:lineRule="auto" w:line="360"/>
        <w:jc w:val="both"/>
        <w:rPr>
          <w:rFonts w:ascii="Times New Roman" w:cs="Times New Roman" w:hAnsi="Times New Roman"/>
          <w:sz w:val="24"/>
          <w:szCs w:val="24"/>
        </w:rPr>
      </w:pPr>
      <w:r>
        <w:rPr>
          <w:rFonts w:ascii="Times New Roman" w:cs="Times New Roman" w:hAnsi="Times New Roman"/>
          <w:b/>
          <w:bCs/>
          <w:i/>
          <w:iCs/>
          <w:sz w:val="24"/>
          <w:szCs w:val="24"/>
        </w:rPr>
        <w:t>Enhanced cross</w:t>
      </w:r>
      <w:r>
        <w:rPr>
          <w:rFonts w:ascii="Times New Roman" w:cs="Times New Roman" w:hAnsi="Times New Roman"/>
          <w:sz w:val="24"/>
          <w:szCs w:val="24"/>
        </w:rPr>
        <w:t xml:space="preserve"> </w:t>
      </w:r>
      <w:r>
        <w:rPr>
          <w:rFonts w:ascii="Times New Roman" w:cs="Times New Roman" w:hAnsi="Times New Roman"/>
          <w:b/>
          <w:bCs/>
          <w:i/>
          <w:iCs/>
          <w:sz w:val="24"/>
          <w:szCs w:val="24"/>
        </w:rPr>
        <w:t>border payments</w:t>
      </w:r>
      <w:r>
        <w:rPr>
          <w:rFonts w:ascii="Times New Roman" w:cs="Times New Roman" w:hAnsi="Times New Roman"/>
          <w:sz w:val="24"/>
          <w:szCs w:val="24"/>
        </w:rPr>
        <w:t>. I</w:t>
      </w:r>
      <w:r>
        <w:rPr>
          <w:rFonts w:ascii="Times New Roman" w:cs="Times New Roman" w:hAnsi="Times New Roman"/>
          <w:sz w:val="24"/>
          <w:szCs w:val="24"/>
        </w:rPr>
        <w:t xml:space="preserve">t could facilitate </w:t>
      </w:r>
      <w:r>
        <w:rPr>
          <w:rFonts w:ascii="Times New Roman" w:cs="Times New Roman" w:hAnsi="Times New Roman"/>
          <w:sz w:val="24"/>
          <w:szCs w:val="24"/>
        </w:rPr>
        <w:t>enhance</w:t>
      </w:r>
      <w:r>
        <w:rPr>
          <w:rFonts w:ascii="Times New Roman" w:cs="Times New Roman" w:hAnsi="Times New Roman"/>
          <w:sz w:val="24"/>
          <w:szCs w:val="24"/>
        </w:rPr>
        <w:t>d</w:t>
      </w:r>
      <w:r>
        <w:rPr>
          <w:rFonts w:ascii="Times New Roman" w:cs="Times New Roman" w:hAnsi="Times New Roman"/>
          <w:sz w:val="24"/>
          <w:szCs w:val="24"/>
        </w:rPr>
        <w:t xml:space="preserve"> cross-border payments through regional and global integration and cooperation. This can be done through designing domestic CBDCs around a common set of standards to support interoperability, or through the development of international payment infrastructures. </w:t>
      </w:r>
    </w:p>
    <w:p>
      <w:pPr>
        <w:pStyle w:val="style179"/>
        <w:numPr>
          <w:ilvl w:val="0"/>
          <w:numId w:val="13"/>
        </w:numPr>
        <w:spacing w:lineRule="auto" w:line="360"/>
        <w:jc w:val="both"/>
        <w:rPr>
          <w:rFonts w:ascii="Times New Roman" w:cs="Times New Roman" w:hAnsi="Times New Roman"/>
          <w:sz w:val="24"/>
          <w:szCs w:val="24"/>
        </w:rPr>
      </w:pPr>
      <w:r>
        <w:rPr>
          <w:rFonts w:ascii="Times New Roman" w:cs="Times New Roman" w:hAnsi="Times New Roman"/>
          <w:b/>
          <w:bCs/>
          <w:i/>
          <w:iCs/>
          <w:sz w:val="24"/>
          <w:szCs w:val="24"/>
        </w:rPr>
        <w:t>Consumer protection</w:t>
      </w:r>
      <w:r>
        <w:rPr>
          <w:rFonts w:ascii="Times New Roman" w:cs="Times New Roman" w:hAnsi="Times New Roman"/>
          <w:sz w:val="24"/>
          <w:szCs w:val="24"/>
        </w:rPr>
        <w:t>. T</w:t>
      </w:r>
      <w:r>
        <w:rPr>
          <w:rFonts w:ascii="Times New Roman" w:cs="Times New Roman" w:hAnsi="Times New Roman"/>
          <w:sz w:val="24"/>
          <w:szCs w:val="24"/>
        </w:rPr>
        <w:t xml:space="preserve">he growing interest in cryptocurrencies indicates increased demand for </w:t>
      </w:r>
      <w:r>
        <w:rPr>
          <w:rFonts w:ascii="Times New Roman" w:cs="Times New Roman" w:hAnsi="Times New Roman"/>
          <w:sz w:val="24"/>
          <w:szCs w:val="24"/>
        </w:rPr>
        <w:t>digital</w:t>
      </w:r>
      <w:r>
        <w:rPr>
          <w:rFonts w:ascii="Times New Roman" w:cs="Times New Roman" w:hAnsi="Times New Roman"/>
          <w:sz w:val="24"/>
          <w:szCs w:val="24"/>
        </w:rPr>
        <w:t xml:space="preserve"> financial services. CBDC could potentially shield the public from the </w:t>
      </w:r>
      <w:r>
        <w:rPr>
          <w:rFonts w:ascii="Times New Roman" w:cs="Times New Roman" w:hAnsi="Times New Roman"/>
          <w:sz w:val="24"/>
          <w:szCs w:val="24"/>
        </w:rPr>
        <w:t>risk of new forms of private money by providing safer and more trustworthy payment services than new forms of privately issued money-like instruments, such as stable coins.</w:t>
      </w:r>
    </w:p>
    <w:p>
      <w:pPr>
        <w:pStyle w:val="style179"/>
        <w:numPr>
          <w:ilvl w:val="0"/>
          <w:numId w:val="13"/>
        </w:numPr>
        <w:spacing w:lineRule="auto" w:line="360"/>
        <w:jc w:val="both"/>
        <w:rPr>
          <w:rFonts w:ascii="Times New Roman" w:cs="Times New Roman" w:hAnsi="Times New Roman"/>
          <w:sz w:val="24"/>
          <w:szCs w:val="24"/>
        </w:rPr>
      </w:pPr>
      <w:r>
        <w:rPr>
          <w:rFonts w:ascii="Times New Roman" w:cs="Times New Roman" w:hAnsi="Times New Roman"/>
          <w:b/>
          <w:bCs/>
          <w:i/>
          <w:iCs/>
          <w:sz w:val="24"/>
          <w:szCs w:val="24"/>
        </w:rPr>
        <w:t>Promoting innovation</w:t>
      </w:r>
      <w:r>
        <w:rPr>
          <w:rFonts w:ascii="Times New Roman" w:cs="Times New Roman" w:hAnsi="Times New Roman"/>
          <w:sz w:val="24"/>
          <w:szCs w:val="24"/>
        </w:rPr>
        <w:t>. A</w:t>
      </w:r>
      <w:r>
        <w:rPr>
          <w:rFonts w:ascii="Times New Roman" w:cs="Times New Roman" w:hAnsi="Times New Roman"/>
          <w:sz w:val="24"/>
          <w:szCs w:val="24"/>
        </w:rPr>
        <w:t xml:space="preserve">n open CBDC platform could allow a range of firms to innovate around CBDC related payment services and also be able to re-innovate the payment </w:t>
      </w:r>
      <w:r>
        <w:rPr>
          <w:rFonts w:ascii="Times New Roman" w:cs="Times New Roman" w:hAnsi="Times New Roman"/>
          <w:sz w:val="24"/>
          <w:szCs w:val="24"/>
        </w:rPr>
        <w:t>services they provide to consumers</w:t>
      </w:r>
      <w:r>
        <w:rPr>
          <w:rFonts w:ascii="Times New Roman" w:cs="Times New Roman" w:hAnsi="Times New Roman"/>
          <w:sz w:val="24"/>
          <w:szCs w:val="24"/>
        </w:rPr>
        <w:t>.</w:t>
      </w:r>
    </w:p>
    <w:p>
      <w:pPr>
        <w:pStyle w:val="style179"/>
        <w:numPr>
          <w:ilvl w:val="0"/>
          <w:numId w:val="13"/>
        </w:numPr>
        <w:spacing w:lineRule="auto" w:line="360"/>
        <w:jc w:val="both"/>
        <w:rPr>
          <w:rFonts w:ascii="Times New Roman" w:cs="Times New Roman" w:hAnsi="Times New Roman"/>
          <w:sz w:val="24"/>
          <w:szCs w:val="24"/>
        </w:rPr>
      </w:pPr>
      <w:r>
        <w:rPr>
          <w:rFonts w:ascii="Times New Roman" w:cs="Times New Roman" w:hAnsi="Times New Roman"/>
          <w:b/>
          <w:bCs/>
          <w:i/>
          <w:iCs/>
          <w:sz w:val="24"/>
          <w:szCs w:val="24"/>
        </w:rPr>
        <w:t>Financial inclusion</w:t>
      </w:r>
      <w:r>
        <w:rPr>
          <w:rFonts w:ascii="Times New Roman" w:cs="Times New Roman" w:hAnsi="Times New Roman"/>
          <w:sz w:val="24"/>
          <w:szCs w:val="24"/>
        </w:rPr>
        <w:t>.</w:t>
      </w:r>
      <w:r>
        <w:rPr>
          <w:rFonts w:ascii="Times New Roman" w:cs="Times New Roman" w:hAnsi="Times New Roman"/>
          <w:sz w:val="24"/>
          <w:szCs w:val="24"/>
        </w:rPr>
        <w:t xml:space="preserve"> CBDC is a ‘double–edged sword’ in relation to financial inclusion. A retail CBDC may be introduced to give those financially excluded in the current ecosystem access to a digital payments channel. However, users would require access to the underlying technology and the technical know-how, which could be a constraint for some </w:t>
      </w:r>
      <w:r>
        <w:rPr>
          <w:rFonts w:ascii="Times New Roman" w:cs="Times New Roman" w:hAnsi="Times New Roman"/>
          <w:sz w:val="24"/>
          <w:szCs w:val="24"/>
        </w:rPr>
        <w:t>citizens</w:t>
      </w:r>
      <w:r>
        <w:rPr>
          <w:rFonts w:ascii="Times New Roman" w:cs="Times New Roman" w:hAnsi="Times New Roman"/>
          <w:sz w:val="24"/>
          <w:szCs w:val="24"/>
        </w:rPr>
        <w:t xml:space="preserve">, ultimately excluding them.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However, there is potential for CBDC </w:t>
      </w:r>
      <w:r>
        <w:rPr>
          <w:rFonts w:ascii="Times New Roman" w:cs="Times New Roman" w:hAnsi="Times New Roman"/>
          <w:sz w:val="24"/>
          <w:szCs w:val="24"/>
        </w:rPr>
        <w:t>to enable the marginalized areas in the country to access a digital payments channel. This would require penetration of CBDC infrastructure in areas that have been marginalized by the private payment providers due to lack of market attraction.</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 xml:space="preserve">Risks </w:t>
      </w:r>
      <w:r>
        <w:rPr>
          <w:rFonts w:ascii="Times New Roman" w:cs="Times New Roman" w:hAnsi="Times New Roman"/>
          <w:b/>
          <w:bCs/>
          <w:sz w:val="24"/>
          <w:szCs w:val="24"/>
        </w:rPr>
        <w:t>of CBDCs</w:t>
      </w:r>
      <w:r>
        <w:rPr>
          <w:rStyle w:val="style38"/>
          <w:rFonts w:ascii="Times New Roman" w:cs="Times New Roman" w:hAnsi="Times New Roman"/>
          <w:b/>
          <w:bCs/>
          <w:sz w:val="24"/>
          <w:szCs w:val="24"/>
        </w:rPr>
        <w:footnoteReference w:id="17"/>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b/>
          <w:bCs/>
          <w:i/>
          <w:iCs/>
          <w:sz w:val="24"/>
          <w:szCs w:val="24"/>
        </w:rPr>
        <w:t>Disintermediating banks</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I</w:t>
      </w:r>
      <w:r>
        <w:rPr>
          <w:rFonts w:ascii="Times New Roman" w:cs="Times New Roman" w:hAnsi="Times New Roman"/>
          <w:sz w:val="24"/>
          <w:szCs w:val="24"/>
        </w:rPr>
        <w:t xml:space="preserve">f significant deposit balances are moved from bank deposits to CBDC, banks’ ability for credit creation could get constrained. Since central banks cannot provide credit to the private sector, the impact on the role of bank credit needs to </w:t>
      </w:r>
      <w:r>
        <w:rPr>
          <w:rFonts w:ascii="Times New Roman" w:cs="Times New Roman" w:hAnsi="Times New Roman"/>
          <w:sz w:val="24"/>
          <w:szCs w:val="24"/>
        </w:rPr>
        <w:t>be well understood. Further, as banks lose a significant volume of low-cost transaction deposits, their interest margin might come under stress leading to an increase in the cost of credit. However, these could be potentially mitigated by an instance where the CBDC is not interest bearing.</w:t>
      </w:r>
      <w:r>
        <w:rPr>
          <w:rStyle w:val="style38"/>
          <w:rFonts w:ascii="Times New Roman" w:cs="Times New Roman" w:hAnsi="Times New Roman"/>
          <w:sz w:val="24"/>
          <w:szCs w:val="24"/>
        </w:rPr>
        <w:footnoteReference w:id="18"/>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b/>
          <w:bCs/>
          <w:i/>
          <w:iCs/>
          <w:sz w:val="24"/>
          <w:szCs w:val="24"/>
        </w:rPr>
        <w:t>Financial exclusion</w:t>
      </w:r>
      <w:r>
        <w:rPr>
          <w:rFonts w:ascii="Times New Roman" w:cs="Times New Roman" w:hAnsi="Times New Roman"/>
          <w:sz w:val="24"/>
          <w:szCs w:val="24"/>
        </w:rPr>
        <w:t>.</w:t>
      </w:r>
      <w:r>
        <w:rPr>
          <w:rFonts w:ascii="Times New Roman" w:cs="Times New Roman" w:hAnsi="Times New Roman"/>
          <w:sz w:val="24"/>
          <w:szCs w:val="24"/>
        </w:rPr>
        <w:t xml:space="preserve"> CBDC can lead to financial exclusion if the required technological infrastructure and technical literacy is not accessible to all sections of the public. For Kenyans to access CBDC, they would require access to the underlying technology and the user know-how, which could be a constraint for some individuals.</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b/>
          <w:bCs/>
          <w:i/>
          <w:iCs/>
          <w:sz w:val="24"/>
          <w:szCs w:val="24"/>
        </w:rPr>
        <w:t>Monetary policy</w:t>
      </w:r>
      <w:r>
        <w:rPr>
          <w:rFonts w:ascii="Times New Roman" w:cs="Times New Roman" w:hAnsi="Times New Roman"/>
          <w:sz w:val="24"/>
          <w:szCs w:val="24"/>
        </w:rPr>
        <w:t xml:space="preserve">. </w:t>
      </w:r>
      <w:r>
        <w:rPr>
          <w:rFonts w:ascii="Times New Roman" w:cs="Times New Roman" w:hAnsi="Times New Roman"/>
          <w:sz w:val="24"/>
          <w:szCs w:val="24"/>
        </w:rPr>
        <w:t xml:space="preserve">CBDC, supplied in the same way as banknotes, would potentially have minimal </w:t>
      </w:r>
      <w:r>
        <w:rPr>
          <w:rFonts w:ascii="Times New Roman" w:cs="Times New Roman" w:hAnsi="Times New Roman"/>
          <w:sz w:val="24"/>
          <w:szCs w:val="24"/>
        </w:rPr>
        <w:t>implications on the implementation of monetary policy. Fundamentally, central banks would remain the monopoly supplier of reserves, cash and CBDC, and therefore continue to set related terms and conditions of these instruments and control monetary policy. However, CBDCs may bring about significant changes in the behavior of the holding public and therefore trigger a review of the monetary policy framework.</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b/>
          <w:bCs/>
          <w:i/>
          <w:iCs/>
          <w:sz w:val="24"/>
          <w:szCs w:val="24"/>
        </w:rPr>
        <w:t>Technology risk</w:t>
      </w:r>
      <w:r>
        <w:rPr>
          <w:rFonts w:ascii="Times New Roman" w:cs="Times New Roman" w:hAnsi="Times New Roman"/>
          <w:sz w:val="24"/>
          <w:szCs w:val="24"/>
        </w:rPr>
        <w:t xml:space="preserve">. </w:t>
      </w:r>
      <w:r>
        <w:rPr>
          <w:rFonts w:ascii="Times New Roman" w:cs="Times New Roman" w:hAnsi="Times New Roman"/>
          <w:sz w:val="24"/>
          <w:szCs w:val="24"/>
        </w:rPr>
        <w:t xml:space="preserve">CBDC infrastructure could present an appealing target for cyberattacks and other security threats including data privacy </w:t>
      </w:r>
      <w:r>
        <w:rPr>
          <w:rFonts w:ascii="Times New Roman" w:cs="Times New Roman" w:hAnsi="Times New Roman"/>
          <w:sz w:val="24"/>
          <w:szCs w:val="24"/>
        </w:rPr>
        <w:t>issues. Further, in countries with lower financial literacy levels, the increase in digital payment related fraud may also spread to CBDCs.</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b/>
          <w:bCs/>
          <w:i/>
          <w:iCs/>
          <w:sz w:val="24"/>
          <w:szCs w:val="24"/>
        </w:rPr>
        <w:t>Data privacy balance</w:t>
      </w:r>
      <w:r>
        <w:rPr>
          <w:rFonts w:ascii="Times New Roman" w:cs="Times New Roman" w:hAnsi="Times New Roman"/>
          <w:sz w:val="24"/>
          <w:szCs w:val="24"/>
        </w:rPr>
        <w:t xml:space="preserve">. </w:t>
      </w:r>
      <w:r>
        <w:rPr>
          <w:rFonts w:ascii="Times New Roman" w:cs="Times New Roman" w:hAnsi="Times New Roman"/>
          <w:sz w:val="24"/>
          <w:szCs w:val="24"/>
        </w:rPr>
        <w:t xml:space="preserve">CBDC could be designed requiring CBDC holders to provide the central bank with detailed information about themselves and their transactions. This approach would minimize money-laundering risks but would raise significant privacy concerns. </w:t>
      </w:r>
      <w:r>
        <w:rPr>
          <w:rFonts w:ascii="Times New Roman" w:cs="Times New Roman" w:hAnsi="Times New Roman"/>
          <w:sz w:val="24"/>
          <w:szCs w:val="24"/>
        </w:rPr>
        <w:t xml:space="preserve">It </w:t>
      </w:r>
      <w:r>
        <w:rPr>
          <w:rFonts w:ascii="Times New Roman" w:cs="Times New Roman" w:hAnsi="Times New Roman"/>
          <w:sz w:val="24"/>
          <w:szCs w:val="24"/>
        </w:rPr>
        <w:t xml:space="preserve">could be designed </w:t>
      </w:r>
      <w:r>
        <w:rPr>
          <w:rFonts w:ascii="Times New Roman" w:cs="Times New Roman" w:hAnsi="Times New Roman"/>
          <w:sz w:val="24"/>
          <w:szCs w:val="24"/>
        </w:rPr>
        <w:t xml:space="preserve">to </w:t>
      </w:r>
      <w:r>
        <w:rPr>
          <w:rFonts w:ascii="Times New Roman" w:cs="Times New Roman" w:hAnsi="Times New Roman"/>
          <w:sz w:val="24"/>
          <w:szCs w:val="24"/>
        </w:rPr>
        <w:t xml:space="preserve">allow parties to transact on a fully anonymized basis. This approach would address privacy concerns but would raise </w:t>
      </w:r>
      <w:r>
        <w:rPr>
          <w:rFonts w:ascii="Times New Roman" w:cs="Times New Roman" w:hAnsi="Times New Roman"/>
          <w:sz w:val="24"/>
          <w:szCs w:val="24"/>
        </w:rPr>
        <w:t>significant money-laundering risks</w:t>
      </w:r>
      <w:r>
        <w:rPr>
          <w:rFonts w:ascii="Times New Roman" w:cs="Times New Roman" w:hAnsi="Times New Roman"/>
          <w:sz w:val="24"/>
          <w:szCs w:val="24"/>
        </w:rPr>
        <w:t>.</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b/>
          <w:bCs/>
          <w:i/>
          <w:iCs/>
          <w:sz w:val="24"/>
          <w:szCs w:val="24"/>
        </w:rPr>
        <w:t>Infrastructure cost</w:t>
      </w:r>
      <w:r>
        <w:rPr>
          <w:rFonts w:ascii="Times New Roman" w:cs="Times New Roman" w:hAnsi="Times New Roman"/>
          <w:sz w:val="24"/>
          <w:szCs w:val="24"/>
        </w:rPr>
        <w:t xml:space="preserve">. </w:t>
      </w:r>
      <w:r>
        <w:rPr>
          <w:rFonts w:ascii="Times New Roman" w:cs="Times New Roman" w:hAnsi="Times New Roman"/>
          <w:sz w:val="24"/>
          <w:szCs w:val="24"/>
        </w:rPr>
        <w:t>CBDC has the potential to reduce the cost of printing money. However, it introduces the production costs (fixed and variable) of running CBDC infrastructure.</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CONCLUSION</w:t>
      </w:r>
      <w:r>
        <w:rPr>
          <w:rFonts w:ascii="Times New Roman" w:cs="Times New Roman" w:hAnsi="Times New Roman"/>
          <w:b/>
          <w:bCs/>
          <w:sz w:val="24"/>
          <w:szCs w:val="24"/>
        </w:rPr>
        <w:t xml:space="preserve">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In conclusion, CBDC is the way to go since fintech has taken over. However, for its full operationalization, central banks have to conduct extensive research before adopting them in their various states especially in the African region.</w:t>
      </w:r>
      <w:r>
        <w:rPr>
          <w:rFonts w:ascii="Times New Roman" w:cs="Times New Roman" w:hAnsi="Times New Roman"/>
          <w:sz w:val="24"/>
          <w:szCs w:val="24"/>
        </w:rPr>
        <w:t xml:space="preserve"> CBDC will pose a great threat to state </w:t>
      </w:r>
      <w:r>
        <w:rPr>
          <w:rFonts w:ascii="Times New Roman" w:cs="Times New Roman" w:hAnsi="Times New Roman"/>
          <w:sz w:val="24"/>
          <w:szCs w:val="24"/>
        </w:rPr>
        <w:t>sovereignty</w:t>
      </w:r>
      <w:r>
        <w:rPr>
          <w:rFonts w:ascii="Times New Roman" w:cs="Times New Roman" w:hAnsi="Times New Roman"/>
          <w:sz w:val="24"/>
          <w:szCs w:val="24"/>
        </w:rPr>
        <w:t xml:space="preserve"> for various reasons as discussed below</w:t>
      </w:r>
      <w:r>
        <w:rPr>
          <w:rFonts w:ascii="Times New Roman" w:cs="Times New Roman" w:hAnsi="Times New Roman"/>
          <w:sz w:val="24"/>
          <w:szCs w:val="24"/>
        </w:rPr>
        <w: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Most of the commercial banks will be forced out of the market since deposits from commercial banks will be migrated to the central bank for deposits. It will also be hard to ascertain the credit worthiness of an individual.</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In advanced economies, a CBDC is seen by central banks primarily in the context of domestic stability, internal payment security and their resilience to failure. For developing countries, </w:t>
      </w:r>
      <w:r>
        <w:rPr>
          <w:rFonts w:ascii="Times New Roman" w:cs="Times New Roman" w:hAnsi="Times New Roman"/>
          <w:sz w:val="24"/>
          <w:szCs w:val="24"/>
        </w:rPr>
        <w:t xml:space="preserve">financial inclusion is more critical. </w:t>
      </w:r>
      <w:r>
        <w:rPr>
          <w:rFonts w:ascii="Times New Roman" w:cs="Times New Roman" w:hAnsi="Times New Roman"/>
          <w:sz w:val="24"/>
          <w:szCs w:val="24"/>
        </w:rPr>
        <w:t xml:space="preserve">There will be increased cases of </w:t>
      </w:r>
      <w:r>
        <w:rPr>
          <w:rFonts w:ascii="Times New Roman" w:cs="Times New Roman" w:hAnsi="Times New Roman"/>
          <w:sz w:val="24"/>
          <w:szCs w:val="24"/>
        </w:rPr>
        <w:t>money laundering and cyber-attacks.  Some of the attacks ma</w:t>
      </w:r>
      <w:r>
        <w:rPr>
          <w:rFonts w:ascii="Times New Roman" w:cs="Times New Roman" w:hAnsi="Times New Roman"/>
          <w:sz w:val="24"/>
          <w:szCs w:val="24"/>
        </w:rPr>
        <w:t>y be beyond the control of a state.</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For digital currency to work, the bank said, all countries in the region needed to participate in order to flatten “the multi-layered correspondent banking structure” and shorten the payment chains.</w:t>
      </w:r>
      <w:r>
        <w:rPr>
          <w:rFonts w:ascii="Times New Roman" w:cs="Times New Roman" w:hAnsi="Times New Roman"/>
          <w:sz w:val="24"/>
          <w:szCs w:val="24"/>
        </w:rPr>
        <w:t xml:space="preserve"> This could only mean that countries that are yet to adopt CBDC cannot transact thus leading to low investment and poor trade ties with other countries, which may lead to inflation in the country’s economy.</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Due to the high levels of illiteracy in most African countries, some players may twist CBDC to their own favor. In turn this will lead to an increase in money laundering and corruption by some state leaders.</w:t>
      </w:r>
    </w:p>
    <w:p>
      <w:pPr>
        <w:pStyle w:val="style0"/>
        <w:spacing w:lineRule="auto" w:line="360"/>
        <w:jc w:val="both"/>
        <w:rPr>
          <w:rFonts w:ascii="Times New Roman" w:cs="Times New Roman" w:hAnsi="Times New Roman"/>
          <w:b/>
          <w:bCs/>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footnote w:id="1">
    <w:p>
      <w:pPr>
        <w:pStyle w:val="style29"/>
        <w:rPr/>
      </w:pPr>
      <w:r>
        <w:rPr>
          <w:rStyle w:val="style38"/>
        </w:rPr>
        <w:footnoteRef/>
      </w:r>
      <w:r>
        <w:t xml:space="preserve"> &lt;</w:t>
      </w:r>
      <w:r>
        <w:rPr/>
        <w:fldChar w:fldCharType="begin"/>
      </w:r>
      <w:r>
        <w:instrText xml:space="preserve"> HYPERLINK "https://www.bis.org" </w:instrText>
      </w:r>
      <w:r>
        <w:rPr/>
        <w:fldChar w:fldCharType="separate"/>
      </w:r>
      <w:r>
        <w:rPr>
          <w:rStyle w:val="style85"/>
        </w:rPr>
        <w:t>https://www.bis.org</w:t>
      </w:r>
      <w:r>
        <w:rPr/>
        <w:fldChar w:fldCharType="end"/>
      </w:r>
      <w:r>
        <w:t>&gt; accessed on 29</w:t>
      </w:r>
      <w:r>
        <w:rPr>
          <w:vertAlign w:val="superscript"/>
        </w:rPr>
        <w:t>th</w:t>
      </w:r>
      <w:r>
        <w:t xml:space="preserve"> July 2022</w:t>
      </w:r>
    </w:p>
  </w:footnote>
  <w:footnote w:id="2">
    <w:p>
      <w:pPr>
        <w:pStyle w:val="style29"/>
        <w:rPr/>
      </w:pPr>
      <w:r>
        <w:rPr>
          <w:rStyle w:val="style38"/>
        </w:rPr>
        <w:footnoteRef/>
      </w:r>
      <w:r>
        <w:t xml:space="preserve"> Ibid </w:t>
      </w:r>
    </w:p>
  </w:footnote>
  <w:footnote w:id="3">
    <w:p>
      <w:pPr>
        <w:pStyle w:val="style29"/>
        <w:rPr/>
      </w:pPr>
      <w:r>
        <w:rPr>
          <w:rStyle w:val="style38"/>
        </w:rPr>
        <w:footnoteRef/>
      </w:r>
      <w:r>
        <w:t xml:space="preserve"> </w:t>
      </w:r>
      <w:bookmarkStart w:id="1" w:name="_Hlk110135242"/>
      <w:bookmarkStart w:id="2" w:name="_Hlk110134057"/>
      <w:r>
        <w:t xml:space="preserve">Discussion Paper on Central Bank Digital Currency (PDF) sourced from </w:t>
      </w:r>
      <w:r>
        <w:t>&lt;</w:t>
      </w:r>
      <w:r>
        <w:rPr/>
        <w:fldChar w:fldCharType="begin"/>
      </w:r>
      <w:r>
        <w:instrText xml:space="preserve"> HYPERLINK "https://www.centralbank.go.ke" </w:instrText>
      </w:r>
      <w:r>
        <w:rPr/>
        <w:fldChar w:fldCharType="separate"/>
      </w:r>
      <w:r>
        <w:rPr>
          <w:rStyle w:val="style85"/>
        </w:rPr>
        <w:t>https://www.centralbank.go.ke</w:t>
      </w:r>
      <w:r>
        <w:rPr/>
        <w:fldChar w:fldCharType="end"/>
      </w:r>
      <w:r>
        <w:t>&gt; accessed on 28</w:t>
      </w:r>
      <w:r>
        <w:rPr>
          <w:vertAlign w:val="superscript"/>
        </w:rPr>
        <w:t>th</w:t>
      </w:r>
      <w:r>
        <w:t xml:space="preserve"> July 2022</w:t>
      </w:r>
      <w:bookmarkEnd w:id="1"/>
    </w:p>
    <w:bookmarkEnd w:id="2"/>
  </w:footnote>
  <w:footnote w:id="4">
    <w:p>
      <w:pPr>
        <w:pStyle w:val="style29"/>
        <w:rPr/>
      </w:pPr>
      <w:r>
        <w:rPr>
          <w:rStyle w:val="style38"/>
        </w:rPr>
        <w:footnoteRef/>
      </w:r>
      <w:r>
        <w:t xml:space="preserve"> Jack Dyson, Ben</w:t>
      </w:r>
      <w:r>
        <w:t xml:space="preserve"> </w:t>
      </w:r>
      <w:r>
        <w:t>Barker, James Clayton</w:t>
      </w:r>
      <w:r>
        <w:t xml:space="preserve"> and</w:t>
      </w:r>
      <w:r>
        <w:t xml:space="preserve"> Emily</w:t>
      </w:r>
      <w:r>
        <w:t>.</w:t>
      </w:r>
      <w:r>
        <w:t xml:space="preserve"> () </w:t>
      </w:r>
      <w:r>
        <w:t>“</w:t>
      </w:r>
      <w:r>
        <w:t>Broadening Narrow Money: Monetary Policy with a Central Bank Digital Currency</w:t>
      </w:r>
      <w:r>
        <w:t>”</w:t>
      </w:r>
      <w:r>
        <w:t xml:space="preserve"> </w:t>
      </w:r>
      <w:r>
        <w:t xml:space="preserve">published on </w:t>
      </w:r>
      <w:r>
        <w:t>25</w:t>
      </w:r>
      <w:r>
        <w:rPr>
          <w:vertAlign w:val="superscript"/>
        </w:rPr>
        <w:t>th</w:t>
      </w:r>
      <w:r>
        <w:t xml:space="preserve"> May </w:t>
      </w:r>
      <w:r>
        <w:t>2018</w:t>
      </w:r>
      <w:r>
        <w:t xml:space="preserve"> </w:t>
      </w:r>
      <w:r>
        <w:t xml:space="preserve"> </w:t>
      </w:r>
      <w:r>
        <w:t>&lt;</w:t>
      </w:r>
      <w:r>
        <w:rPr/>
        <w:fldChar w:fldCharType="begin"/>
      </w:r>
      <w:r>
        <w:instrText xml:space="preserve"> HYPERLINK "</w:instrText>
      </w:r>
      <w:r>
        <w:instrText>https://www.paper.ssrn.com</w:instrText>
      </w:r>
      <w:r>
        <w:instrText xml:space="preserve">" </w:instrText>
      </w:r>
      <w:r>
        <w:rPr/>
        <w:fldChar w:fldCharType="separate"/>
      </w:r>
      <w:r>
        <w:rPr>
          <w:rStyle w:val="style85"/>
        </w:rPr>
        <w:t>https://www.paper.ssrn.com</w:t>
      </w:r>
      <w:r>
        <w:rPr/>
        <w:fldChar w:fldCharType="end"/>
      </w:r>
      <w:r>
        <w:t xml:space="preserve"> &gt; accessed on 30</w:t>
      </w:r>
      <w:r>
        <w:rPr>
          <w:vertAlign w:val="superscript"/>
        </w:rPr>
        <w:t>th</w:t>
      </w:r>
      <w:r>
        <w:t xml:space="preserve"> July 2022</w:t>
      </w:r>
    </w:p>
  </w:footnote>
  <w:footnote w:id="5">
    <w:p>
      <w:pPr>
        <w:pStyle w:val="style29"/>
        <w:rPr/>
      </w:pPr>
      <w:r>
        <w:rPr>
          <w:rStyle w:val="style38"/>
        </w:rPr>
        <w:footnoteRef/>
      </w:r>
      <w:r>
        <w:t xml:space="preserve"> Central Bank Digital Currencies </w:t>
      </w:r>
      <w:r>
        <w:t xml:space="preserve">(PDF) </w:t>
      </w:r>
      <w:r>
        <w:t>&lt;</w:t>
      </w:r>
      <w:r>
        <w:rPr/>
        <w:fldChar w:fldCharType="begin"/>
      </w:r>
      <w:r>
        <w:instrText xml:space="preserve"> HYPERLINK "https://www.bis.org" </w:instrText>
      </w:r>
      <w:r>
        <w:rPr/>
        <w:fldChar w:fldCharType="separate"/>
      </w:r>
      <w:r>
        <w:rPr>
          <w:rStyle w:val="style85"/>
        </w:rPr>
        <w:t>https://www.bis.org</w:t>
      </w:r>
      <w:r>
        <w:rPr/>
        <w:fldChar w:fldCharType="end"/>
      </w:r>
      <w:r>
        <w:t xml:space="preserve"> &gt;</w:t>
      </w:r>
      <w:r>
        <w:t xml:space="preserve">   Accessed on 30</w:t>
      </w:r>
      <w:r>
        <w:rPr>
          <w:vertAlign w:val="superscript"/>
        </w:rPr>
        <w:t>th</w:t>
      </w:r>
      <w:r>
        <w:t xml:space="preserve"> July 2022</w:t>
      </w:r>
    </w:p>
  </w:footnote>
  <w:footnote w:id="6">
    <w:p>
      <w:pPr>
        <w:pStyle w:val="style29"/>
        <w:rPr/>
      </w:pPr>
      <w:r>
        <w:rPr>
          <w:rStyle w:val="style38"/>
        </w:rPr>
        <w:footnoteRef/>
      </w:r>
      <w:r>
        <w:t xml:space="preserve"> </w:t>
      </w:r>
      <w:r>
        <w:t>“</w:t>
      </w:r>
      <w:r>
        <w:t>Digital Cash: Why Central Bank should issue digital currency.</w:t>
      </w:r>
      <w:r>
        <w:t>”</w:t>
      </w:r>
      <w:r>
        <w:t xml:space="preserve"> </w:t>
      </w:r>
      <w:r>
        <w:rPr/>
        <w:fldChar w:fldCharType="begin"/>
      </w:r>
      <w:r>
        <w:instrText xml:space="preserve"> HYPERLINK "https://www.positivemoney.org" </w:instrText>
      </w:r>
      <w:r>
        <w:rPr/>
        <w:fldChar w:fldCharType="separate"/>
      </w:r>
      <w:r>
        <w:rPr>
          <w:rStyle w:val="style85"/>
        </w:rPr>
        <w:t>https://www.positivemoney.org</w:t>
      </w:r>
      <w:r>
        <w:rPr/>
        <w:fldChar w:fldCharType="end"/>
      </w:r>
      <w:r>
        <w:t xml:space="preserve"> accessed on 30</w:t>
      </w:r>
      <w:r>
        <w:rPr>
          <w:vertAlign w:val="superscript"/>
        </w:rPr>
        <w:t>th</w:t>
      </w:r>
      <w:r>
        <w:t xml:space="preserve"> July 2022</w:t>
      </w:r>
    </w:p>
  </w:footnote>
  <w:footnote w:id="7">
    <w:p>
      <w:pPr>
        <w:pStyle w:val="style29"/>
        <w:rPr/>
      </w:pPr>
      <w:r>
        <w:rPr>
          <w:rStyle w:val="style38"/>
        </w:rPr>
        <w:footnoteRef/>
      </w:r>
      <w:r>
        <w:t xml:space="preserve"> &lt;</w:t>
      </w:r>
      <w:r>
        <w:rPr/>
        <w:fldChar w:fldCharType="begin"/>
      </w:r>
      <w:r>
        <w:instrText xml:space="preserve"> HYPERLINK "https://www.bis.org/publ/arpdf" </w:instrText>
      </w:r>
      <w:r>
        <w:rPr/>
        <w:fldChar w:fldCharType="separate"/>
      </w:r>
      <w:r>
        <w:rPr>
          <w:rStyle w:val="style85"/>
        </w:rPr>
        <w:t>https://www.bis.org/publ/arpdf</w:t>
      </w:r>
      <w:r>
        <w:rPr/>
        <w:fldChar w:fldCharType="end"/>
      </w:r>
      <w:r>
        <w:t>&gt; accessed on 30th July 2022</w:t>
      </w:r>
    </w:p>
  </w:footnote>
  <w:footnote w:id="8">
    <w:p>
      <w:pPr>
        <w:pStyle w:val="style29"/>
        <w:rPr/>
      </w:pPr>
      <w:r>
        <w:rPr>
          <w:rStyle w:val="style38"/>
        </w:rPr>
        <w:footnoteRef/>
      </w:r>
      <w:r>
        <w:t xml:space="preserve"> </w:t>
      </w:r>
      <w:r>
        <w:t>&lt;</w:t>
      </w:r>
      <w:r>
        <w:rPr/>
        <w:fldChar w:fldCharType="begin"/>
      </w:r>
      <w:r>
        <w:instrText xml:space="preserve"> HYPERLINK "https://www.economictimes.indiantimes.com" </w:instrText>
      </w:r>
      <w:r>
        <w:rPr/>
        <w:fldChar w:fldCharType="separate"/>
      </w:r>
      <w:r>
        <w:rPr>
          <w:rStyle w:val="style85"/>
        </w:rPr>
        <w:t>https://www.economictimes.indiantimes.com</w:t>
      </w:r>
      <w:r>
        <w:rPr/>
        <w:fldChar w:fldCharType="end"/>
      </w:r>
      <w:r>
        <w:t>&gt; accessed on 30</w:t>
      </w:r>
      <w:r>
        <w:rPr>
          <w:vertAlign w:val="superscript"/>
        </w:rPr>
        <w:t>th</w:t>
      </w:r>
      <w:r>
        <w:t xml:space="preserve"> July 2022</w:t>
      </w:r>
    </w:p>
  </w:footnote>
  <w:footnote w:id="9">
    <w:p>
      <w:pPr>
        <w:pStyle w:val="style29"/>
        <w:rPr/>
      </w:pPr>
      <w:r>
        <w:rPr>
          <w:rStyle w:val="style38"/>
        </w:rPr>
        <w:footnoteRef/>
      </w:r>
      <w:r>
        <w:t xml:space="preserve"> James Kahongeh, “Explainer: Digital Currency versus Cryptocurrency.” Published by Business Daily on 25</w:t>
      </w:r>
      <w:r>
        <w:rPr>
          <w:vertAlign w:val="superscript"/>
        </w:rPr>
        <w:t>th</w:t>
      </w:r>
      <w:r>
        <w:t xml:space="preserve"> February 2022 &lt;</w:t>
      </w:r>
      <w:r>
        <w:rPr/>
        <w:fldChar w:fldCharType="begin"/>
      </w:r>
      <w:r>
        <w:instrText xml:space="preserve"> HYPERLINK "https://www.businessdailyafrica.com" </w:instrText>
      </w:r>
      <w:r>
        <w:rPr/>
        <w:fldChar w:fldCharType="separate"/>
      </w:r>
      <w:r>
        <w:rPr>
          <w:rStyle w:val="style85"/>
        </w:rPr>
        <w:t>https://www.businessdailyafrica.com</w:t>
      </w:r>
      <w:r>
        <w:rPr/>
        <w:fldChar w:fldCharType="end"/>
      </w:r>
      <w:r>
        <w:t>&gt;accessed on 30</w:t>
      </w:r>
      <w:r>
        <w:rPr>
          <w:vertAlign w:val="superscript"/>
        </w:rPr>
        <w:t>th</w:t>
      </w:r>
      <w:r>
        <w:t xml:space="preserve"> July 2022</w:t>
      </w:r>
    </w:p>
  </w:footnote>
  <w:footnote w:id="10">
    <w:p>
      <w:pPr>
        <w:pStyle w:val="style29"/>
        <w:rPr/>
      </w:pPr>
      <w:r>
        <w:rPr>
          <w:rStyle w:val="style38"/>
        </w:rPr>
        <w:footnoteRef/>
      </w:r>
      <w:r>
        <w:t xml:space="preserve"> </w:t>
      </w:r>
      <w:r>
        <w:t>&lt;</w:t>
      </w:r>
      <w:r>
        <w:rPr/>
        <w:fldChar w:fldCharType="begin"/>
      </w:r>
      <w:r>
        <w:instrText xml:space="preserve"> HYPERLINK "https://www.imf.org" </w:instrText>
      </w:r>
      <w:r>
        <w:rPr/>
        <w:fldChar w:fldCharType="separate"/>
      </w:r>
      <w:r>
        <w:rPr>
          <w:rStyle w:val="style85"/>
        </w:rPr>
        <w:t>https://www.imf.org</w:t>
      </w:r>
      <w:r>
        <w:rPr/>
        <w:fldChar w:fldCharType="end"/>
      </w:r>
      <w:r>
        <w:t>&gt; accessed on 30</w:t>
      </w:r>
      <w:r>
        <w:rPr>
          <w:vertAlign w:val="superscript"/>
        </w:rPr>
        <w:t>th</w:t>
      </w:r>
      <w:r>
        <w:t xml:space="preserve"> July 2022</w:t>
      </w:r>
    </w:p>
  </w:footnote>
  <w:footnote w:id="11">
    <w:p>
      <w:pPr>
        <w:pStyle w:val="style29"/>
        <w:rPr/>
      </w:pPr>
      <w:r>
        <w:rPr>
          <w:rStyle w:val="style38"/>
        </w:rPr>
        <w:footnoteRef/>
      </w:r>
      <w:r>
        <w:t xml:space="preserve"> </w:t>
      </w:r>
      <w:r>
        <w:rPr/>
        <w:fldChar w:fldCharType="begin"/>
      </w:r>
      <w:r>
        <w:instrText xml:space="preserve"> HYPERLINK "https://www.cbn.gov.ng" </w:instrText>
      </w:r>
      <w:r>
        <w:rPr/>
        <w:fldChar w:fldCharType="separate"/>
      </w:r>
      <w:r>
        <w:rPr>
          <w:rStyle w:val="style85"/>
        </w:rPr>
        <w:t>https://www.cbn.gov.ng</w:t>
      </w:r>
      <w:r>
        <w:rPr/>
        <w:fldChar w:fldCharType="end"/>
      </w:r>
      <w:r>
        <w:t xml:space="preserve"> accessed on 27</w:t>
      </w:r>
      <w:r>
        <w:rPr>
          <w:vertAlign w:val="superscript"/>
        </w:rPr>
        <w:t>th</w:t>
      </w:r>
      <w:r>
        <w:t xml:space="preserve"> July 2022</w:t>
      </w:r>
    </w:p>
  </w:footnote>
  <w:footnote w:id="12">
    <w:p>
      <w:pPr>
        <w:pStyle w:val="style29"/>
        <w:rPr/>
      </w:pPr>
      <w:r>
        <w:rPr>
          <w:rStyle w:val="style38"/>
        </w:rPr>
        <w:footnoteRef/>
      </w:r>
      <w:r>
        <w:t xml:space="preserve"> Regulatory Guidelines on e-naira, Ibid</w:t>
      </w:r>
    </w:p>
  </w:footnote>
  <w:footnote w:id="13">
    <w:p>
      <w:pPr>
        <w:pStyle w:val="style29"/>
        <w:rPr/>
      </w:pPr>
      <w:r>
        <w:rPr>
          <w:rStyle w:val="style38"/>
        </w:rPr>
        <w:footnoteRef/>
      </w:r>
      <w:r>
        <w:t xml:space="preserve"> &lt;</w:t>
      </w:r>
      <w:r>
        <w:rPr/>
        <w:fldChar w:fldCharType="begin"/>
      </w:r>
      <w:r>
        <w:instrText xml:space="preserve"> HYPERLINK "https://www.centralbank.go.ke" </w:instrText>
      </w:r>
      <w:r>
        <w:rPr/>
        <w:fldChar w:fldCharType="separate"/>
      </w:r>
      <w:r>
        <w:rPr>
          <w:rStyle w:val="style85"/>
        </w:rPr>
        <w:t>https://www.centralbank.go.ke</w:t>
      </w:r>
      <w:r>
        <w:rPr/>
        <w:fldChar w:fldCharType="end"/>
      </w:r>
      <w:r>
        <w:t>&gt; accessed on 28</w:t>
      </w:r>
      <w:r>
        <w:rPr>
          <w:vertAlign w:val="superscript"/>
        </w:rPr>
        <w:t>th</w:t>
      </w:r>
      <w:r>
        <w:t xml:space="preserve"> July 2022</w:t>
      </w:r>
    </w:p>
  </w:footnote>
  <w:footnote w:id="14">
    <w:p>
      <w:pPr>
        <w:pStyle w:val="style29"/>
        <w:rPr/>
      </w:pPr>
      <w:r>
        <w:rPr>
          <w:rStyle w:val="style38"/>
        </w:rPr>
        <w:footnoteRef/>
      </w:r>
      <w:r>
        <w:t xml:space="preserve"> Ibid </w:t>
      </w:r>
    </w:p>
  </w:footnote>
  <w:footnote w:id="15">
    <w:p>
      <w:pPr>
        <w:pStyle w:val="style29"/>
        <w:rPr/>
      </w:pPr>
      <w:r>
        <w:rPr>
          <w:rStyle w:val="style38"/>
        </w:rPr>
        <w:footnoteRef/>
      </w:r>
      <w:r>
        <w:t>Discussion Paper on Central Bank Digital Currency (PDF) sourced from &lt;</w:t>
      </w:r>
      <w:r>
        <w:rPr/>
        <w:fldChar w:fldCharType="begin"/>
      </w:r>
      <w:r>
        <w:instrText xml:space="preserve"> HYPERLINK "https://www.centralbank.go.ke" </w:instrText>
      </w:r>
      <w:r>
        <w:rPr/>
        <w:fldChar w:fldCharType="separate"/>
      </w:r>
      <w:r>
        <w:rPr>
          <w:rStyle w:val="style85"/>
        </w:rPr>
        <w:t>https://www.centralbank.go.ke</w:t>
      </w:r>
      <w:r>
        <w:rPr/>
        <w:fldChar w:fldCharType="end"/>
      </w:r>
      <w:r>
        <w:t>&gt; accessed on 28</w:t>
      </w:r>
      <w:r>
        <w:rPr>
          <w:vertAlign w:val="superscript"/>
        </w:rPr>
        <w:t>th</w:t>
      </w:r>
      <w:r>
        <w:t xml:space="preserve"> July 2022</w:t>
      </w:r>
      <w:r>
        <w:t xml:space="preserve"> </w:t>
      </w:r>
    </w:p>
  </w:footnote>
  <w:footnote w:id="16">
    <w:p>
      <w:pPr>
        <w:pStyle w:val="style29"/>
        <w:rPr/>
      </w:pPr>
      <w:r>
        <w:rPr>
          <w:rStyle w:val="style38"/>
        </w:rPr>
        <w:footnoteRef/>
      </w:r>
      <w:r>
        <w:t xml:space="preserve"> Ibid </w:t>
      </w:r>
    </w:p>
  </w:footnote>
  <w:footnote w:id="17">
    <w:p>
      <w:pPr>
        <w:pStyle w:val="style29"/>
        <w:rPr/>
      </w:pPr>
      <w:r>
        <w:rPr>
          <w:rStyle w:val="style38"/>
        </w:rPr>
        <w:footnoteRef/>
      </w:r>
      <w:r>
        <w:t xml:space="preserve"> Ibid</w:t>
      </w:r>
    </w:p>
  </w:footnote>
  <w:footnote w:id="18">
    <w:p>
      <w:pPr>
        <w:pStyle w:val="style29"/>
        <w:rPr/>
      </w:pPr>
      <w:r>
        <w:rPr>
          <w:rStyle w:val="style38"/>
        </w:rPr>
        <w:footnoteRef/>
      </w:r>
      <w:r>
        <w:t xml:space="preserve"> </w:t>
      </w:r>
      <w:r>
        <w:rPr>
          <w:rFonts w:ascii="Times New Roman" w:cs="Times New Roman" w:hAnsi="Times New Roman"/>
        </w:rPr>
        <w:t>W</w:t>
      </w:r>
      <w:r>
        <w:rPr>
          <w:rFonts w:ascii="Times New Roman" w:cs="Times New Roman" w:hAnsi="Times New Roman"/>
        </w:rPr>
        <w:t>hile a significant shift from deposits to CBDCs can pose risks to financial stability, this could be controlled if the banking sector is given sufficient time and flexibility to adjust.</w:t>
      </w:r>
      <w:r>
        <w:rPr>
          <w:rFonts w:ascii="Times New Roman" w:cs="Times New Roman" w:hAnsi="Times New Roman"/>
        </w:rPr>
        <w:t xml:space="preserve"> This was according to </w:t>
      </w:r>
      <w:r>
        <w:rPr>
          <w:rFonts w:ascii="Times New Roman" w:cs="Times New Roman" w:hAnsi="Times New Roman"/>
        </w:rPr>
        <w:t>a research</w:t>
      </w:r>
      <w:r>
        <w:rPr>
          <w:rFonts w:ascii="Times New Roman" w:cs="Times New Roman" w:hAnsi="Times New Roman"/>
        </w:rPr>
        <w:t xml:space="preserve"> conducted by BIS and 7 other central banks.</w:t>
      </w:r>
      <w:r>
        <w:rPr>
          <w:rFonts w:ascii="Times New Roman" w:cs="Times New Roman" w:hAnsi="Times New Roman"/>
        </w:rPr>
        <w:t xml:space="preserve"> </w:t>
      </w:r>
      <w:r>
        <w:rPr>
          <w:rFonts w:ascii="Times New Roman" w:cs="Times New Roman" w:hAnsi="Times New Roman"/>
        </w:rPr>
        <w:t>&lt;</w:t>
      </w:r>
      <w:r>
        <w:rPr/>
        <w:fldChar w:fldCharType="begin"/>
      </w:r>
      <w:r>
        <w:instrText xml:space="preserve"> HYPERLINK "https://www.bis.org" </w:instrText>
      </w:r>
      <w:r>
        <w:rPr/>
        <w:fldChar w:fldCharType="separate"/>
      </w:r>
      <w:r>
        <w:rPr>
          <w:rStyle w:val="style85"/>
          <w:rFonts w:ascii="Times New Roman" w:cs="Times New Roman" w:hAnsi="Times New Roman"/>
        </w:rPr>
        <w:t>https://www.bis.org</w:t>
      </w:r>
      <w:r>
        <w:rPr/>
        <w:fldChar w:fldCharType="end"/>
      </w:r>
      <w:r>
        <w:rPr>
          <w:rFonts w:ascii="Times New Roman" w:cs="Times New Roman" w:hAnsi="Times New Roman"/>
        </w:rPr>
        <w:t xml:space="preserve"> &gt; accessed on 31</w:t>
      </w:r>
      <w:r>
        <w:rPr>
          <w:rFonts w:ascii="Times New Roman" w:cs="Times New Roman" w:hAnsi="Times New Roman"/>
          <w:vertAlign w:val="superscript"/>
        </w:rPr>
        <w:t>st</w:t>
      </w:r>
      <w:r>
        <w:rPr>
          <w:rFonts w:ascii="Times New Roman" w:cs="Times New Roman" w:hAnsi="Times New Roman"/>
        </w:rPr>
        <w:t xml:space="preserve"> July 2022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A26C7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BD2CDF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33720350"/>
    <w:lvl w:ilvl="0" w:tplc="04090005">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E89096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566845DE"/>
    <w:lvl w:ilvl="0" w:tplc="17625F6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00000005"/>
    <w:multiLevelType w:val="hybridMultilevel"/>
    <w:tmpl w:val="3062AAD2"/>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00000006"/>
    <w:multiLevelType w:val="hybridMultilevel"/>
    <w:tmpl w:val="CE564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422E58AC"/>
    <w:lvl w:ilvl="0" w:tplc="04090005">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930A7B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9"/>
    <w:multiLevelType w:val="hybridMultilevel"/>
    <w:tmpl w:val="A858A8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A606C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20745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6E52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6"/>
  </w:num>
  <w:num w:numId="4">
    <w:abstractNumId w:val="0"/>
  </w:num>
  <w:num w:numId="5">
    <w:abstractNumId w:val="8"/>
  </w:num>
  <w:num w:numId="6">
    <w:abstractNumId w:val="11"/>
  </w:num>
  <w:num w:numId="7">
    <w:abstractNumId w:val="12"/>
  </w:num>
  <w:num w:numId="8">
    <w:abstractNumId w:val="2"/>
  </w:num>
  <w:num w:numId="9">
    <w:abstractNumId w:val="5"/>
  </w:num>
  <w:num w:numId="10">
    <w:abstractNumId w:val="10"/>
  </w:num>
  <w:num w:numId="11">
    <w:abstractNumId w:val="7"/>
  </w:num>
  <w:num w:numId="12">
    <w:abstractNumId w:val="1"/>
  </w:num>
  <w:num w:numId="13">
    <w:abstractNumId w:val="3"/>
  </w:num>
  <w:num w:numId="14">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6"/>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US"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pacing w:after="200" w:lineRule="auto" w:line="276"/>
    </w:pPr>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59"/>
    <w:pPr>
      <w:spacing w:after="0" w:lineRule="auto" w:line="240"/>
    </w:pPr>
    <w:rPr>
      <w:rFonts w:ascii="Calibri" w:cs="Times New Roman" w:eastAsia="Calibri" w:hAnsi="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29">
    <w:name w:val="footnote text"/>
    <w:basedOn w:val="style0"/>
    <w:next w:val="style29"/>
    <w:link w:val="style4098"/>
    <w:uiPriority w:val="99"/>
    <w:pPr>
      <w:spacing w:after="0" w:lineRule="auto" w:line="240"/>
    </w:pPr>
    <w:rPr>
      <w:sz w:val="20"/>
      <w:szCs w:val="20"/>
    </w:rPr>
  </w:style>
  <w:style w:type="character" w:customStyle="1" w:styleId="style4098">
    <w:name w:val="Footnote Text Char"/>
    <w:basedOn w:val="style65"/>
    <w:next w:val="style4098"/>
    <w:link w:val="style29"/>
    <w:uiPriority w:val="99"/>
    <w:rPr>
      <w:sz w:val="20"/>
      <w:szCs w:val="20"/>
    </w:rPr>
  </w:style>
  <w:style w:type="character" w:styleId="style38">
    <w:name w:val="footnote reference"/>
    <w:basedOn w:val="style65"/>
    <w:next w:val="style38"/>
    <w:uiPriority w:val="99"/>
    <w:rPr>
      <w:vertAlign w:val="superscript"/>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footnotes" Target="footnotes.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18B13-9D38-473F-95DB-6CA158004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2626</Words>
  <Pages>1</Pages>
  <Characters>14610</Characters>
  <Application>WPS Office</Application>
  <DocSecurity>0</DocSecurity>
  <Paragraphs>166</Paragraphs>
  <ScaleCrop>false</ScaleCrop>
  <LinksUpToDate>false</LinksUpToDate>
  <CharactersWithSpaces>17165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2022-08-03T15:10:55Z</dcterms:created>
  <dc:creator>calvin mudoga</dc:creator>
  <lastModifiedBy>2201117TG</lastModifiedBy>
  <dcterms:modified xsi:type="dcterms:W3CDTF">2022-08-03T15:10:55Z</dcterms:modified>
  <revision>17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3c187b5ab0cc4147ba688c74de5993ac</vt:lpwstr>
  </property>
</Properties>
</file>