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E15" w:rsidRPr="002E6E15" w:rsidRDefault="002E6E15" w:rsidP="002E6E15">
      <w:pPr>
        <w:spacing w:after="48" w:line="240" w:lineRule="auto"/>
        <w:textAlignment w:val="baseline"/>
        <w:outlineLvl w:val="0"/>
        <w:rPr>
          <w:rFonts w:ascii="Book Antiqua" w:eastAsia="Times New Roman" w:hAnsi="Book Antiqua" w:cs="Times New Roman"/>
          <w:b/>
          <w:color w:val="000000" w:themeColor="text1"/>
          <w:kern w:val="36"/>
          <w:sz w:val="28"/>
          <w:szCs w:val="28"/>
          <w:lang w:val="en-US"/>
        </w:rPr>
      </w:pPr>
      <w:r w:rsidRPr="002E6E15">
        <w:rPr>
          <w:rFonts w:ascii="Book Antiqua" w:eastAsia="Times New Roman" w:hAnsi="Book Antiqua" w:cs="Times New Roman"/>
          <w:b/>
          <w:color w:val="000000" w:themeColor="text1"/>
          <w:kern w:val="36"/>
          <w:sz w:val="28"/>
          <w:szCs w:val="28"/>
          <w:lang w:val="en-US"/>
        </w:rPr>
        <w:t xml:space="preserve">Data Protection Act </w:t>
      </w:r>
      <w:proofErr w:type="gramStart"/>
      <w:r w:rsidRPr="002E6E15">
        <w:rPr>
          <w:rFonts w:ascii="Book Antiqua" w:eastAsia="Times New Roman" w:hAnsi="Book Antiqua" w:cs="Times New Roman"/>
          <w:b/>
          <w:color w:val="000000" w:themeColor="text1"/>
          <w:kern w:val="36"/>
          <w:sz w:val="28"/>
          <w:szCs w:val="28"/>
          <w:lang w:val="en-US"/>
        </w:rPr>
        <w:t>In</w:t>
      </w:r>
      <w:proofErr w:type="gramEnd"/>
      <w:r w:rsidRPr="002E6E15">
        <w:rPr>
          <w:rFonts w:ascii="Book Antiqua" w:eastAsia="Times New Roman" w:hAnsi="Book Antiqua" w:cs="Times New Roman"/>
          <w:b/>
          <w:color w:val="000000" w:themeColor="text1"/>
          <w:kern w:val="36"/>
          <w:sz w:val="28"/>
          <w:szCs w:val="28"/>
          <w:lang w:val="en-US"/>
        </w:rPr>
        <w:t xml:space="preserve"> Kenya </w:t>
      </w:r>
    </w:p>
    <w:p w:rsidR="002E6E15" w:rsidRPr="002E6E15" w:rsidRDefault="002E6E15" w:rsidP="002E6E15">
      <w:pPr>
        <w:shd w:val="clear" w:color="auto" w:fill="FFFFFF"/>
        <w:spacing w:after="384" w:line="240" w:lineRule="auto"/>
        <w:textAlignment w:val="baseline"/>
        <w:rPr>
          <w:rFonts w:ascii="Book Antiqua" w:eastAsia="Times New Roman" w:hAnsi="Book Antiqua" w:cs="Times New Roman"/>
          <w:color w:val="000000" w:themeColor="text1"/>
          <w:sz w:val="28"/>
          <w:szCs w:val="28"/>
          <w:bdr w:val="none" w:sz="0" w:space="0" w:color="auto" w:frame="1"/>
          <w:lang w:val="en-US"/>
        </w:rPr>
      </w:pP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Data Protection Act No. 24 of2019 (the Act or DPA hereinafter) which was enacted on 8th November 2019 has a commencement date of 25th November 2019. Its preamble states that it is meant to give effect to Article 31 (c) and (d) of the Constitution. These provisions guarantee that every person has the right to privacy, including not to have information relating to their family or private affairs unnecessarily required or revealed and not to have the privacy of their communications infringed. The Act is a clean-up of several bills that were introduced previously then withdrawn for one reason or the other.</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new law comes against the backdrop of the European Union’s General Data Protection Regulations (EUGDPR). Most companies operating in Kenya were still grappling with compliance. Notably, the provisions of the Act mimic those of the EUGDPR and therefore companies that had taken steps towards compliance with EUGDPR will be a step ahead.</w:t>
      </w:r>
    </w:p>
    <w:p w:rsidR="002E6E15" w:rsidRPr="002E6E15" w:rsidRDefault="002E6E15" w:rsidP="002E6E15">
      <w:pPr>
        <w:shd w:val="clear" w:color="auto" w:fill="FFFFFF"/>
        <w:spacing w:after="300" w:line="360" w:lineRule="atLeast"/>
        <w:textAlignment w:val="baseline"/>
        <w:outlineLvl w:val="1"/>
        <w:rPr>
          <w:rFonts w:ascii="Book Antiqua" w:eastAsia="Times New Roman" w:hAnsi="Book Antiqua" w:cs="Segoe UI"/>
          <w:b/>
          <w:color w:val="000000" w:themeColor="text1"/>
          <w:spacing w:val="38"/>
          <w:sz w:val="28"/>
          <w:szCs w:val="28"/>
          <w:lang w:val="en-US"/>
        </w:rPr>
      </w:pPr>
      <w:r w:rsidRPr="002E6E15">
        <w:rPr>
          <w:rFonts w:ascii="Book Antiqua" w:eastAsia="Times New Roman" w:hAnsi="Book Antiqua" w:cs="Segoe UI"/>
          <w:b/>
          <w:color w:val="000000" w:themeColor="text1"/>
          <w:spacing w:val="38"/>
          <w:sz w:val="28"/>
          <w:szCs w:val="28"/>
          <w:lang w:val="en-US"/>
        </w:rPr>
        <w:t>Who is affected by the Data Protection Act? </w:t>
      </w:r>
    </w:p>
    <w:p w:rsid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Act limits its scope to data controllers or processors who are established and ordinarily reside in Kenya and process personal data of natural persons while in Kenya </w:t>
      </w:r>
      <w:r w:rsidRPr="002E6E15">
        <w:rPr>
          <w:rFonts w:ascii="Book Antiqua" w:eastAsia="Times New Roman" w:hAnsi="Book Antiqua" w:cs="Segoe UI"/>
          <w:b/>
          <w:bCs/>
          <w:color w:val="000000" w:themeColor="text1"/>
          <w:sz w:val="28"/>
          <w:szCs w:val="28"/>
          <w:bdr w:val="none" w:sz="0" w:space="0" w:color="auto" w:frame="1"/>
          <w:lang w:val="en-US"/>
        </w:rPr>
        <w:t>OR</w:t>
      </w:r>
      <w:r w:rsidRPr="002E6E15">
        <w:rPr>
          <w:rFonts w:ascii="Book Antiqua" w:eastAsia="Times New Roman" w:hAnsi="Book Antiqua" w:cs="Segoe UI"/>
          <w:color w:val="000000" w:themeColor="text1"/>
          <w:sz w:val="28"/>
          <w:szCs w:val="28"/>
          <w:lang w:val="en-US"/>
        </w:rPr>
        <w:t> If they are not established or resident in Kenya, they process personal data of data subjects located in Kenya. This scope captures anyone whose operations involve collection or processing of personal information pertaining to Kenyan residents. For instance, any person running an app that collects personal information is expected to comply.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Unlike the GDPR which provides a threshold for those who are subject to the act by basing it on some factors like number of employees </w:t>
      </w:r>
      <w:proofErr w:type="spellStart"/>
      <w:r w:rsidRPr="002E6E15">
        <w:rPr>
          <w:rFonts w:ascii="Book Antiqua" w:eastAsia="Times New Roman" w:hAnsi="Book Antiqua" w:cs="Segoe UI"/>
          <w:color w:val="000000" w:themeColor="text1"/>
          <w:sz w:val="28"/>
          <w:szCs w:val="28"/>
          <w:lang w:val="en-US"/>
        </w:rPr>
        <w:t>etc</w:t>
      </w:r>
      <w:proofErr w:type="spellEnd"/>
      <w:r w:rsidRPr="002E6E15">
        <w:rPr>
          <w:rFonts w:ascii="Book Antiqua" w:eastAsia="Times New Roman" w:hAnsi="Book Antiqua" w:cs="Segoe UI"/>
          <w:color w:val="000000" w:themeColor="text1"/>
          <w:sz w:val="28"/>
          <w:szCs w:val="28"/>
          <w:lang w:val="en-US"/>
        </w:rPr>
        <w:t>, the Act is silent on this.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The overall object and purpose of the Act is to regulate and lay down the principles under which processing of personal data ought to be done. It </w:t>
      </w:r>
      <w:r w:rsidRPr="002E6E15">
        <w:rPr>
          <w:rFonts w:ascii="Book Antiqua" w:eastAsia="Times New Roman" w:hAnsi="Book Antiqua" w:cs="Segoe UI"/>
          <w:color w:val="000000" w:themeColor="text1"/>
          <w:sz w:val="28"/>
          <w:szCs w:val="28"/>
          <w:lang w:val="en-US"/>
        </w:rPr>
        <w:lastRenderedPageBreak/>
        <w:t>further establishes the legal and institutional mechanisms for protection of personal data to protect the privacy of individuals. </w:t>
      </w:r>
    </w:p>
    <w:p w:rsidR="002E6E15" w:rsidRPr="002E6E15" w:rsidRDefault="002E6E15" w:rsidP="002E6E15">
      <w:pPr>
        <w:shd w:val="clear" w:color="auto" w:fill="FFFFFF"/>
        <w:spacing w:after="300" w:line="360" w:lineRule="atLeast"/>
        <w:textAlignment w:val="baseline"/>
        <w:outlineLvl w:val="1"/>
        <w:rPr>
          <w:rFonts w:ascii="Book Antiqua" w:eastAsia="Times New Roman" w:hAnsi="Book Antiqua" w:cs="Segoe UI"/>
          <w:b/>
          <w:color w:val="000000" w:themeColor="text1"/>
          <w:spacing w:val="38"/>
          <w:sz w:val="28"/>
          <w:szCs w:val="28"/>
          <w:lang w:val="en-US"/>
        </w:rPr>
      </w:pPr>
      <w:r w:rsidRPr="002E6E15">
        <w:rPr>
          <w:rFonts w:ascii="Book Antiqua" w:eastAsia="Times New Roman" w:hAnsi="Book Antiqua" w:cs="Segoe UI"/>
          <w:b/>
          <w:color w:val="000000" w:themeColor="text1"/>
          <w:spacing w:val="38"/>
          <w:sz w:val="28"/>
          <w:szCs w:val="28"/>
          <w:lang w:val="en-US"/>
        </w:rPr>
        <w:t>Digital landscape in the Kenyan market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Act is a timely legislation in this age of digital disruption where most individuals access multiple digital platforms for goods and services. This is the same for most entities that are leveraging on dynamic technological solutions to further their business strategies. Further, many businesses in Kenya leverage on data to drive their business. In the financial services and payments ecosystem, there is a lot of integration hence movement of data between the different parties.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There has been insufficient legislation on data protection in Kenya against a backdrop of robust technological innovations. The consequence was that with any digital product offering that required a user to submit their personal information, the user was left extremely unprotected should this information be used in a manner contrary to what he expected. Just like the EUGDPR and European residents, this Act seeks to primarily protect Kenyan residents.   </w:t>
      </w:r>
    </w:p>
    <w:p w:rsidR="002E6E15" w:rsidRPr="002E6E15" w:rsidRDefault="002E6E15" w:rsidP="002E6E15">
      <w:pPr>
        <w:shd w:val="clear" w:color="auto" w:fill="FFFFFF"/>
        <w:spacing w:after="300" w:line="360" w:lineRule="atLeast"/>
        <w:textAlignment w:val="baseline"/>
        <w:outlineLvl w:val="1"/>
        <w:rPr>
          <w:rFonts w:ascii="Book Antiqua" w:eastAsia="Times New Roman" w:hAnsi="Book Antiqua" w:cs="Segoe UI"/>
          <w:b/>
          <w:color w:val="000000" w:themeColor="text1"/>
          <w:spacing w:val="38"/>
          <w:sz w:val="28"/>
          <w:szCs w:val="28"/>
          <w:lang w:val="en-US"/>
        </w:rPr>
      </w:pPr>
      <w:bookmarkStart w:id="0" w:name="_GoBack"/>
      <w:r w:rsidRPr="002E6E15">
        <w:rPr>
          <w:rFonts w:ascii="Book Antiqua" w:eastAsia="Times New Roman" w:hAnsi="Book Antiqua" w:cs="Segoe UI"/>
          <w:b/>
          <w:color w:val="000000" w:themeColor="text1"/>
          <w:spacing w:val="38"/>
          <w:sz w:val="28"/>
          <w:szCs w:val="28"/>
          <w:lang w:val="en-US"/>
        </w:rPr>
        <w:t>What key provisions of the Data Protection Act should you familiarize yourself with?  </w:t>
      </w:r>
    </w:p>
    <w:bookmarkEnd w:id="0"/>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Most entities (Where applicable this will also refer to natural persons processing personal information) incorporated, registered and operating in Kenya are already subject to some form of regulation or applicable statute. This Act introduces a further grouping of these entities depending on how they relate to data subjects and not what the statute refers to them.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definitions on what one would think are common terminologies such as data or processing are extensive in light of the troves of information parties have been submitting, collecting and storing as businesses leverages on technological solutions to offer goods and services.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lastRenderedPageBreak/>
        <w:t>All affected parties must be aware of the extensive definitions of key terms in the Act including;  </w:t>
      </w:r>
    </w:p>
    <w:p w:rsidR="002E6E15" w:rsidRPr="002E6E15" w:rsidRDefault="002E6E15" w:rsidP="002E6E15">
      <w:pPr>
        <w:numPr>
          <w:ilvl w:val="0"/>
          <w:numId w:val="1"/>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b/>
          <w:bCs/>
          <w:color w:val="000000" w:themeColor="text1"/>
          <w:sz w:val="28"/>
          <w:szCs w:val="28"/>
          <w:bdr w:val="none" w:sz="0" w:space="0" w:color="auto" w:frame="1"/>
          <w:lang w:val="en-US"/>
        </w:rPr>
        <w:t>Data</w:t>
      </w:r>
      <w:r w:rsidRPr="002E6E15">
        <w:rPr>
          <w:rFonts w:ascii="Book Antiqua" w:eastAsia="Times New Roman" w:hAnsi="Book Antiqua" w:cs="Segoe UI"/>
          <w:color w:val="000000" w:themeColor="text1"/>
          <w:sz w:val="28"/>
          <w:szCs w:val="28"/>
          <w:lang w:val="en-US"/>
        </w:rPr>
        <w:t>–</w:t>
      </w:r>
      <w:r w:rsidRPr="002E6E15">
        <w:rPr>
          <w:rFonts w:ascii="Book Antiqua" w:eastAsia="Times New Roman" w:hAnsi="Book Antiqua" w:cs="Segoe UI"/>
          <w:b/>
          <w:bCs/>
          <w:i/>
          <w:iCs/>
          <w:color w:val="000000" w:themeColor="text1"/>
          <w:sz w:val="28"/>
          <w:szCs w:val="28"/>
          <w:bdr w:val="none" w:sz="0" w:space="0" w:color="auto" w:frame="1"/>
          <w:lang w:val="en-US"/>
        </w:rPr>
        <w:t>means information which-</w:t>
      </w:r>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a) </w:t>
      </w:r>
      <w:r w:rsidRPr="002E6E15">
        <w:rPr>
          <w:rFonts w:ascii="Book Antiqua" w:eastAsia="Times New Roman" w:hAnsi="Book Antiqua" w:cs="Segoe UI"/>
          <w:b/>
          <w:bCs/>
          <w:i/>
          <w:iCs/>
          <w:color w:val="000000" w:themeColor="text1"/>
          <w:sz w:val="28"/>
          <w:szCs w:val="28"/>
          <w:bdr w:val="none" w:sz="0" w:space="0" w:color="auto" w:frame="1"/>
          <w:lang w:val="en-US"/>
        </w:rPr>
        <w:t>is processed by means of equipment operating automatically in response to instructions given for that purpose; </w:t>
      </w:r>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b) </w:t>
      </w:r>
      <w:r w:rsidRPr="002E6E15">
        <w:rPr>
          <w:rFonts w:ascii="Book Antiqua" w:eastAsia="Times New Roman" w:hAnsi="Book Antiqua" w:cs="Segoe UI"/>
          <w:b/>
          <w:bCs/>
          <w:i/>
          <w:iCs/>
          <w:color w:val="000000" w:themeColor="text1"/>
          <w:sz w:val="28"/>
          <w:szCs w:val="28"/>
          <w:bdr w:val="none" w:sz="0" w:space="0" w:color="auto" w:frame="1"/>
          <w:lang w:val="en-US"/>
        </w:rPr>
        <w:t>is recorded with intention that it should be processed by means of such equipment; </w:t>
      </w:r>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c) </w:t>
      </w:r>
      <w:r w:rsidRPr="002E6E15">
        <w:rPr>
          <w:rFonts w:ascii="Book Antiqua" w:eastAsia="Times New Roman" w:hAnsi="Book Antiqua" w:cs="Segoe UI"/>
          <w:b/>
          <w:bCs/>
          <w:i/>
          <w:iCs/>
          <w:color w:val="000000" w:themeColor="text1"/>
          <w:sz w:val="28"/>
          <w:szCs w:val="28"/>
          <w:bdr w:val="none" w:sz="0" w:space="0" w:color="auto" w:frame="1"/>
          <w:lang w:val="en-US"/>
        </w:rPr>
        <w:t>is recorded as part of a relevant filing system; </w:t>
      </w:r>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d) </w:t>
      </w:r>
      <w:r w:rsidRPr="002E6E15">
        <w:rPr>
          <w:rFonts w:ascii="Book Antiqua" w:eastAsia="Times New Roman" w:hAnsi="Book Antiqua" w:cs="Segoe UI"/>
          <w:b/>
          <w:bCs/>
          <w:i/>
          <w:iCs/>
          <w:color w:val="000000" w:themeColor="text1"/>
          <w:sz w:val="28"/>
          <w:szCs w:val="28"/>
          <w:bdr w:val="none" w:sz="0" w:space="0" w:color="auto" w:frame="1"/>
          <w:lang w:val="en-US"/>
        </w:rPr>
        <w:t>forms part of an accessible record and it does not fall within a-c; </w:t>
      </w:r>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e) </w:t>
      </w:r>
      <w:r w:rsidRPr="002E6E15">
        <w:rPr>
          <w:rFonts w:ascii="Book Antiqua" w:eastAsia="Times New Roman" w:hAnsi="Book Antiqua" w:cs="Segoe UI"/>
          <w:b/>
          <w:bCs/>
          <w:i/>
          <w:iCs/>
          <w:color w:val="000000" w:themeColor="text1"/>
          <w:sz w:val="28"/>
          <w:szCs w:val="28"/>
          <w:bdr w:val="none" w:sz="0" w:space="0" w:color="auto" w:frame="1"/>
          <w:lang w:val="en-US"/>
        </w:rPr>
        <w:t>is recorded information which is held by a public entity and does not fall within a-d above. </w:t>
      </w:r>
      <w:r w:rsidRPr="002E6E15">
        <w:rPr>
          <w:rFonts w:ascii="Book Antiqua" w:eastAsia="Times New Roman" w:hAnsi="Book Antiqua" w:cs="Segoe UI"/>
          <w:color w:val="000000" w:themeColor="text1"/>
          <w:sz w:val="28"/>
          <w:szCs w:val="28"/>
          <w:lang w:val="en-US"/>
        </w:rPr>
        <w:t> </w:t>
      </w:r>
    </w:p>
    <w:p w:rsidR="002E6E15" w:rsidRPr="002E6E15" w:rsidRDefault="002E6E15" w:rsidP="002E6E15">
      <w:pPr>
        <w:numPr>
          <w:ilvl w:val="0"/>
          <w:numId w:val="2"/>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b/>
          <w:bCs/>
          <w:color w:val="000000" w:themeColor="text1"/>
          <w:sz w:val="28"/>
          <w:szCs w:val="28"/>
          <w:bdr w:val="none" w:sz="0" w:space="0" w:color="auto" w:frame="1"/>
          <w:lang w:val="en-US"/>
        </w:rPr>
        <w:t>Data Controller-</w:t>
      </w:r>
      <w:r w:rsidRPr="002E6E15">
        <w:rPr>
          <w:rFonts w:ascii="Book Antiqua" w:eastAsia="Times New Roman" w:hAnsi="Book Antiqua" w:cs="Segoe UI"/>
          <w:b/>
          <w:bCs/>
          <w:i/>
          <w:iCs/>
          <w:color w:val="000000" w:themeColor="text1"/>
          <w:sz w:val="28"/>
          <w:szCs w:val="28"/>
          <w:bdr w:val="none" w:sz="0" w:space="0" w:color="auto" w:frame="1"/>
          <w:lang w:val="en-US"/>
        </w:rPr>
        <w:t>means a natural or legal person, public authority, agency or other body which alone, or jointly with others determines the purpose and means of processing of personal data; </w:t>
      </w:r>
      <w:r w:rsidRPr="002E6E15">
        <w:rPr>
          <w:rFonts w:ascii="Book Antiqua" w:eastAsia="Times New Roman" w:hAnsi="Book Antiqua" w:cs="Segoe UI"/>
          <w:color w:val="000000" w:themeColor="text1"/>
          <w:sz w:val="28"/>
          <w:szCs w:val="28"/>
          <w:lang w:val="en-US"/>
        </w:rPr>
        <w:t>This extends to anyone who collects data through automated processes for a certain purpose. </w:t>
      </w:r>
    </w:p>
    <w:p w:rsidR="002E6E15" w:rsidRPr="002E6E15" w:rsidRDefault="002E6E15" w:rsidP="002E6E15">
      <w:pPr>
        <w:numPr>
          <w:ilvl w:val="0"/>
          <w:numId w:val="3"/>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b/>
          <w:bCs/>
          <w:color w:val="000000" w:themeColor="text1"/>
          <w:sz w:val="28"/>
          <w:szCs w:val="28"/>
          <w:bdr w:val="none" w:sz="0" w:space="0" w:color="auto" w:frame="1"/>
          <w:lang w:val="en-US"/>
        </w:rPr>
        <w:t>Data Processor- </w:t>
      </w:r>
      <w:r w:rsidRPr="002E6E15">
        <w:rPr>
          <w:rFonts w:ascii="Book Antiqua" w:eastAsia="Times New Roman" w:hAnsi="Book Antiqua" w:cs="Segoe UI"/>
          <w:b/>
          <w:bCs/>
          <w:i/>
          <w:iCs/>
          <w:color w:val="000000" w:themeColor="text1"/>
          <w:sz w:val="28"/>
          <w:szCs w:val="28"/>
          <w:bdr w:val="none" w:sz="0" w:space="0" w:color="auto" w:frame="1"/>
          <w:lang w:val="en-US"/>
        </w:rPr>
        <w:t>means a natural or legal person, public authority, agency or other body which processes personal data on behalf of the data controller; </w:t>
      </w:r>
      <w:r w:rsidRPr="002E6E15">
        <w:rPr>
          <w:rFonts w:ascii="Book Antiqua" w:eastAsia="Times New Roman" w:hAnsi="Book Antiqua" w:cs="Segoe UI"/>
          <w:color w:val="000000" w:themeColor="text1"/>
          <w:sz w:val="28"/>
          <w:szCs w:val="28"/>
          <w:lang w:val="en-US"/>
        </w:rPr>
        <w:t xml:space="preserve">This covers third parties who do not directly collect the data from the subject but through their  relationship with the data controller have access to such data and process it </w:t>
      </w:r>
      <w:proofErr w:type="spellStart"/>
      <w:r w:rsidRPr="002E6E15">
        <w:rPr>
          <w:rFonts w:ascii="Book Antiqua" w:eastAsia="Times New Roman" w:hAnsi="Book Antiqua" w:cs="Segoe UI"/>
          <w:color w:val="000000" w:themeColor="text1"/>
          <w:sz w:val="28"/>
          <w:szCs w:val="28"/>
          <w:lang w:val="en-US"/>
        </w:rPr>
        <w:t>e.g</w:t>
      </w:r>
      <w:proofErr w:type="spellEnd"/>
      <w:r w:rsidRPr="002E6E15">
        <w:rPr>
          <w:rFonts w:ascii="Book Antiqua" w:eastAsia="Times New Roman" w:hAnsi="Book Antiqua" w:cs="Segoe UI"/>
          <w:color w:val="000000" w:themeColor="text1"/>
          <w:sz w:val="28"/>
          <w:szCs w:val="28"/>
          <w:lang w:val="en-US"/>
        </w:rPr>
        <w:t xml:space="preserve"> financial service firms (controllers) who collect customer data (data subject) that partner with payment service providers or software solution vendors(processors).  </w:t>
      </w:r>
    </w:p>
    <w:p w:rsidR="002E6E15" w:rsidRPr="002E6E15" w:rsidRDefault="002E6E15" w:rsidP="002E6E15">
      <w:pPr>
        <w:numPr>
          <w:ilvl w:val="0"/>
          <w:numId w:val="4"/>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b/>
          <w:bCs/>
          <w:color w:val="000000" w:themeColor="text1"/>
          <w:sz w:val="28"/>
          <w:szCs w:val="28"/>
          <w:bdr w:val="none" w:sz="0" w:space="0" w:color="auto" w:frame="1"/>
          <w:lang w:val="en-US"/>
        </w:rPr>
        <w:t>Data Subject– </w:t>
      </w:r>
      <w:r w:rsidRPr="002E6E15">
        <w:rPr>
          <w:rFonts w:ascii="Book Antiqua" w:eastAsia="Times New Roman" w:hAnsi="Book Antiqua" w:cs="Segoe UI"/>
          <w:b/>
          <w:bCs/>
          <w:i/>
          <w:iCs/>
          <w:color w:val="000000" w:themeColor="text1"/>
          <w:sz w:val="28"/>
          <w:szCs w:val="28"/>
          <w:bdr w:val="none" w:sz="0" w:space="0" w:color="auto" w:frame="1"/>
          <w:lang w:val="en-US"/>
        </w:rPr>
        <w:t>means an identified or identifiable natural person who is the subject of personal data. </w:t>
      </w:r>
      <w:r w:rsidRPr="002E6E15">
        <w:rPr>
          <w:rFonts w:ascii="Book Antiqua" w:eastAsia="Times New Roman" w:hAnsi="Book Antiqua" w:cs="Segoe UI"/>
          <w:color w:val="000000" w:themeColor="text1"/>
          <w:sz w:val="28"/>
          <w:szCs w:val="28"/>
          <w:lang w:val="en-US"/>
        </w:rPr>
        <w:t xml:space="preserve">Other classes of legal persons like corporates </w:t>
      </w:r>
      <w:proofErr w:type="spellStart"/>
      <w:r w:rsidRPr="002E6E15">
        <w:rPr>
          <w:rFonts w:ascii="Book Antiqua" w:eastAsia="Times New Roman" w:hAnsi="Book Antiqua" w:cs="Segoe UI"/>
          <w:color w:val="000000" w:themeColor="text1"/>
          <w:sz w:val="28"/>
          <w:szCs w:val="28"/>
          <w:lang w:val="en-US"/>
        </w:rPr>
        <w:t>etc</w:t>
      </w:r>
      <w:proofErr w:type="spellEnd"/>
      <w:r w:rsidRPr="002E6E15">
        <w:rPr>
          <w:rFonts w:ascii="Book Antiqua" w:eastAsia="Times New Roman" w:hAnsi="Book Antiqua" w:cs="Segoe UI"/>
          <w:color w:val="000000" w:themeColor="text1"/>
          <w:sz w:val="28"/>
          <w:szCs w:val="28"/>
          <w:lang w:val="en-US"/>
        </w:rPr>
        <w:t xml:space="preserve"> are not protected. Further, only Kenyan residents are protected.  </w:t>
      </w:r>
    </w:p>
    <w:p w:rsidR="002E6E15" w:rsidRPr="002E6E15" w:rsidRDefault="002E6E15" w:rsidP="002E6E15">
      <w:pPr>
        <w:numPr>
          <w:ilvl w:val="0"/>
          <w:numId w:val="5"/>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b/>
          <w:bCs/>
          <w:color w:val="000000" w:themeColor="text1"/>
          <w:sz w:val="28"/>
          <w:szCs w:val="28"/>
          <w:bdr w:val="none" w:sz="0" w:space="0" w:color="auto" w:frame="1"/>
          <w:lang w:val="en-US"/>
        </w:rPr>
        <w:t>Personal Data</w:t>
      </w:r>
      <w:r w:rsidRPr="002E6E15">
        <w:rPr>
          <w:rFonts w:ascii="Book Antiqua" w:eastAsia="Times New Roman" w:hAnsi="Book Antiqua" w:cs="Segoe UI"/>
          <w:b/>
          <w:bCs/>
          <w:i/>
          <w:iCs/>
          <w:color w:val="000000" w:themeColor="text1"/>
          <w:sz w:val="28"/>
          <w:szCs w:val="28"/>
          <w:bdr w:val="none" w:sz="0" w:space="0" w:color="auto" w:frame="1"/>
          <w:lang w:val="en-US"/>
        </w:rPr>
        <w:t>-means any information relating to an identified or identifiable natural person. </w:t>
      </w:r>
      <w:r w:rsidRPr="002E6E15">
        <w:rPr>
          <w:rFonts w:ascii="Book Antiqua" w:eastAsia="Times New Roman" w:hAnsi="Book Antiqua" w:cs="Segoe UI"/>
          <w:color w:val="000000" w:themeColor="text1"/>
          <w:sz w:val="28"/>
          <w:szCs w:val="28"/>
          <w:lang w:val="en-US"/>
        </w:rPr>
        <w:t>This covers identifiers such as names, home address, e-mail address, I.D number, location address, advertising identifiers etc.  </w:t>
      </w:r>
    </w:p>
    <w:p w:rsidR="002E6E15" w:rsidRPr="002E6E15" w:rsidRDefault="002E6E15" w:rsidP="002E6E15">
      <w:pPr>
        <w:numPr>
          <w:ilvl w:val="0"/>
          <w:numId w:val="6"/>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b/>
          <w:bCs/>
          <w:color w:val="000000" w:themeColor="text1"/>
          <w:sz w:val="28"/>
          <w:szCs w:val="28"/>
          <w:bdr w:val="none" w:sz="0" w:space="0" w:color="auto" w:frame="1"/>
          <w:lang w:val="en-US"/>
        </w:rPr>
        <w:t>Personal data breach</w:t>
      </w:r>
      <w:r w:rsidRPr="002E6E15">
        <w:rPr>
          <w:rFonts w:ascii="Book Antiqua" w:eastAsia="Times New Roman" w:hAnsi="Book Antiqua" w:cs="Segoe UI"/>
          <w:b/>
          <w:bCs/>
          <w:i/>
          <w:iCs/>
          <w:color w:val="000000" w:themeColor="text1"/>
          <w:sz w:val="28"/>
          <w:szCs w:val="28"/>
          <w:bdr w:val="none" w:sz="0" w:space="0" w:color="auto" w:frame="1"/>
          <w:lang w:val="en-US"/>
        </w:rPr>
        <w:t xml:space="preserve">-means the breach of security leading to the accidental or unlawful destruction, loss, alteration, </w:t>
      </w:r>
      <w:proofErr w:type="spellStart"/>
      <w:r w:rsidRPr="002E6E15">
        <w:rPr>
          <w:rFonts w:ascii="Book Antiqua" w:eastAsia="Times New Roman" w:hAnsi="Book Antiqua" w:cs="Segoe UI"/>
          <w:b/>
          <w:bCs/>
          <w:i/>
          <w:iCs/>
          <w:color w:val="000000" w:themeColor="text1"/>
          <w:sz w:val="28"/>
          <w:szCs w:val="28"/>
          <w:bdr w:val="none" w:sz="0" w:space="0" w:color="auto" w:frame="1"/>
          <w:lang w:val="en-US"/>
        </w:rPr>
        <w:t>unauthorised</w:t>
      </w:r>
      <w:proofErr w:type="spellEnd"/>
      <w:r w:rsidRPr="002E6E15">
        <w:rPr>
          <w:rFonts w:ascii="Book Antiqua" w:eastAsia="Times New Roman" w:hAnsi="Book Antiqua" w:cs="Segoe UI"/>
          <w:b/>
          <w:bCs/>
          <w:i/>
          <w:iCs/>
          <w:color w:val="000000" w:themeColor="text1"/>
          <w:sz w:val="28"/>
          <w:szCs w:val="28"/>
          <w:bdr w:val="none" w:sz="0" w:space="0" w:color="auto" w:frame="1"/>
          <w:lang w:val="en-US"/>
        </w:rPr>
        <w:t xml:space="preserve"> disclosure of, access to, personal data transmitted, stored or </w:t>
      </w:r>
      <w:r w:rsidRPr="002E6E15">
        <w:rPr>
          <w:rFonts w:ascii="Book Antiqua" w:eastAsia="Times New Roman" w:hAnsi="Book Antiqua" w:cs="Segoe UI"/>
          <w:b/>
          <w:bCs/>
          <w:i/>
          <w:iCs/>
          <w:color w:val="000000" w:themeColor="text1"/>
          <w:sz w:val="28"/>
          <w:szCs w:val="28"/>
          <w:bdr w:val="none" w:sz="0" w:space="0" w:color="auto" w:frame="1"/>
          <w:lang w:val="en-US"/>
        </w:rPr>
        <w:lastRenderedPageBreak/>
        <w:t>otherwise processed. </w:t>
      </w:r>
      <w:r w:rsidRPr="002E6E15">
        <w:rPr>
          <w:rFonts w:ascii="Book Antiqua" w:eastAsia="Times New Roman" w:hAnsi="Book Antiqua" w:cs="Segoe UI"/>
          <w:color w:val="000000" w:themeColor="text1"/>
          <w:sz w:val="28"/>
          <w:szCs w:val="28"/>
          <w:lang w:val="en-US"/>
        </w:rPr>
        <w:t>This obviously has implications on existing business policies.  </w:t>
      </w:r>
    </w:p>
    <w:p w:rsidR="002E6E15" w:rsidRPr="002E6E15" w:rsidRDefault="002E6E15" w:rsidP="002E6E15">
      <w:pPr>
        <w:numPr>
          <w:ilvl w:val="0"/>
          <w:numId w:val="7"/>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b/>
          <w:bCs/>
          <w:color w:val="000000" w:themeColor="text1"/>
          <w:sz w:val="28"/>
          <w:szCs w:val="28"/>
          <w:bdr w:val="none" w:sz="0" w:space="0" w:color="auto" w:frame="1"/>
          <w:lang w:val="en-US"/>
        </w:rPr>
        <w:t>Processing</w:t>
      </w:r>
      <w:r w:rsidRPr="002E6E15">
        <w:rPr>
          <w:rFonts w:ascii="Book Antiqua" w:eastAsia="Times New Roman" w:hAnsi="Book Antiqua" w:cs="Segoe UI"/>
          <w:b/>
          <w:bCs/>
          <w:i/>
          <w:iCs/>
          <w:color w:val="000000" w:themeColor="text1"/>
          <w:sz w:val="28"/>
          <w:szCs w:val="28"/>
          <w:bdr w:val="none" w:sz="0" w:space="0" w:color="auto" w:frame="1"/>
          <w:lang w:val="en-US"/>
        </w:rPr>
        <w:t>–means any operation or sets of operations which is performed on personal data or on sets of personal data such </w:t>
      </w:r>
      <w:proofErr w:type="gramStart"/>
      <w:r w:rsidRPr="002E6E15">
        <w:rPr>
          <w:rFonts w:ascii="Book Antiqua" w:eastAsia="Times New Roman" w:hAnsi="Book Antiqua" w:cs="Segoe UI"/>
          <w:b/>
          <w:bCs/>
          <w:i/>
          <w:iCs/>
          <w:color w:val="000000" w:themeColor="text1"/>
          <w:sz w:val="28"/>
          <w:szCs w:val="28"/>
          <w:bdr w:val="none" w:sz="0" w:space="0" w:color="auto" w:frame="1"/>
          <w:lang w:val="en-US"/>
        </w:rPr>
        <w:t>as:-</w:t>
      </w:r>
      <w:proofErr w:type="gramEnd"/>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a) </w:t>
      </w:r>
      <w:r w:rsidRPr="002E6E15">
        <w:rPr>
          <w:rFonts w:ascii="Book Antiqua" w:eastAsia="Times New Roman" w:hAnsi="Book Antiqua" w:cs="Segoe UI"/>
          <w:b/>
          <w:bCs/>
          <w:i/>
          <w:iCs/>
          <w:color w:val="000000" w:themeColor="text1"/>
          <w:sz w:val="28"/>
          <w:szCs w:val="28"/>
          <w:bdr w:val="none" w:sz="0" w:space="0" w:color="auto" w:frame="1"/>
          <w:lang w:val="en-US"/>
        </w:rPr>
        <w:t xml:space="preserve">Collection, recording, </w:t>
      </w:r>
      <w:proofErr w:type="spellStart"/>
      <w:r w:rsidRPr="002E6E15">
        <w:rPr>
          <w:rFonts w:ascii="Book Antiqua" w:eastAsia="Times New Roman" w:hAnsi="Book Antiqua" w:cs="Segoe UI"/>
          <w:b/>
          <w:bCs/>
          <w:i/>
          <w:iCs/>
          <w:color w:val="000000" w:themeColor="text1"/>
          <w:sz w:val="28"/>
          <w:szCs w:val="28"/>
          <w:bdr w:val="none" w:sz="0" w:space="0" w:color="auto" w:frame="1"/>
          <w:lang w:val="en-US"/>
        </w:rPr>
        <w:t>organisation</w:t>
      </w:r>
      <w:proofErr w:type="spellEnd"/>
      <w:r w:rsidRPr="002E6E15">
        <w:rPr>
          <w:rFonts w:ascii="Book Antiqua" w:eastAsia="Times New Roman" w:hAnsi="Book Antiqua" w:cs="Segoe UI"/>
          <w:b/>
          <w:bCs/>
          <w:i/>
          <w:iCs/>
          <w:color w:val="000000" w:themeColor="text1"/>
          <w:sz w:val="28"/>
          <w:szCs w:val="28"/>
          <w:bdr w:val="none" w:sz="0" w:space="0" w:color="auto" w:frame="1"/>
          <w:lang w:val="en-US"/>
        </w:rPr>
        <w:t>, structuring; </w:t>
      </w:r>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b) </w:t>
      </w:r>
      <w:r w:rsidRPr="002E6E15">
        <w:rPr>
          <w:rFonts w:ascii="Book Antiqua" w:eastAsia="Times New Roman" w:hAnsi="Book Antiqua" w:cs="Segoe UI"/>
          <w:b/>
          <w:bCs/>
          <w:i/>
          <w:iCs/>
          <w:color w:val="000000" w:themeColor="text1"/>
          <w:sz w:val="28"/>
          <w:szCs w:val="28"/>
          <w:bdr w:val="none" w:sz="0" w:space="0" w:color="auto" w:frame="1"/>
          <w:lang w:val="en-US"/>
        </w:rPr>
        <w:t>Storage, adaptation or alteration; </w:t>
      </w:r>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c) </w:t>
      </w:r>
      <w:r w:rsidRPr="002E6E15">
        <w:rPr>
          <w:rFonts w:ascii="Book Antiqua" w:eastAsia="Times New Roman" w:hAnsi="Book Antiqua" w:cs="Segoe UI"/>
          <w:b/>
          <w:bCs/>
          <w:i/>
          <w:iCs/>
          <w:color w:val="000000" w:themeColor="text1"/>
          <w:sz w:val="28"/>
          <w:szCs w:val="28"/>
          <w:bdr w:val="none" w:sz="0" w:space="0" w:color="auto" w:frame="1"/>
          <w:lang w:val="en-US"/>
        </w:rPr>
        <w:t>Retrieval, consultation or use; </w:t>
      </w:r>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d) </w:t>
      </w:r>
      <w:r w:rsidRPr="002E6E15">
        <w:rPr>
          <w:rFonts w:ascii="Book Antiqua" w:eastAsia="Times New Roman" w:hAnsi="Book Antiqua" w:cs="Segoe UI"/>
          <w:b/>
          <w:bCs/>
          <w:i/>
          <w:iCs/>
          <w:color w:val="000000" w:themeColor="text1"/>
          <w:sz w:val="28"/>
          <w:szCs w:val="28"/>
          <w:bdr w:val="none" w:sz="0" w:space="0" w:color="auto" w:frame="1"/>
          <w:lang w:val="en-US"/>
        </w:rPr>
        <w:t>Disclosure by transmission, dissemination or otherwise making available; or </w:t>
      </w:r>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e) </w:t>
      </w:r>
      <w:r w:rsidRPr="002E6E15">
        <w:rPr>
          <w:rFonts w:ascii="Book Antiqua" w:eastAsia="Times New Roman" w:hAnsi="Book Antiqua" w:cs="Segoe UI"/>
          <w:b/>
          <w:bCs/>
          <w:i/>
          <w:iCs/>
          <w:color w:val="000000" w:themeColor="text1"/>
          <w:sz w:val="28"/>
          <w:szCs w:val="28"/>
          <w:bdr w:val="none" w:sz="0" w:space="0" w:color="auto" w:frame="1"/>
          <w:lang w:val="en-US"/>
        </w:rPr>
        <w:t>Alignment or combination, restriction, erasure or destruction. </w:t>
      </w:r>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Notably, just collecting the information is regarded as processing.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When it comes to collection of personal data, the Act is alive to the fact that this can be collected indirectly, other than from the data subject. Such circumstances include from public sources, with consent from the data subject or from a source that will not prejudice the interests of the data subject.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Notably, the Act does further state that the indirect collection of personal data from other sources may be necessitated in order to prevent, detect, investigate, prosecute or punish a crime; enforce a law or protect the interests of the data subject or a person.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Act provides certain principles for processing personal data. The implication of this provision is that entities will be forced to undertake a data mapping exercise to establish the amounts and classification of data they collect and store in their systems or manually. They will then need to honestly question themselves whether all this data is important and necessary for their delivery of services and goods. Most of the data may turn out to be irrelevant, unnecessary or even outdated and some even procured without the data subject’s consent. The Act states the principles of personal data processing to include: – </w:t>
      </w:r>
    </w:p>
    <w:p w:rsidR="002E6E15" w:rsidRPr="002E6E15" w:rsidRDefault="002E6E15" w:rsidP="002E6E15">
      <w:pPr>
        <w:numPr>
          <w:ilvl w:val="0"/>
          <w:numId w:val="8"/>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Processing in accordance to right to privacy;  </w:t>
      </w:r>
    </w:p>
    <w:p w:rsidR="002E6E15" w:rsidRPr="002E6E15" w:rsidRDefault="002E6E15" w:rsidP="002E6E15">
      <w:pPr>
        <w:numPr>
          <w:ilvl w:val="0"/>
          <w:numId w:val="9"/>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Lawful, fair and transparent processing;  </w:t>
      </w:r>
    </w:p>
    <w:p w:rsidR="002E6E15" w:rsidRPr="002E6E15" w:rsidRDefault="002E6E15" w:rsidP="002E6E15">
      <w:pPr>
        <w:numPr>
          <w:ilvl w:val="0"/>
          <w:numId w:val="10"/>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Explicit, specific and legitimate purposes in collecting data;  </w:t>
      </w:r>
    </w:p>
    <w:p w:rsidR="002E6E15" w:rsidRPr="002E6E15" w:rsidRDefault="002E6E15" w:rsidP="002E6E15">
      <w:pPr>
        <w:numPr>
          <w:ilvl w:val="0"/>
          <w:numId w:val="11"/>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lastRenderedPageBreak/>
        <w:t>Adequacy, relevance and limitation as to what data is necessary;  </w:t>
      </w:r>
    </w:p>
    <w:p w:rsidR="002E6E15" w:rsidRPr="002E6E15" w:rsidRDefault="002E6E15" w:rsidP="002E6E15">
      <w:pPr>
        <w:numPr>
          <w:ilvl w:val="0"/>
          <w:numId w:val="12"/>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Collection after a valid explanation is provided;  </w:t>
      </w:r>
    </w:p>
    <w:p w:rsidR="002E6E15" w:rsidRPr="002E6E15" w:rsidRDefault="002E6E15" w:rsidP="002E6E15">
      <w:pPr>
        <w:numPr>
          <w:ilvl w:val="0"/>
          <w:numId w:val="13"/>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Accuracy and up to date, with availability of correction without delay;  </w:t>
      </w:r>
    </w:p>
    <w:p w:rsidR="002E6E15" w:rsidRPr="002E6E15" w:rsidRDefault="002E6E15" w:rsidP="002E6E15">
      <w:pPr>
        <w:numPr>
          <w:ilvl w:val="0"/>
          <w:numId w:val="14"/>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Kept only for timelines necessary for purpose it was collected;  </w:t>
      </w:r>
    </w:p>
    <w:p w:rsidR="002E6E15" w:rsidRPr="002E6E15" w:rsidRDefault="002E6E15" w:rsidP="002E6E15">
      <w:pPr>
        <w:numPr>
          <w:ilvl w:val="0"/>
          <w:numId w:val="15"/>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Portability outside Kenya only upon consent or proof of adequate safeguards;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Given the general nature of these principles, it would then be up to the data controller or processor to demonstrate compliance, for instance that they have processed the personal information fairly and in a transparent manner. This is all entrenched on the business’s systems and policies.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In addition to the rights guaranteed in Article 31 (c and d) of the Constitution, the data subject has a right </w:t>
      </w:r>
      <w:proofErr w:type="gramStart"/>
      <w:r w:rsidRPr="002E6E15">
        <w:rPr>
          <w:rFonts w:ascii="Book Antiqua" w:eastAsia="Times New Roman" w:hAnsi="Book Antiqua" w:cs="Segoe UI"/>
          <w:color w:val="000000" w:themeColor="text1"/>
          <w:sz w:val="28"/>
          <w:szCs w:val="28"/>
          <w:lang w:val="en-US"/>
        </w:rPr>
        <w:t>to:-</w:t>
      </w:r>
      <w:proofErr w:type="gramEnd"/>
      <w:r w:rsidRPr="002E6E15">
        <w:rPr>
          <w:rFonts w:ascii="Book Antiqua" w:eastAsia="Times New Roman" w:hAnsi="Book Antiqua" w:cs="Segoe UI"/>
          <w:color w:val="000000" w:themeColor="text1"/>
          <w:sz w:val="28"/>
          <w:szCs w:val="28"/>
          <w:lang w:val="en-US"/>
        </w:rPr>
        <w:t> </w:t>
      </w:r>
    </w:p>
    <w:p w:rsidR="002E6E15" w:rsidRPr="002E6E15" w:rsidRDefault="002E6E15" w:rsidP="002E6E15">
      <w:pPr>
        <w:numPr>
          <w:ilvl w:val="0"/>
          <w:numId w:val="16"/>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Be informed of the use to which their personal data is to be put;  </w:t>
      </w:r>
    </w:p>
    <w:p w:rsidR="002E6E15" w:rsidRPr="002E6E15" w:rsidRDefault="002E6E15" w:rsidP="002E6E15">
      <w:pPr>
        <w:numPr>
          <w:ilvl w:val="0"/>
          <w:numId w:val="17"/>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Access their personal data in custody of the data controller or processor;  </w:t>
      </w:r>
    </w:p>
    <w:p w:rsidR="002E6E15" w:rsidRPr="002E6E15" w:rsidRDefault="002E6E15" w:rsidP="002E6E15">
      <w:pPr>
        <w:numPr>
          <w:ilvl w:val="0"/>
          <w:numId w:val="18"/>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Object to the processing of all or part of their personal data;  </w:t>
      </w:r>
    </w:p>
    <w:p w:rsidR="002E6E15" w:rsidRPr="002E6E15" w:rsidRDefault="002E6E15" w:rsidP="002E6E15">
      <w:pPr>
        <w:numPr>
          <w:ilvl w:val="0"/>
          <w:numId w:val="19"/>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Correct false or misleading data;  </w:t>
      </w:r>
    </w:p>
    <w:p w:rsidR="002E6E15" w:rsidRPr="002E6E15" w:rsidRDefault="002E6E15" w:rsidP="002E6E15">
      <w:pPr>
        <w:numPr>
          <w:ilvl w:val="0"/>
          <w:numId w:val="20"/>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Delete false or misleading data; </w:t>
      </w:r>
    </w:p>
    <w:p w:rsidR="002E6E15" w:rsidRPr="002E6E15" w:rsidRDefault="002E6E15" w:rsidP="002E6E15">
      <w:pPr>
        <w:numPr>
          <w:ilvl w:val="0"/>
          <w:numId w:val="21"/>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Data portability in a machine-readable format within reasonable time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Organizations must restructure their business processes to facilitate this in case a data subject elects to enforce this right.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Consent is Key. In collecting personal data, data controllers and processors have a duty to notify and inform the data subject on all the aspects highlighted above regarding processing of the data. Only after consent is procured from the data subject, can the data controller or processer commence with processing. The burden of proof for establishing the consent lies with the data controller or processor. There are certain exceptions to consent from a data subject provided in the Act, for instance if the processing is necessary for legal compliance, public interest or a statutory task by public authority.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lastRenderedPageBreak/>
        <w:t>The Act advises entities whose processing operations are likely to result in high risks to the rights and freedoms of a data subject to carry out a data protection impact assessment (DPIA) in consultation with the DC.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In light of advanced technologies being used by various entities to promote their business objectives the Act states that a data subject has a right not to be subjected to a decision based solely on automated processing. This also includes any instances of profiling. Where the consequence is to produce legal effects concerning or affecting the data subject, the data subject’s rights will be infringed. There are exceptions to this provision such as where consent has been issued or where there is legal </w:t>
      </w:r>
      <w:proofErr w:type="spellStart"/>
      <w:r w:rsidRPr="002E6E15">
        <w:rPr>
          <w:rFonts w:ascii="Book Antiqua" w:eastAsia="Times New Roman" w:hAnsi="Book Antiqua" w:cs="Segoe UI"/>
          <w:color w:val="000000" w:themeColor="text1"/>
          <w:sz w:val="28"/>
          <w:szCs w:val="28"/>
          <w:lang w:val="en-US"/>
        </w:rPr>
        <w:t>authorisation</w:t>
      </w:r>
      <w:proofErr w:type="spellEnd"/>
      <w:r w:rsidRPr="002E6E15">
        <w:rPr>
          <w:rFonts w:ascii="Book Antiqua" w:eastAsia="Times New Roman" w:hAnsi="Book Antiqua" w:cs="Segoe UI"/>
          <w:color w:val="000000" w:themeColor="text1"/>
          <w:sz w:val="28"/>
          <w:szCs w:val="28"/>
          <w:lang w:val="en-US"/>
        </w:rPr>
        <w:t>.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The Cabinet secretary has power to prescribe certain nature of processing that shall only be affected through a data server or data </w:t>
      </w:r>
      <w:proofErr w:type="spellStart"/>
      <w:r w:rsidRPr="002E6E15">
        <w:rPr>
          <w:rFonts w:ascii="Book Antiqua" w:eastAsia="Times New Roman" w:hAnsi="Book Antiqua" w:cs="Segoe UI"/>
          <w:color w:val="000000" w:themeColor="text1"/>
          <w:sz w:val="28"/>
          <w:szCs w:val="28"/>
          <w:lang w:val="en-US"/>
        </w:rPr>
        <w:t>centre</w:t>
      </w:r>
      <w:proofErr w:type="spellEnd"/>
      <w:r w:rsidRPr="002E6E15">
        <w:rPr>
          <w:rFonts w:ascii="Book Antiqua" w:eastAsia="Times New Roman" w:hAnsi="Book Antiqua" w:cs="Segoe UI"/>
          <w:color w:val="000000" w:themeColor="text1"/>
          <w:sz w:val="28"/>
          <w:szCs w:val="28"/>
          <w:lang w:val="en-US"/>
        </w:rPr>
        <w:t xml:space="preserve"> in Kenya. This would have far reaching consequences for businesses. Notably, many technology companies have been setting up data </w:t>
      </w:r>
      <w:proofErr w:type="spellStart"/>
      <w:r w:rsidRPr="002E6E15">
        <w:rPr>
          <w:rFonts w:ascii="Book Antiqua" w:eastAsia="Times New Roman" w:hAnsi="Book Antiqua" w:cs="Segoe UI"/>
          <w:color w:val="000000" w:themeColor="text1"/>
          <w:sz w:val="28"/>
          <w:szCs w:val="28"/>
          <w:lang w:val="en-US"/>
        </w:rPr>
        <w:t>centres</w:t>
      </w:r>
      <w:proofErr w:type="spellEnd"/>
      <w:r w:rsidRPr="002E6E15">
        <w:rPr>
          <w:rFonts w:ascii="Book Antiqua" w:eastAsia="Times New Roman" w:hAnsi="Book Antiqua" w:cs="Segoe UI"/>
          <w:color w:val="000000" w:themeColor="text1"/>
          <w:sz w:val="28"/>
          <w:szCs w:val="28"/>
          <w:lang w:val="en-US"/>
        </w:rPr>
        <w:t xml:space="preserve"> across Africa and enactment of this Act may inform more activity in the Kenyan Market.  </w:t>
      </w:r>
    </w:p>
    <w:p w:rsidR="002E6E15" w:rsidRPr="002E6E15" w:rsidRDefault="002E6E15" w:rsidP="002E6E15">
      <w:pPr>
        <w:shd w:val="clear" w:color="auto" w:fill="FFFFFF"/>
        <w:spacing w:after="300" w:line="360" w:lineRule="atLeast"/>
        <w:textAlignment w:val="baseline"/>
        <w:outlineLvl w:val="1"/>
        <w:rPr>
          <w:rFonts w:ascii="Book Antiqua" w:eastAsia="Times New Roman" w:hAnsi="Book Antiqua" w:cs="Segoe UI"/>
          <w:color w:val="000000" w:themeColor="text1"/>
          <w:spacing w:val="38"/>
          <w:sz w:val="28"/>
          <w:szCs w:val="28"/>
          <w:lang w:val="en-US"/>
        </w:rPr>
      </w:pPr>
      <w:r w:rsidRPr="002E6E15">
        <w:rPr>
          <w:rFonts w:ascii="Book Antiqua" w:eastAsia="Times New Roman" w:hAnsi="Book Antiqua" w:cs="Segoe UI"/>
          <w:color w:val="000000" w:themeColor="text1"/>
          <w:spacing w:val="38"/>
          <w:sz w:val="28"/>
          <w:szCs w:val="28"/>
          <w:lang w:val="en-US"/>
        </w:rPr>
        <w:t>Processing of Sensitive Personal Data  </w:t>
      </w:r>
    </w:p>
    <w:p w:rsidR="002E6E15" w:rsidRPr="002E6E15" w:rsidRDefault="002E6E15" w:rsidP="002E6E15">
      <w:p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Act details sensitive personal data to include data </w:t>
      </w:r>
      <w:r w:rsidRPr="002E6E15">
        <w:rPr>
          <w:rFonts w:ascii="Book Antiqua" w:eastAsia="Times New Roman" w:hAnsi="Book Antiqua" w:cs="Segoe UI"/>
          <w:b/>
          <w:bCs/>
          <w:color w:val="000000" w:themeColor="text1"/>
          <w:sz w:val="28"/>
          <w:szCs w:val="28"/>
          <w:bdr w:val="none" w:sz="0" w:space="0" w:color="auto" w:frame="1"/>
          <w:lang w:val="en-US"/>
        </w:rPr>
        <w:t>revealing</w:t>
      </w:r>
      <w:r w:rsidRPr="002E6E15">
        <w:rPr>
          <w:rFonts w:ascii="Book Antiqua" w:eastAsia="Times New Roman" w:hAnsi="Book Antiqua" w:cs="Segoe UI"/>
          <w:color w:val="000000" w:themeColor="text1"/>
          <w:sz w:val="28"/>
          <w:szCs w:val="28"/>
          <w:lang w:val="en-US"/>
        </w:rPr>
        <w:t> the natural person’s race, health status, ethnic social origin, conscience, belief, genetic data, biometric data, property details, marital status, family details (including children’s parent, spouses) sex or sexual orientation of the data subject. The Act introduces a new look at processing data on the health of a data subject.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It has now become a common occurrence for sensitive data and health data to be revealed by </w:t>
      </w:r>
      <w:proofErr w:type="spellStart"/>
      <w:r w:rsidRPr="002E6E15">
        <w:rPr>
          <w:rFonts w:ascii="Book Antiqua" w:eastAsia="Times New Roman" w:hAnsi="Book Antiqua" w:cs="Segoe UI"/>
          <w:color w:val="000000" w:themeColor="text1"/>
          <w:sz w:val="28"/>
          <w:szCs w:val="28"/>
          <w:lang w:val="en-US"/>
        </w:rPr>
        <w:t>unauthorised</w:t>
      </w:r>
      <w:proofErr w:type="spellEnd"/>
      <w:r w:rsidRPr="002E6E15">
        <w:rPr>
          <w:rFonts w:ascii="Book Antiqua" w:eastAsia="Times New Roman" w:hAnsi="Book Antiqua" w:cs="Segoe UI"/>
          <w:color w:val="000000" w:themeColor="text1"/>
          <w:sz w:val="28"/>
          <w:szCs w:val="28"/>
          <w:lang w:val="en-US"/>
        </w:rPr>
        <w:t xml:space="preserve"> persons. Government agencies are, quite </w:t>
      </w:r>
      <w:proofErr w:type="spellStart"/>
      <w:r w:rsidRPr="002E6E15">
        <w:rPr>
          <w:rFonts w:ascii="Book Antiqua" w:eastAsia="Times New Roman" w:hAnsi="Book Antiqua" w:cs="Segoe UI"/>
          <w:color w:val="000000" w:themeColor="text1"/>
          <w:sz w:val="28"/>
          <w:szCs w:val="28"/>
          <w:lang w:val="en-US"/>
        </w:rPr>
        <w:t>concerningly</w:t>
      </w:r>
      <w:proofErr w:type="spellEnd"/>
      <w:r w:rsidRPr="002E6E15">
        <w:rPr>
          <w:rFonts w:ascii="Book Antiqua" w:eastAsia="Times New Roman" w:hAnsi="Book Antiqua" w:cs="Segoe UI"/>
          <w:color w:val="000000" w:themeColor="text1"/>
          <w:sz w:val="28"/>
          <w:szCs w:val="28"/>
          <w:lang w:val="en-US"/>
        </w:rPr>
        <w:t>, the holders of most of the sensitive data in Kenya. The sheer magnitude of it is quite impressive. This is in addition to other entities whose services revolve around collection and processing sensitive and health data such as insurance companies, hospitals and referral health service providers.  How these entities inter-relate and share data or issue instructions for processing data will need to be relooked to fulfil the provisions of this Act.  </w:t>
      </w:r>
    </w:p>
    <w:p w:rsidR="002E6E15" w:rsidRPr="002E6E15" w:rsidRDefault="002E6E15" w:rsidP="002E6E15">
      <w:pPr>
        <w:shd w:val="clear" w:color="auto" w:fill="FFFFFF"/>
        <w:spacing w:after="300" w:line="360" w:lineRule="atLeast"/>
        <w:textAlignment w:val="baseline"/>
        <w:outlineLvl w:val="1"/>
        <w:rPr>
          <w:rFonts w:ascii="Book Antiqua" w:eastAsia="Times New Roman" w:hAnsi="Book Antiqua" w:cs="Segoe UI"/>
          <w:color w:val="000000" w:themeColor="text1"/>
          <w:spacing w:val="38"/>
          <w:sz w:val="28"/>
          <w:szCs w:val="28"/>
          <w:lang w:val="en-US"/>
        </w:rPr>
      </w:pPr>
      <w:r w:rsidRPr="002E6E15">
        <w:rPr>
          <w:rFonts w:ascii="Book Antiqua" w:eastAsia="Times New Roman" w:hAnsi="Book Antiqua" w:cs="Segoe UI"/>
          <w:color w:val="000000" w:themeColor="text1"/>
          <w:spacing w:val="38"/>
          <w:sz w:val="28"/>
          <w:szCs w:val="28"/>
          <w:lang w:val="en-US"/>
        </w:rPr>
        <w:lastRenderedPageBreak/>
        <w:t> Transfer of personal data outside Kenya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A data controller or processor may transfer personal data outside Kenya only where: – </w:t>
      </w:r>
    </w:p>
    <w:p w:rsidR="002E6E15" w:rsidRPr="002E6E15" w:rsidRDefault="002E6E15" w:rsidP="002E6E15">
      <w:pPr>
        <w:numPr>
          <w:ilvl w:val="0"/>
          <w:numId w:val="22"/>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data controller or processor has given proof to the DC on the appropriate safeguards relating to the security and protection of the personal data;  </w:t>
      </w:r>
    </w:p>
    <w:p w:rsidR="002E6E15" w:rsidRPr="002E6E15" w:rsidRDefault="002E6E15" w:rsidP="002E6E15">
      <w:pPr>
        <w:numPr>
          <w:ilvl w:val="0"/>
          <w:numId w:val="23"/>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Or in addition to the above, is transferring to jurisdictions with commensurate data protection laws;  </w:t>
      </w:r>
    </w:p>
    <w:p w:rsidR="002E6E15" w:rsidRPr="002E6E15" w:rsidRDefault="002E6E15" w:rsidP="002E6E15">
      <w:pPr>
        <w:numPr>
          <w:ilvl w:val="0"/>
          <w:numId w:val="24"/>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transfer is necessitated by contractual obligations with the data subject, public interest, legal claim or compelling legitimate interests.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When it comes to processing sensitive personal data, mandatory consent of the data subject is required.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Outsourcing data storage and processing to entities based outside Kenya will need to be assessed in light of the provisions of the Act. While most developed countries have the relevant legislation, there is need for one to satisfy themselves and the DC of the safeguards these entities have in place. This has an implication on contract negotiations and implementation especially of inspections has to be done. Further, for regulated entities like banks that already have some form of cyber security and data protection restrictions applicable to them, can they rely on CBK’s approval to demonstrate compliance with the DC’s office? </w:t>
      </w:r>
    </w:p>
    <w:p w:rsidR="002E6E15" w:rsidRPr="002E6E15" w:rsidRDefault="002E6E15" w:rsidP="002E6E15">
      <w:pPr>
        <w:shd w:val="clear" w:color="auto" w:fill="FFFFFF"/>
        <w:spacing w:after="300" w:line="360" w:lineRule="atLeast"/>
        <w:textAlignment w:val="baseline"/>
        <w:outlineLvl w:val="1"/>
        <w:rPr>
          <w:rFonts w:ascii="Book Antiqua" w:eastAsia="Times New Roman" w:hAnsi="Book Antiqua" w:cs="Segoe UI"/>
          <w:color w:val="000000" w:themeColor="text1"/>
          <w:spacing w:val="38"/>
          <w:sz w:val="28"/>
          <w:szCs w:val="28"/>
          <w:lang w:val="en-US"/>
        </w:rPr>
      </w:pPr>
      <w:r w:rsidRPr="002E6E15">
        <w:rPr>
          <w:rFonts w:ascii="Book Antiqua" w:eastAsia="Times New Roman" w:hAnsi="Book Antiqua" w:cs="Segoe UI"/>
          <w:color w:val="000000" w:themeColor="text1"/>
          <w:spacing w:val="38"/>
          <w:sz w:val="28"/>
          <w:szCs w:val="28"/>
          <w:lang w:val="en-US"/>
        </w:rPr>
        <w:t>Exemptions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There are instances where the provisions of this Act will not apply when it comes to processing of personal </w:t>
      </w:r>
      <w:proofErr w:type="gramStart"/>
      <w:r w:rsidRPr="002E6E15">
        <w:rPr>
          <w:rFonts w:ascii="Book Antiqua" w:eastAsia="Times New Roman" w:hAnsi="Book Antiqua" w:cs="Segoe UI"/>
          <w:color w:val="000000" w:themeColor="text1"/>
          <w:sz w:val="28"/>
          <w:szCs w:val="28"/>
          <w:lang w:val="en-US"/>
        </w:rPr>
        <w:t>data:-</w:t>
      </w:r>
      <w:proofErr w:type="gramEnd"/>
      <w:r w:rsidRPr="002E6E15">
        <w:rPr>
          <w:rFonts w:ascii="Book Antiqua" w:eastAsia="Times New Roman" w:hAnsi="Book Antiqua" w:cs="Segoe UI"/>
          <w:color w:val="000000" w:themeColor="text1"/>
          <w:sz w:val="28"/>
          <w:szCs w:val="28"/>
          <w:lang w:val="en-US"/>
        </w:rPr>
        <w:t> </w:t>
      </w:r>
    </w:p>
    <w:p w:rsidR="002E6E15" w:rsidRPr="002E6E15" w:rsidRDefault="002E6E15" w:rsidP="002E6E15">
      <w:pPr>
        <w:numPr>
          <w:ilvl w:val="0"/>
          <w:numId w:val="25"/>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For purely personal or household activities;  </w:t>
      </w:r>
    </w:p>
    <w:p w:rsidR="002E6E15" w:rsidRPr="002E6E15" w:rsidRDefault="002E6E15" w:rsidP="002E6E15">
      <w:pPr>
        <w:numPr>
          <w:ilvl w:val="0"/>
          <w:numId w:val="26"/>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b/>
          <w:bCs/>
          <w:i/>
          <w:iCs/>
          <w:color w:val="000000" w:themeColor="text1"/>
          <w:sz w:val="28"/>
          <w:szCs w:val="28"/>
          <w:bdr w:val="none" w:sz="0" w:space="0" w:color="auto" w:frame="1"/>
          <w:lang w:val="en-US"/>
        </w:rPr>
        <w:t>If it is necessary for national security</w:t>
      </w:r>
      <w:r w:rsidRPr="002E6E15">
        <w:rPr>
          <w:rFonts w:ascii="Book Antiqua" w:eastAsia="Times New Roman" w:hAnsi="Book Antiqua" w:cs="Segoe UI"/>
          <w:color w:val="000000" w:themeColor="text1"/>
          <w:sz w:val="28"/>
          <w:szCs w:val="28"/>
          <w:lang w:val="en-US"/>
        </w:rPr>
        <w:t> or public interest;    </w:t>
      </w:r>
    </w:p>
    <w:p w:rsidR="002E6E15" w:rsidRPr="002E6E15" w:rsidRDefault="002E6E15" w:rsidP="002E6E15">
      <w:pPr>
        <w:numPr>
          <w:ilvl w:val="0"/>
          <w:numId w:val="27"/>
        </w:numPr>
        <w:shd w:val="clear" w:color="auto" w:fill="FFFFFF"/>
        <w:spacing w:after="0"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Court orders or written law requires disclosure.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principles of processing personal data shall not also apply when it comes to certain aspects of journalism, literature or arts, although this will be further subjected to a code of practice to be prepared by the DC.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lastRenderedPageBreak/>
        <w:t>When it comes to data for research, historical and statistical purposes, the data controller shall have in place safeguards and ensure that this information is not published in an identifiable form.  </w:t>
      </w:r>
    </w:p>
    <w:p w:rsidR="002E6E15" w:rsidRPr="002E6E15" w:rsidRDefault="002E6E15" w:rsidP="002E6E15">
      <w:pPr>
        <w:shd w:val="clear" w:color="auto" w:fill="FFFFFF"/>
        <w:spacing w:after="0" w:line="360" w:lineRule="atLeast"/>
        <w:textAlignment w:val="baseline"/>
        <w:outlineLvl w:val="1"/>
        <w:rPr>
          <w:rFonts w:ascii="Book Antiqua" w:eastAsia="Times New Roman" w:hAnsi="Book Antiqua" w:cs="Segoe UI"/>
          <w:color w:val="000000" w:themeColor="text1"/>
          <w:spacing w:val="38"/>
          <w:sz w:val="28"/>
          <w:szCs w:val="28"/>
          <w:lang w:val="en-US"/>
        </w:rPr>
      </w:pPr>
      <w:r w:rsidRPr="002E6E15">
        <w:rPr>
          <w:rFonts w:ascii="Book Antiqua" w:eastAsia="Times New Roman" w:hAnsi="Book Antiqua" w:cs="Segoe UI"/>
          <w:color w:val="000000" w:themeColor="text1"/>
          <w:spacing w:val="38"/>
          <w:sz w:val="28"/>
          <w:szCs w:val="28"/>
          <w:lang w:val="en-US"/>
        </w:rPr>
        <w:t>Enforcement </w:t>
      </w:r>
      <w:r w:rsidRPr="002E6E15">
        <w:rPr>
          <w:rFonts w:ascii="Book Antiqua" w:eastAsia="Times New Roman" w:hAnsi="Book Antiqua" w:cs="Segoe UI"/>
          <w:b/>
          <w:bCs/>
          <w:color w:val="000000" w:themeColor="text1"/>
          <w:spacing w:val="38"/>
          <w:sz w:val="28"/>
          <w:szCs w:val="28"/>
          <w:bdr w:val="none" w:sz="0" w:space="0" w:color="auto" w:frame="1"/>
          <w:lang w:val="en-US"/>
        </w:rPr>
        <w:t> </w:t>
      </w:r>
      <w:r w:rsidRPr="002E6E15">
        <w:rPr>
          <w:rFonts w:ascii="Book Antiqua" w:eastAsia="Times New Roman" w:hAnsi="Book Antiqua" w:cs="Segoe UI"/>
          <w:color w:val="000000" w:themeColor="text1"/>
          <w:spacing w:val="38"/>
          <w:sz w:val="28"/>
          <w:szCs w:val="28"/>
          <w:lang w:val="en-US"/>
        </w:rPr>
        <w:t>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Any aggrieved data subject will have a right to lodge a complaint with the DC, after which the DC shall investigate and conclude the matter in ninety days.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Act establishes the office of the Data Protection Commissioner (DPC hereinafter) headed by a Data Commissioner (DC hereinafter) and further designates it as a state office. The DC has the mandate to carry out investigations, facilitate alternative dispute resolution under the Act, summon witnesses and impose administrative fines for non-compliance.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The DC has authority to issue an enforcement notice to any party that refuses or is refusing to comply with the provisions of the Act. The DC can also issue a compliance notice requiring the party to comply within a period not less than 21 days.  Failure to comply with an enforcement notice will upon conviction result into a fine of </w:t>
      </w:r>
      <w:proofErr w:type="spellStart"/>
      <w:r w:rsidRPr="002E6E15">
        <w:rPr>
          <w:rFonts w:ascii="Book Antiqua" w:eastAsia="Times New Roman" w:hAnsi="Book Antiqua" w:cs="Segoe UI"/>
          <w:color w:val="000000" w:themeColor="text1"/>
          <w:sz w:val="28"/>
          <w:szCs w:val="28"/>
          <w:lang w:val="en-US"/>
        </w:rPr>
        <w:t>Kshs</w:t>
      </w:r>
      <w:proofErr w:type="spellEnd"/>
      <w:r w:rsidRPr="002E6E15">
        <w:rPr>
          <w:rFonts w:ascii="Book Antiqua" w:eastAsia="Times New Roman" w:hAnsi="Book Antiqua" w:cs="Segoe UI"/>
          <w:color w:val="000000" w:themeColor="text1"/>
          <w:sz w:val="28"/>
          <w:szCs w:val="28"/>
          <w:lang w:val="en-US"/>
        </w:rPr>
        <w:t xml:space="preserve"> 5,000,000/- or two-year imprisonment or both.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An aggrieved party who suffers damage from infringement is entitled to compensation and can also sue for damages. This would give rise to civil suits and possibly class action suits against a controller or processor.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The DC in carrying out his investigative mandate, including carrying out of searches, should not be obstructed or impeded. Any failure to assist, give information or grant access to the DC will upon conviction attract a fine of </w:t>
      </w:r>
      <w:proofErr w:type="spellStart"/>
      <w:r w:rsidRPr="002E6E15">
        <w:rPr>
          <w:rFonts w:ascii="Book Antiqua" w:eastAsia="Times New Roman" w:hAnsi="Book Antiqua" w:cs="Segoe UI"/>
          <w:color w:val="000000" w:themeColor="text1"/>
          <w:sz w:val="28"/>
          <w:szCs w:val="28"/>
          <w:lang w:val="en-US"/>
        </w:rPr>
        <w:t>Kshs</w:t>
      </w:r>
      <w:proofErr w:type="spellEnd"/>
      <w:r w:rsidRPr="002E6E15">
        <w:rPr>
          <w:rFonts w:ascii="Book Antiqua" w:eastAsia="Times New Roman" w:hAnsi="Book Antiqua" w:cs="Segoe UI"/>
          <w:color w:val="000000" w:themeColor="text1"/>
          <w:sz w:val="28"/>
          <w:szCs w:val="28"/>
          <w:lang w:val="en-US"/>
        </w:rPr>
        <w:t xml:space="preserve"> 5,000,000/- or two-year imprisonment or both.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The DC may issue penalty notices for specified amounts where a party has failed or is failing to comply with provisions of the Act. The DC shall consider various factors listed in the Act in determining the amount of the penalty.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lastRenderedPageBreak/>
        <w:t xml:space="preserve">The maximum penalty that the DC can impose under this Act is </w:t>
      </w:r>
      <w:proofErr w:type="spellStart"/>
      <w:r w:rsidRPr="002E6E15">
        <w:rPr>
          <w:rFonts w:ascii="Book Antiqua" w:eastAsia="Times New Roman" w:hAnsi="Book Antiqua" w:cs="Segoe UI"/>
          <w:color w:val="000000" w:themeColor="text1"/>
          <w:sz w:val="28"/>
          <w:szCs w:val="28"/>
          <w:lang w:val="en-US"/>
        </w:rPr>
        <w:t>upto</w:t>
      </w:r>
      <w:proofErr w:type="spellEnd"/>
      <w:r w:rsidRPr="002E6E15">
        <w:rPr>
          <w:rFonts w:ascii="Book Antiqua" w:eastAsia="Times New Roman" w:hAnsi="Book Antiqua" w:cs="Segoe UI"/>
          <w:color w:val="000000" w:themeColor="text1"/>
          <w:sz w:val="28"/>
          <w:szCs w:val="28"/>
          <w:lang w:val="en-US"/>
        </w:rPr>
        <w:t xml:space="preserve"> </w:t>
      </w:r>
      <w:proofErr w:type="spellStart"/>
      <w:r w:rsidRPr="002E6E15">
        <w:rPr>
          <w:rFonts w:ascii="Book Antiqua" w:eastAsia="Times New Roman" w:hAnsi="Book Antiqua" w:cs="Segoe UI"/>
          <w:color w:val="000000" w:themeColor="text1"/>
          <w:sz w:val="28"/>
          <w:szCs w:val="28"/>
          <w:lang w:val="en-US"/>
        </w:rPr>
        <w:t>Kshs</w:t>
      </w:r>
      <w:proofErr w:type="spellEnd"/>
      <w:r w:rsidRPr="002E6E15">
        <w:rPr>
          <w:rFonts w:ascii="Book Antiqua" w:eastAsia="Times New Roman" w:hAnsi="Book Antiqua" w:cs="Segoe UI"/>
          <w:color w:val="000000" w:themeColor="text1"/>
          <w:sz w:val="28"/>
          <w:szCs w:val="28"/>
          <w:lang w:val="en-US"/>
        </w:rPr>
        <w:t xml:space="preserve"> 5,000,000/- or 1% of an undertaking’s annual turnover of the preceding financial year.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Notably, the DC has the power of entry and search in a premise in relation to discharging </w:t>
      </w:r>
      <w:proofErr w:type="gramStart"/>
      <w:r w:rsidRPr="002E6E15">
        <w:rPr>
          <w:rFonts w:ascii="Book Antiqua" w:eastAsia="Times New Roman" w:hAnsi="Book Antiqua" w:cs="Segoe UI"/>
          <w:color w:val="000000" w:themeColor="text1"/>
          <w:sz w:val="28"/>
          <w:szCs w:val="28"/>
          <w:lang w:val="en-US"/>
        </w:rPr>
        <w:t>it’s</w:t>
      </w:r>
      <w:proofErr w:type="gramEnd"/>
      <w:r w:rsidRPr="002E6E15">
        <w:rPr>
          <w:rFonts w:ascii="Book Antiqua" w:eastAsia="Times New Roman" w:hAnsi="Book Antiqua" w:cs="Segoe UI"/>
          <w:color w:val="000000" w:themeColor="text1"/>
          <w:sz w:val="28"/>
          <w:szCs w:val="28"/>
          <w:lang w:val="en-US"/>
        </w:rPr>
        <w:t xml:space="preserve"> functions. Controllers or Processors who are in contravention should expect to encounter dawn-raids. </w:t>
      </w:r>
    </w:p>
    <w:p w:rsidR="002E6E15" w:rsidRPr="002E6E15" w:rsidRDefault="002E6E15" w:rsidP="002E6E15">
      <w:pPr>
        <w:shd w:val="clear" w:color="auto" w:fill="FFFFFF"/>
        <w:spacing w:after="300" w:line="360" w:lineRule="atLeast"/>
        <w:textAlignment w:val="baseline"/>
        <w:outlineLvl w:val="1"/>
        <w:rPr>
          <w:rFonts w:ascii="Book Antiqua" w:eastAsia="Times New Roman" w:hAnsi="Book Antiqua" w:cs="Segoe UI"/>
          <w:color w:val="000000" w:themeColor="text1"/>
          <w:spacing w:val="38"/>
          <w:sz w:val="28"/>
          <w:szCs w:val="28"/>
          <w:lang w:val="en-US"/>
        </w:rPr>
      </w:pPr>
      <w:r w:rsidRPr="002E6E15">
        <w:rPr>
          <w:rFonts w:ascii="Book Antiqua" w:eastAsia="Times New Roman" w:hAnsi="Book Antiqua" w:cs="Segoe UI"/>
          <w:color w:val="000000" w:themeColor="text1"/>
          <w:spacing w:val="38"/>
          <w:sz w:val="28"/>
          <w:szCs w:val="28"/>
          <w:lang w:val="en-US"/>
        </w:rPr>
        <w:t>What does the Data Protection Act mean for your business?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The provisions of the Act certainly cut across all businesses in Kenya. It also means that all functions of a business are affected </w:t>
      </w:r>
      <w:proofErr w:type="spellStart"/>
      <w:r w:rsidRPr="002E6E15">
        <w:rPr>
          <w:rFonts w:ascii="Book Antiqua" w:eastAsia="Times New Roman" w:hAnsi="Book Antiqua" w:cs="Segoe UI"/>
          <w:color w:val="000000" w:themeColor="text1"/>
          <w:sz w:val="28"/>
          <w:szCs w:val="28"/>
          <w:lang w:val="en-US"/>
        </w:rPr>
        <w:t>e.g</w:t>
      </w:r>
      <w:proofErr w:type="spellEnd"/>
      <w:r w:rsidRPr="002E6E15">
        <w:rPr>
          <w:rFonts w:ascii="Book Antiqua" w:eastAsia="Times New Roman" w:hAnsi="Book Antiqua" w:cs="Segoe UI"/>
          <w:color w:val="000000" w:themeColor="text1"/>
          <w:sz w:val="28"/>
          <w:szCs w:val="28"/>
          <w:lang w:val="en-US"/>
        </w:rPr>
        <w:t xml:space="preserve"> Human Resources, sales, operations etc. Due to the far-reaching implications, compliance should be </w:t>
      </w:r>
      <w:proofErr w:type="spellStart"/>
      <w:r w:rsidRPr="002E6E15">
        <w:rPr>
          <w:rFonts w:ascii="Book Antiqua" w:eastAsia="Times New Roman" w:hAnsi="Book Antiqua" w:cs="Segoe UI"/>
          <w:color w:val="000000" w:themeColor="text1"/>
          <w:sz w:val="28"/>
          <w:szCs w:val="28"/>
          <w:lang w:val="en-US"/>
        </w:rPr>
        <w:t>board</w:t>
      </w:r>
      <w:proofErr w:type="spellEnd"/>
      <w:r w:rsidRPr="002E6E15">
        <w:rPr>
          <w:rFonts w:ascii="Book Antiqua" w:eastAsia="Times New Roman" w:hAnsi="Book Antiqua" w:cs="Segoe UI"/>
          <w:color w:val="000000" w:themeColor="text1"/>
          <w:sz w:val="28"/>
          <w:szCs w:val="28"/>
          <w:lang w:val="en-US"/>
        </w:rPr>
        <w:t>-led.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For regulated entities, this Act introduces yet another aspect of oversight, together with inspections and routine assessments, through the DCs office.  Entities will need to relook their costs and resources on regulatory compliance.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Registration with the office of the DC is mandatory for entities that are classified as either as data controllers or processers. A self-assessment is required.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In light of the diverse sectors most data controllers and processors operate in, the DC will issue varying requirements. Entities need to be alive to the nature of their operations and their relationship with data subject and anticipate the obligations the DC may impose on them. This Act may not be necessarily a one size fits all and as such customization is recommended.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When it comes to requirements needed for registration, parties will need to have certain policies such as data protection and privacy, cybersecurity and contractual indemnifications that may be submitted to the DC to expedite registration. The result of being issued with a registration certificate is that </w:t>
      </w:r>
      <w:r w:rsidRPr="002E6E15">
        <w:rPr>
          <w:rFonts w:ascii="Book Antiqua" w:eastAsia="Times New Roman" w:hAnsi="Book Antiqua" w:cs="Segoe UI"/>
          <w:color w:val="000000" w:themeColor="text1"/>
          <w:sz w:val="28"/>
          <w:szCs w:val="28"/>
          <w:lang w:val="en-US"/>
        </w:rPr>
        <w:lastRenderedPageBreak/>
        <w:t>an entity achieves another mark of compliance that not only endears it to data subjects but other business partners who can rely on this as a quality assurance.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Of further importance is the creation of the position of the Data Protection Officer. The DPO is the face of an </w:t>
      </w:r>
      <w:proofErr w:type="spellStart"/>
      <w:r w:rsidRPr="002E6E15">
        <w:rPr>
          <w:rFonts w:ascii="Book Antiqua" w:eastAsia="Times New Roman" w:hAnsi="Book Antiqua" w:cs="Segoe UI"/>
          <w:color w:val="000000" w:themeColor="text1"/>
          <w:sz w:val="28"/>
          <w:szCs w:val="28"/>
          <w:lang w:val="en-US"/>
        </w:rPr>
        <w:t>organisation</w:t>
      </w:r>
      <w:proofErr w:type="spellEnd"/>
      <w:r w:rsidRPr="002E6E15">
        <w:rPr>
          <w:rFonts w:ascii="Book Antiqua" w:eastAsia="Times New Roman" w:hAnsi="Book Antiqua" w:cs="Segoe UI"/>
          <w:color w:val="000000" w:themeColor="text1"/>
          <w:sz w:val="28"/>
          <w:szCs w:val="28"/>
          <w:lang w:val="en-US"/>
        </w:rPr>
        <w:t xml:space="preserve"> on all matters data protection and as such they need to be easily accessible. They also act as the liaison to the DC’s office.  Ideally, a staff member with the requisite skill may be seconded to be the officer or may be separately recruited to fill the position. Groups of companies can appoint one officer to serve all the companies while public bodies within certain </w:t>
      </w:r>
      <w:proofErr w:type="spellStart"/>
      <w:r w:rsidRPr="002E6E15">
        <w:rPr>
          <w:rFonts w:ascii="Book Antiqua" w:eastAsia="Times New Roman" w:hAnsi="Book Antiqua" w:cs="Segoe UI"/>
          <w:color w:val="000000" w:themeColor="text1"/>
          <w:sz w:val="28"/>
          <w:szCs w:val="28"/>
          <w:lang w:val="en-US"/>
        </w:rPr>
        <w:t>organisational</w:t>
      </w:r>
      <w:proofErr w:type="spellEnd"/>
      <w:r w:rsidRPr="002E6E15">
        <w:rPr>
          <w:rFonts w:ascii="Book Antiqua" w:eastAsia="Times New Roman" w:hAnsi="Book Antiqua" w:cs="Segoe UI"/>
          <w:color w:val="000000" w:themeColor="text1"/>
          <w:sz w:val="28"/>
          <w:szCs w:val="28"/>
          <w:lang w:val="en-US"/>
        </w:rPr>
        <w:t xml:space="preserve"> structures can appoint one officer.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The cost implication of compliance cannot be overlooked. While the EUGDPR gave entities a two-year moratorium to achieve minimum compliance, this Act is relatively silent on a moratorium. The fact that this is a rather technical procedure, that is not similar across board, should advise the DC to issue piecemeal regulations that is sector customized.    We expect to see the Data Commissioner, when appointed, issue further guidelines and codes of practice on some of the grey areas which, if implemented as is, may lead to unintended consequences. However, with such a technical and large process required to be compliant, </w:t>
      </w:r>
      <w:proofErr w:type="spellStart"/>
      <w:r w:rsidRPr="002E6E15">
        <w:rPr>
          <w:rFonts w:ascii="Book Antiqua" w:eastAsia="Times New Roman" w:hAnsi="Book Antiqua" w:cs="Segoe UI"/>
          <w:color w:val="000000" w:themeColor="text1"/>
          <w:sz w:val="28"/>
          <w:szCs w:val="28"/>
          <w:lang w:val="en-US"/>
        </w:rPr>
        <w:t>organisations</w:t>
      </w:r>
      <w:proofErr w:type="spellEnd"/>
      <w:r w:rsidRPr="002E6E15">
        <w:rPr>
          <w:rFonts w:ascii="Book Antiqua" w:eastAsia="Times New Roman" w:hAnsi="Book Antiqua" w:cs="Segoe UI"/>
          <w:color w:val="000000" w:themeColor="text1"/>
          <w:sz w:val="28"/>
          <w:szCs w:val="28"/>
          <w:lang w:val="en-US"/>
        </w:rPr>
        <w:t xml:space="preserve"> should start immediately as the provisions inform a lot of in-house changes ranging from new policies and systems, changes in cyber security and data protection measures, internal training and awareness and necessary appointments. </w:t>
      </w:r>
    </w:p>
    <w:p w:rsidR="002E6E15" w:rsidRPr="002E6E15" w:rsidRDefault="002E6E15" w:rsidP="002E6E15">
      <w:pPr>
        <w:shd w:val="clear" w:color="auto" w:fill="FFFFFF"/>
        <w:spacing w:after="384" w:line="240" w:lineRule="auto"/>
        <w:textAlignment w:val="baseline"/>
        <w:rPr>
          <w:rFonts w:ascii="Book Antiqua" w:eastAsia="Times New Roman" w:hAnsi="Book Antiqua" w:cs="Segoe UI"/>
          <w:color w:val="000000" w:themeColor="text1"/>
          <w:sz w:val="28"/>
          <w:szCs w:val="28"/>
          <w:lang w:val="en-US"/>
        </w:rPr>
      </w:pPr>
      <w:r w:rsidRPr="002E6E15">
        <w:rPr>
          <w:rFonts w:ascii="Book Antiqua" w:eastAsia="Times New Roman" w:hAnsi="Book Antiqua" w:cs="Segoe UI"/>
          <w:color w:val="000000" w:themeColor="text1"/>
          <w:sz w:val="28"/>
          <w:szCs w:val="28"/>
          <w:lang w:val="en-US"/>
        </w:rPr>
        <w:t xml:space="preserve">In conclusion, all entities operating in Kenya ought to look at their business models to determine how they can best </w:t>
      </w:r>
      <w:proofErr w:type="spellStart"/>
      <w:r w:rsidRPr="002E6E15">
        <w:rPr>
          <w:rFonts w:ascii="Book Antiqua" w:eastAsia="Times New Roman" w:hAnsi="Book Antiqua" w:cs="Segoe UI"/>
          <w:color w:val="000000" w:themeColor="text1"/>
          <w:sz w:val="28"/>
          <w:szCs w:val="28"/>
          <w:lang w:val="en-US"/>
        </w:rPr>
        <w:t>categorise</w:t>
      </w:r>
      <w:proofErr w:type="spellEnd"/>
      <w:r w:rsidRPr="002E6E15">
        <w:rPr>
          <w:rFonts w:ascii="Book Antiqua" w:eastAsia="Times New Roman" w:hAnsi="Book Antiqua" w:cs="Segoe UI"/>
          <w:color w:val="000000" w:themeColor="text1"/>
          <w:sz w:val="28"/>
          <w:szCs w:val="28"/>
          <w:lang w:val="en-US"/>
        </w:rPr>
        <w:t xml:space="preserve"> their relationship with data subjects and/or with other parties. </w:t>
      </w:r>
    </w:p>
    <w:p w:rsidR="00BF2BF7" w:rsidRPr="002E6E15" w:rsidRDefault="00BF2BF7">
      <w:pPr>
        <w:rPr>
          <w:rFonts w:ascii="Book Antiqua" w:hAnsi="Book Antiqua"/>
          <w:color w:val="000000" w:themeColor="text1"/>
          <w:sz w:val="28"/>
          <w:szCs w:val="28"/>
        </w:rPr>
      </w:pPr>
    </w:p>
    <w:sectPr w:rsidR="00BF2BF7" w:rsidRPr="002E6E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C0FA9"/>
    <w:multiLevelType w:val="multilevel"/>
    <w:tmpl w:val="FFFA9F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A6B4D"/>
    <w:multiLevelType w:val="multilevel"/>
    <w:tmpl w:val="8FB82B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33FB6"/>
    <w:multiLevelType w:val="multilevel"/>
    <w:tmpl w:val="B85A06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019BB"/>
    <w:multiLevelType w:val="multilevel"/>
    <w:tmpl w:val="B216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7A0695"/>
    <w:multiLevelType w:val="multilevel"/>
    <w:tmpl w:val="59C088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6F11BF"/>
    <w:multiLevelType w:val="multilevel"/>
    <w:tmpl w:val="F4F274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B467C"/>
    <w:multiLevelType w:val="multilevel"/>
    <w:tmpl w:val="873692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76FEE"/>
    <w:multiLevelType w:val="multilevel"/>
    <w:tmpl w:val="8EE08D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0E380D"/>
    <w:multiLevelType w:val="multilevel"/>
    <w:tmpl w:val="388A59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552DB9"/>
    <w:multiLevelType w:val="multilevel"/>
    <w:tmpl w:val="93606F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D30FEA"/>
    <w:multiLevelType w:val="multilevel"/>
    <w:tmpl w:val="79A652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86717E"/>
    <w:multiLevelType w:val="multilevel"/>
    <w:tmpl w:val="96C2FA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AB13CC"/>
    <w:multiLevelType w:val="multilevel"/>
    <w:tmpl w:val="6A30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6696D"/>
    <w:multiLevelType w:val="multilevel"/>
    <w:tmpl w:val="6DD275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E0080D"/>
    <w:multiLevelType w:val="multilevel"/>
    <w:tmpl w:val="040C7C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C46105"/>
    <w:multiLevelType w:val="multilevel"/>
    <w:tmpl w:val="B3C4D4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F16397"/>
    <w:multiLevelType w:val="multilevel"/>
    <w:tmpl w:val="C70237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A05BFE"/>
    <w:multiLevelType w:val="multilevel"/>
    <w:tmpl w:val="EC9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D0204E"/>
    <w:multiLevelType w:val="multilevel"/>
    <w:tmpl w:val="252EC2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D021E1"/>
    <w:multiLevelType w:val="multilevel"/>
    <w:tmpl w:val="F53A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3F50E2"/>
    <w:multiLevelType w:val="multilevel"/>
    <w:tmpl w:val="832834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507714"/>
    <w:multiLevelType w:val="multilevel"/>
    <w:tmpl w:val="1C4A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5A6996"/>
    <w:multiLevelType w:val="multilevel"/>
    <w:tmpl w:val="D8363D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47640F"/>
    <w:multiLevelType w:val="multilevel"/>
    <w:tmpl w:val="C1D0BE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153800"/>
    <w:multiLevelType w:val="multilevel"/>
    <w:tmpl w:val="2D8A7C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EE5A2C"/>
    <w:multiLevelType w:val="multilevel"/>
    <w:tmpl w:val="18F276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B001F8"/>
    <w:multiLevelType w:val="multilevel"/>
    <w:tmpl w:val="75C6B4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0"/>
  </w:num>
  <w:num w:numId="3">
    <w:abstractNumId w:val="13"/>
  </w:num>
  <w:num w:numId="4">
    <w:abstractNumId w:val="2"/>
  </w:num>
  <w:num w:numId="5">
    <w:abstractNumId w:val="10"/>
  </w:num>
  <w:num w:numId="6">
    <w:abstractNumId w:val="6"/>
  </w:num>
  <w:num w:numId="7">
    <w:abstractNumId w:val="23"/>
  </w:num>
  <w:num w:numId="8">
    <w:abstractNumId w:val="17"/>
  </w:num>
  <w:num w:numId="9">
    <w:abstractNumId w:val="5"/>
  </w:num>
  <w:num w:numId="10">
    <w:abstractNumId w:val="22"/>
  </w:num>
  <w:num w:numId="11">
    <w:abstractNumId w:val="7"/>
  </w:num>
  <w:num w:numId="12">
    <w:abstractNumId w:val="11"/>
  </w:num>
  <w:num w:numId="13">
    <w:abstractNumId w:val="26"/>
  </w:num>
  <w:num w:numId="14">
    <w:abstractNumId w:val="4"/>
  </w:num>
  <w:num w:numId="15">
    <w:abstractNumId w:val="16"/>
  </w:num>
  <w:num w:numId="16">
    <w:abstractNumId w:val="19"/>
  </w:num>
  <w:num w:numId="17">
    <w:abstractNumId w:val="24"/>
  </w:num>
  <w:num w:numId="18">
    <w:abstractNumId w:val="1"/>
  </w:num>
  <w:num w:numId="19">
    <w:abstractNumId w:val="18"/>
  </w:num>
  <w:num w:numId="20">
    <w:abstractNumId w:val="8"/>
  </w:num>
  <w:num w:numId="21">
    <w:abstractNumId w:val="14"/>
  </w:num>
  <w:num w:numId="22">
    <w:abstractNumId w:val="3"/>
  </w:num>
  <w:num w:numId="23">
    <w:abstractNumId w:val="0"/>
  </w:num>
  <w:num w:numId="24">
    <w:abstractNumId w:val="15"/>
  </w:num>
  <w:num w:numId="25">
    <w:abstractNumId w:val="21"/>
  </w:num>
  <w:num w:numId="26">
    <w:abstractNumId w:val="9"/>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E15"/>
    <w:rsid w:val="002E67FA"/>
    <w:rsid w:val="002E6E15"/>
    <w:rsid w:val="00632746"/>
    <w:rsid w:val="00BF2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105C"/>
  <w15:chartTrackingRefBased/>
  <w15:docId w15:val="{C7362603-6C11-43D9-85DF-775DD2E9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2746"/>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746"/>
    <w:pPr>
      <w:ind w:left="720"/>
      <w:contextualSpacing/>
    </w:pPr>
  </w:style>
  <w:style w:type="paragraph" w:styleId="BalloonText">
    <w:name w:val="Balloon Text"/>
    <w:basedOn w:val="Normal"/>
    <w:link w:val="BalloonTextChar"/>
    <w:uiPriority w:val="99"/>
    <w:semiHidden/>
    <w:unhideWhenUsed/>
    <w:rsid w:val="002E67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67FA"/>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432029">
      <w:bodyDiv w:val="1"/>
      <w:marLeft w:val="0"/>
      <w:marRight w:val="0"/>
      <w:marTop w:val="0"/>
      <w:marBottom w:val="0"/>
      <w:divBdr>
        <w:top w:val="none" w:sz="0" w:space="0" w:color="auto"/>
        <w:left w:val="none" w:sz="0" w:space="0" w:color="auto"/>
        <w:bottom w:val="none" w:sz="0" w:space="0" w:color="auto"/>
        <w:right w:val="none" w:sz="0" w:space="0" w:color="auto"/>
      </w:divBdr>
      <w:divsChild>
        <w:div w:id="701202105">
          <w:marLeft w:val="0"/>
          <w:marRight w:val="0"/>
          <w:marTop w:val="480"/>
          <w:marBottom w:val="0"/>
          <w:divBdr>
            <w:top w:val="none" w:sz="0" w:space="0" w:color="auto"/>
            <w:left w:val="none" w:sz="0" w:space="0" w:color="auto"/>
            <w:bottom w:val="none" w:sz="0" w:space="0" w:color="auto"/>
            <w:right w:val="none" w:sz="0" w:space="0" w:color="auto"/>
          </w:divBdr>
          <w:divsChild>
            <w:div w:id="1648244087">
              <w:marLeft w:val="0"/>
              <w:marRight w:val="0"/>
              <w:marTop w:val="0"/>
              <w:marBottom w:val="0"/>
              <w:divBdr>
                <w:top w:val="none" w:sz="0" w:space="0" w:color="auto"/>
                <w:left w:val="none" w:sz="0" w:space="0" w:color="auto"/>
                <w:bottom w:val="none" w:sz="0" w:space="0" w:color="auto"/>
                <w:right w:val="none" w:sz="0" w:space="0" w:color="auto"/>
              </w:divBdr>
            </w:div>
          </w:divsChild>
        </w:div>
        <w:div w:id="1072117011">
          <w:marLeft w:val="0"/>
          <w:marRight w:val="0"/>
          <w:marTop w:val="0"/>
          <w:marBottom w:val="0"/>
          <w:divBdr>
            <w:top w:val="none" w:sz="0" w:space="0" w:color="auto"/>
            <w:left w:val="none" w:sz="0" w:space="0" w:color="auto"/>
            <w:bottom w:val="none" w:sz="0" w:space="0" w:color="auto"/>
            <w:right w:val="none" w:sz="0" w:space="0" w:color="auto"/>
          </w:divBdr>
          <w:divsChild>
            <w:div w:id="436944528">
              <w:marLeft w:val="0"/>
              <w:marRight w:val="0"/>
              <w:marTop w:val="0"/>
              <w:marBottom w:val="0"/>
              <w:divBdr>
                <w:top w:val="none" w:sz="0" w:space="0" w:color="auto"/>
                <w:left w:val="none" w:sz="0" w:space="0" w:color="auto"/>
                <w:bottom w:val="none" w:sz="0" w:space="0" w:color="auto"/>
                <w:right w:val="none" w:sz="0" w:space="0" w:color="auto"/>
              </w:divBdr>
            </w:div>
          </w:divsChild>
        </w:div>
        <w:div w:id="1121067867">
          <w:marLeft w:val="0"/>
          <w:marRight w:val="0"/>
          <w:marTop w:val="0"/>
          <w:marBottom w:val="0"/>
          <w:divBdr>
            <w:top w:val="none" w:sz="0" w:space="0" w:color="auto"/>
            <w:left w:val="none" w:sz="0" w:space="0" w:color="auto"/>
            <w:bottom w:val="none" w:sz="0" w:space="0" w:color="auto"/>
            <w:right w:val="none" w:sz="0" w:space="0" w:color="auto"/>
          </w:divBdr>
          <w:divsChild>
            <w:div w:id="1878153831">
              <w:marLeft w:val="0"/>
              <w:marRight w:val="0"/>
              <w:marTop w:val="0"/>
              <w:marBottom w:val="0"/>
              <w:divBdr>
                <w:top w:val="none" w:sz="0" w:space="0" w:color="auto"/>
                <w:left w:val="none" w:sz="0" w:space="0" w:color="auto"/>
                <w:bottom w:val="none" w:sz="0" w:space="0" w:color="auto"/>
                <w:right w:val="none" w:sz="0" w:space="0" w:color="auto"/>
              </w:divBdr>
            </w:div>
          </w:divsChild>
        </w:div>
        <w:div w:id="745155369">
          <w:marLeft w:val="0"/>
          <w:marRight w:val="0"/>
          <w:marTop w:val="0"/>
          <w:marBottom w:val="0"/>
          <w:divBdr>
            <w:top w:val="none" w:sz="0" w:space="0" w:color="auto"/>
            <w:left w:val="none" w:sz="0" w:space="0" w:color="auto"/>
            <w:bottom w:val="none" w:sz="0" w:space="0" w:color="auto"/>
            <w:right w:val="none" w:sz="0" w:space="0" w:color="auto"/>
          </w:divBdr>
          <w:divsChild>
            <w:div w:id="17823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2802</Words>
  <Characters>15976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2022-04-20T05:39:00Z</cp:lastPrinted>
  <dcterms:created xsi:type="dcterms:W3CDTF">2022-04-20T05:23:00Z</dcterms:created>
  <dcterms:modified xsi:type="dcterms:W3CDTF">2022-04-20T05:55:00Z</dcterms:modified>
</cp:coreProperties>
</file>