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line="276" w:lineRule="auto"/>
        <w:ind w:firstLine="568"/>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Protection in the Financial Service Sector in Kenya</w:t>
      </w:r>
    </w:p>
    <w:p w:rsidR="00000000" w:rsidDel="00000000" w:rsidP="00000000" w:rsidRDefault="00000000" w:rsidRPr="00000000" w14:paraId="00000003">
      <w:pPr>
        <w:spacing w:before="1" w:line="285" w:lineRule="auto"/>
        <w:ind w:left="220" w:right="204" w:hanging="1.0000000000000142"/>
        <w:jc w:val="center"/>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An evaluation of the treatment of consumer protection in the financial services sector through the provisions of the Central Bank of Kenya Act, the Banking Act, the Insurance Act, the Capital Markets Act and the Retirement Benefits Act and the Subsidiary legislations made thereunder and suggested reforms, if any, that may improve the situation.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sectPr>
          <w:pgSz w:h="15840" w:w="12240" w:orient="portrait"/>
          <w:pgMar w:bottom="280" w:top="1500" w:left="1320" w:right="1360" w:header="720" w:footer="720"/>
          <w:pgNumType w:start="1"/>
        </w:sectPr>
      </w:pPr>
      <w:r w:rsidDel="00000000" w:rsidR="00000000" w:rsidRPr="00000000">
        <w:rPr>
          <w:rtl w:val="0"/>
        </w:rPr>
      </w:r>
    </w:p>
    <w:p w:rsidR="00000000" w:rsidDel="00000000" w:rsidP="00000000" w:rsidRDefault="00000000" w:rsidRPr="00000000" w14:paraId="0000001A">
      <w:pPr>
        <w:spacing w:before="79" w:lineRule="auto"/>
        <w:ind w:left="115" w:firstLine="0"/>
        <w:rPr>
          <w:rFonts w:ascii="Book Antiqua" w:cs="Book Antiqua" w:eastAsia="Book Antiqua" w:hAnsi="Book Antiqua"/>
          <w:b w:val="1"/>
          <w:sz w:val="40"/>
          <w:szCs w:val="40"/>
        </w:rPr>
      </w:pPr>
      <w:r w:rsidDel="00000000" w:rsidR="00000000" w:rsidRPr="00000000">
        <w:rPr>
          <w:rFonts w:ascii="Book Antiqua" w:cs="Book Antiqua" w:eastAsia="Book Antiqua" w:hAnsi="Book Antiqua"/>
          <w:b w:val="1"/>
          <w:sz w:val="40"/>
          <w:szCs w:val="40"/>
          <w:rtl w:val="0"/>
        </w:rPr>
        <w:t xml:space="preserve">Table of Contents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9"/>
        </w:tabs>
        <w:spacing w:after="0" w:before="40" w:line="240" w:lineRule="auto"/>
        <w:ind w:left="115"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hyperlink w:anchor="_heading=h.gjdgxs">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51"/>
          <w:tab w:val="right" w:leader="none" w:pos="9436"/>
        </w:tabs>
        <w:spacing w:after="0" w:before="137" w:line="240" w:lineRule="auto"/>
        <w:ind w:left="450" w:right="0" w:hanging="336"/>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1ksv4uv">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Background to the Study</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46"/>
          <w:tab w:val="right" w:leader="none" w:pos="9436"/>
        </w:tabs>
        <w:spacing w:after="0" w:before="141" w:line="240" w:lineRule="auto"/>
        <w:ind w:left="445" w:right="0" w:hanging="331"/>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44sinio">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Conceptual Framework</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14"/>
          <w:tab w:val="right" w:leader="none" w:pos="9436"/>
        </w:tabs>
        <w:spacing w:after="0" w:before="137" w:line="240" w:lineRule="auto"/>
        <w:ind w:left="613" w:right="0" w:hanging="499"/>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30j0zll">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14"/>
          <w:tab w:val="right" w:leader="none" w:pos="9436"/>
        </w:tabs>
        <w:spacing w:after="0" w:before="136" w:line="240" w:lineRule="auto"/>
        <w:ind w:left="613" w:right="0" w:hanging="499"/>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1fob9te">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Financial Services Sector</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14"/>
          <w:tab w:val="right" w:leader="none" w:pos="9436"/>
        </w:tabs>
        <w:spacing w:after="0" w:before="137" w:line="240" w:lineRule="auto"/>
        <w:ind w:left="613" w:right="0" w:hanging="499"/>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3znysh7">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Protection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51"/>
          <w:tab w:val="right" w:leader="none" w:pos="9436"/>
        </w:tabs>
        <w:spacing w:after="0" w:before="137" w:line="240" w:lineRule="auto"/>
        <w:ind w:left="450" w:right="0" w:hanging="336"/>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2et92p0">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LEGAL FRAMEWORK FOR CONSUMER PROTECTION IN KENYA</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46"/>
          <w:tab w:val="right" w:leader="none" w:pos="9436"/>
        </w:tabs>
        <w:spacing w:after="0" w:before="136" w:line="240" w:lineRule="auto"/>
        <w:ind w:left="445" w:right="0" w:hanging="331"/>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tyjcwt">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Constitution</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46"/>
          <w:tab w:val="right" w:leader="none" w:pos="9436"/>
        </w:tabs>
        <w:spacing w:after="0" w:before="141" w:line="240" w:lineRule="auto"/>
        <w:ind w:left="445" w:right="0" w:hanging="331"/>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3dy6vkm">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Consumer Protection Act</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46"/>
          <w:tab w:val="right" w:leader="none" w:pos="9436"/>
        </w:tabs>
        <w:spacing w:after="0" w:before="137" w:line="240" w:lineRule="auto"/>
        <w:ind w:left="445" w:right="0" w:hanging="331"/>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2jxsxqh">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Sector-Specific Legislations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609"/>
          <w:tab w:val="right" w:leader="none" w:pos="9436"/>
        </w:tabs>
        <w:spacing w:after="0" w:before="137" w:line="240" w:lineRule="auto"/>
        <w:ind w:left="608" w:right="0" w:hanging="494"/>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1t3h5sf">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Central Bank of Kenya Act</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609"/>
          <w:tab w:val="right" w:leader="none" w:pos="9434"/>
        </w:tabs>
        <w:spacing w:after="0" w:before="136" w:line="240" w:lineRule="auto"/>
        <w:ind w:left="608" w:right="0" w:hanging="494"/>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4d34og8">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Banking Act</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609"/>
          <w:tab w:val="right" w:leader="none" w:pos="9434"/>
        </w:tabs>
        <w:spacing w:after="0" w:before="137" w:line="240" w:lineRule="auto"/>
        <w:ind w:left="608" w:right="0" w:hanging="494"/>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2s8eyo1">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Insurance Act</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657"/>
          <w:tab w:val="right" w:leader="none" w:pos="9430"/>
        </w:tabs>
        <w:spacing w:after="0" w:before="122" w:line="240" w:lineRule="auto"/>
        <w:ind w:left="656" w:right="0" w:hanging="542"/>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17dp8vu">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Capital Markets Act</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657"/>
          <w:tab w:val="right" w:leader="none" w:pos="9397"/>
        </w:tabs>
        <w:spacing w:after="0" w:before="142" w:line="240" w:lineRule="auto"/>
        <w:ind w:left="656" w:right="0" w:hanging="542"/>
        <w:jc w:val="left"/>
        <w:rPr>
          <w:rFonts w:ascii="Book Antiqua" w:cs="Book Antiqua" w:eastAsia="Book Antiqua" w:hAnsi="Book Antiqua"/>
          <w:b w:val="0"/>
          <w:i w:val="0"/>
          <w:smallCaps w:val="0"/>
          <w:strike w:val="0"/>
          <w:color w:val="000000"/>
          <w:sz w:val="40"/>
          <w:szCs w:val="40"/>
          <w:shd w:fill="auto" w:val="clear"/>
          <w:vertAlign w:val="baseline"/>
        </w:rPr>
      </w:pPr>
      <w:hyperlink w:anchor="_heading=h.3rdcrjn">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Retirement Benefits Act</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0"/>
        </w:tabs>
        <w:spacing w:after="0" w:before="137" w:line="240" w:lineRule="auto"/>
        <w:ind w:left="115"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sectPr>
          <w:footerReference r:id="rId7" w:type="default"/>
          <w:type w:val="nextPage"/>
          <w:pgSz w:h="15840" w:w="12240" w:orient="portrait"/>
          <w:pgMar w:bottom="1220" w:top="1360" w:left="1320" w:right="1360" w:header="0" w:footer="1035"/>
        </w:sectPr>
      </w:pPr>
      <w:hyperlink w:anchor="_heading=h.26in1rg">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3.0 RECOMMENDATIONS</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1"/>
          <w:numId w:val="4"/>
        </w:numPr>
        <w:tabs>
          <w:tab w:val="left" w:leader="none" w:pos="479"/>
        </w:tabs>
        <w:spacing w:before="90" w:lineRule="auto"/>
        <w:ind w:left="478" w:hanging="364"/>
        <w:jc w:val="both"/>
        <w:rPr>
          <w:rFonts w:ascii="Book Antiqua" w:cs="Book Antiqua" w:eastAsia="Book Antiqua" w:hAnsi="Book Antiqua"/>
          <w:sz w:val="40"/>
          <w:szCs w:val="40"/>
        </w:rPr>
      </w:pPr>
      <w:bookmarkStart w:colFirst="0" w:colLast="0" w:name="_heading=h.gjdgxs" w:id="0"/>
      <w:bookmarkEnd w:id="0"/>
      <w:r w:rsidDel="00000000" w:rsidR="00000000" w:rsidRPr="00000000">
        <w:rPr>
          <w:rFonts w:ascii="Book Antiqua" w:cs="Book Antiqua" w:eastAsia="Book Antiqua" w:hAnsi="Book Antiqua"/>
          <w:sz w:val="40"/>
          <w:szCs w:val="40"/>
          <w:rtl w:val="0"/>
        </w:rPr>
        <w:t xml:space="preserve">INTRODUCTION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57" w:lineRule="auto"/>
        <w:ind w:left="0" w:right="106"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protection is about ensuring fair exchange between goods and service providers on the one hand and consumers on the other hand. A deliberate legal framework is necessary to counter-balance the inherent disadvantage of a consumer vis-a-vis the power, information and resources of their goods and service providers.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As a result, reforms in the financial sector regulations center on the concept of consumer protection.</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From the onset, the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Kenya 2010 Constitution </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entrenches the right to consumer protection, that is, consumers should be protected from unfair market practices from services and goods providers.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This constitutional entrenchment, in conjunction with the Consumer Protection Act 2012 and sector-specific statutes, place enormous obligations and responsibilities on providers of financial services and goods (both private and public) to be discussed hereunder.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2"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With regard to the foregoing observation this paper purposes to evaluate the treatment of consumer protection in the financial services sector through the provisions of the Central Bank of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8890" cy="12700"/>
                <wp:effectExtent b="0" l="0" r="0" t="0"/>
                <wp:wrapTopAndBottom distB="0" distT="0"/>
                <wp:docPr id="33" name=""/>
                <a:graphic>
                  <a:graphicData uri="http://schemas.microsoft.com/office/word/2010/wordprocessingShape">
                    <wps:wsp>
                      <wps:cNvSpPr/>
                      <wps:cNvPr id="5" name="Shape 5"/>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8890" cy="12700"/>
                <wp:effectExtent b="0" l="0" r="0" t="0"/>
                <wp:wrapTopAndBottom distB="0" distT="0"/>
                <wp:docPr id="3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32">
      <w:pPr>
        <w:spacing w:before="67" w:lineRule="auto"/>
        <w:ind w:left="115"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w:t>
      </w:r>
      <w:r w:rsidDel="00000000" w:rsidR="00000000" w:rsidRPr="00000000">
        <w:rPr>
          <w:rFonts w:ascii="Book Antiqua" w:cs="Book Antiqua" w:eastAsia="Book Antiqua" w:hAnsi="Book Antiqua"/>
          <w:sz w:val="40"/>
          <w:szCs w:val="40"/>
          <w:rtl w:val="0"/>
        </w:rPr>
        <w:t xml:space="preserve"> J. A. Spanogle and R. J. Rohner, </w:t>
      </w:r>
      <w:r w:rsidDel="00000000" w:rsidR="00000000" w:rsidRPr="00000000">
        <w:rPr>
          <w:rFonts w:ascii="Book Antiqua" w:cs="Book Antiqua" w:eastAsia="Book Antiqua" w:hAnsi="Book Antiqua"/>
          <w:i w:val="1"/>
          <w:sz w:val="40"/>
          <w:szCs w:val="40"/>
          <w:rtl w:val="0"/>
        </w:rPr>
        <w:t xml:space="preserve">Consumer Law Cases and Material , </w:t>
      </w:r>
      <w:r w:rsidDel="00000000" w:rsidR="00000000" w:rsidRPr="00000000">
        <w:rPr>
          <w:rFonts w:ascii="Book Antiqua" w:cs="Book Antiqua" w:eastAsia="Book Antiqua" w:hAnsi="Book Antiqua"/>
          <w:sz w:val="40"/>
          <w:szCs w:val="40"/>
          <w:rtl w:val="0"/>
        </w:rPr>
        <w:t xml:space="preserve">(1</w:t>
      </w:r>
      <w:r w:rsidDel="00000000" w:rsidR="00000000" w:rsidRPr="00000000">
        <w:rPr>
          <w:rFonts w:ascii="Book Antiqua" w:cs="Book Antiqua" w:eastAsia="Book Antiqua" w:hAnsi="Book Antiqua"/>
          <w:sz w:val="40"/>
          <w:szCs w:val="40"/>
          <w:vertAlign w:val="superscript"/>
          <w:rtl w:val="0"/>
        </w:rPr>
        <w:t xml:space="preserve">st</w:t>
      </w:r>
      <w:r w:rsidDel="00000000" w:rsidR="00000000" w:rsidRPr="00000000">
        <w:rPr>
          <w:rFonts w:ascii="Book Antiqua" w:cs="Book Antiqua" w:eastAsia="Book Antiqua" w:hAnsi="Book Antiqua"/>
          <w:sz w:val="40"/>
          <w:szCs w:val="40"/>
          <w:rtl w:val="0"/>
        </w:rPr>
        <w:t xml:space="preserve">Ed, 1999) at p8.</w:t>
      </w:r>
    </w:p>
    <w:p w:rsidR="00000000" w:rsidDel="00000000" w:rsidP="00000000" w:rsidRDefault="00000000" w:rsidRPr="00000000" w14:paraId="00000033">
      <w:pPr>
        <w:spacing w:before="116" w:line="360" w:lineRule="auto"/>
        <w:ind w:left="115" w:right="103" w:hanging="0.9999999999999964"/>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Consumer Protection Diagnostic Study Kenya: A Report Submitted to the Ministry of Finance by FSD in January 2011</w:t>
      </w:r>
      <w:r w:rsidDel="00000000" w:rsidR="00000000" w:rsidRPr="00000000">
        <w:rPr>
          <w:rFonts w:ascii="Book Antiqua" w:cs="Book Antiqua" w:eastAsia="Book Antiqua" w:hAnsi="Book Antiqua"/>
          <w:sz w:val="40"/>
          <w:szCs w:val="40"/>
          <w:rtl w:val="0"/>
        </w:rPr>
        <w:t xml:space="preserve">, available at &lt;</w:t>
      </w:r>
      <w:hyperlink r:id="rId9">
        <w:r w:rsidDel="00000000" w:rsidR="00000000" w:rsidRPr="00000000">
          <w:rPr>
            <w:rFonts w:ascii="Book Antiqua" w:cs="Book Antiqua" w:eastAsia="Book Antiqua" w:hAnsi="Book Antiqua"/>
            <w:color w:val="0000ff"/>
            <w:sz w:val="40"/>
            <w:szCs w:val="40"/>
            <w:u w:val="single"/>
            <w:rtl w:val="0"/>
          </w:rPr>
          <w:t xml:space="preserve">http://www.fsdkenya.org/insights/11-02-28_FSD</w:t>
        </w:r>
      </w:hyperlink>
      <w:hyperlink r:id="rId10">
        <w:r w:rsidDel="00000000" w:rsidR="00000000" w:rsidRPr="00000000">
          <w:rPr>
            <w:rFonts w:ascii="Book Antiqua" w:cs="Book Antiqua" w:eastAsia="Book Antiqua" w:hAnsi="Book Antiqua"/>
            <w:sz w:val="40"/>
            <w:szCs w:val="40"/>
            <w:rtl w:val="0"/>
          </w:rPr>
          <w:t xml:space="preserve">insights_consumer_protection_issue_03.pdf&gt;.</w:t>
        </w:r>
      </w:hyperlink>
      <w:r w:rsidDel="00000000" w:rsidR="00000000" w:rsidRPr="00000000">
        <w:rPr>
          <w:rtl w:val="0"/>
        </w:rPr>
      </w:r>
    </w:p>
    <w:p w:rsidR="00000000" w:rsidDel="00000000" w:rsidP="00000000" w:rsidRDefault="00000000" w:rsidRPr="00000000" w14:paraId="00000034">
      <w:pPr>
        <w:spacing w:before="1" w:line="360" w:lineRule="auto"/>
        <w:ind w:left="115" w:right="98" w:hanging="0.9999999999999964"/>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w:t>
      </w:r>
      <w:r w:rsidDel="00000000" w:rsidR="00000000" w:rsidRPr="00000000">
        <w:rPr>
          <w:rFonts w:ascii="Book Antiqua" w:cs="Book Antiqua" w:eastAsia="Book Antiqua" w:hAnsi="Book Antiqua"/>
          <w:sz w:val="40"/>
          <w:szCs w:val="40"/>
          <w:rtl w:val="0"/>
        </w:rPr>
        <w:t xml:space="preserve"> Republic of Kenya, Vision 2030 (Abridged Version), </w:t>
      </w:r>
      <w:hyperlink r:id="rId11">
        <w:r w:rsidDel="00000000" w:rsidR="00000000" w:rsidRPr="00000000">
          <w:rPr>
            <w:rFonts w:ascii="Book Antiqua" w:cs="Book Antiqua" w:eastAsia="Book Antiqua" w:hAnsi="Book Antiqua"/>
            <w:color w:val="0000ff"/>
            <w:sz w:val="40"/>
            <w:szCs w:val="40"/>
            <w:u w:val="single"/>
            <w:rtl w:val="0"/>
          </w:rPr>
          <w:t xml:space="preserve">www.partnership-africa.org/content/</w:t>
        </w:r>
      </w:hyperlink>
      <w:hyperlink r:id="rId12">
        <w:r w:rsidDel="00000000" w:rsidR="00000000" w:rsidRPr="00000000">
          <w:rPr>
            <w:rFonts w:ascii="Book Antiqua" w:cs="Book Antiqua" w:eastAsia="Book Antiqua" w:hAnsi="Book Antiqua"/>
            <w:b w:val="1"/>
            <w:color w:val="0000ff"/>
            <w:sz w:val="40"/>
            <w:szCs w:val="40"/>
            <w:u w:val="single"/>
            <w:rtl w:val="0"/>
          </w:rPr>
          <w:t xml:space="preserve">kenya</w:t>
        </w:r>
      </w:hyperlink>
      <w:hyperlink r:id="rId13">
        <w:r w:rsidDel="00000000" w:rsidR="00000000" w:rsidRPr="00000000">
          <w:rPr>
            <w:rFonts w:ascii="Book Antiqua" w:cs="Book Antiqua" w:eastAsia="Book Antiqua" w:hAnsi="Book Antiqua"/>
            <w:color w:val="0000ff"/>
            <w:sz w:val="40"/>
            <w:szCs w:val="40"/>
            <w:u w:val="single"/>
            <w:rtl w:val="0"/>
          </w:rPr>
          <w:t xml:space="preserve">-</w:t>
        </w:r>
      </w:hyperlink>
      <w:hyperlink r:id="rId14">
        <w:r w:rsidDel="00000000" w:rsidR="00000000" w:rsidRPr="00000000">
          <w:rPr>
            <w:rFonts w:ascii="Book Antiqua" w:cs="Book Antiqua" w:eastAsia="Book Antiqua" w:hAnsi="Book Antiqua"/>
            <w:b w:val="1"/>
            <w:color w:val="0000ff"/>
            <w:sz w:val="40"/>
            <w:szCs w:val="40"/>
            <w:u w:val="single"/>
            <w:rtl w:val="0"/>
          </w:rPr>
          <w:t xml:space="preserve">vision</w:t>
        </w:r>
      </w:hyperlink>
      <w:hyperlink r:id="rId15">
        <w:r w:rsidDel="00000000" w:rsidR="00000000" w:rsidRPr="00000000">
          <w:rPr>
            <w:rFonts w:ascii="Book Antiqua" w:cs="Book Antiqua" w:eastAsia="Book Antiqua" w:hAnsi="Book Antiqua"/>
            <w:color w:val="0000ff"/>
            <w:sz w:val="40"/>
            <w:szCs w:val="40"/>
            <w:u w:val="single"/>
            <w:rtl w:val="0"/>
          </w:rPr>
          <w:t xml:space="preserve">-</w:t>
        </w:r>
      </w:hyperlink>
      <w:hyperlink r:id="rId16">
        <w:r w:rsidDel="00000000" w:rsidR="00000000" w:rsidRPr="00000000">
          <w:rPr>
            <w:rFonts w:ascii="Book Antiqua" w:cs="Book Antiqua" w:eastAsia="Book Antiqua" w:hAnsi="Book Antiqua"/>
            <w:b w:val="1"/>
            <w:color w:val="0000ff"/>
            <w:sz w:val="40"/>
            <w:szCs w:val="40"/>
            <w:u w:val="single"/>
            <w:rtl w:val="0"/>
          </w:rPr>
          <w:t xml:space="preserve">2030</w:t>
        </w:r>
      </w:hyperlink>
      <w:hyperlink r:id="rId17">
        <w:r w:rsidDel="00000000" w:rsidR="00000000" w:rsidRPr="00000000">
          <w:rPr>
            <w:rFonts w:ascii="Book Antiqua" w:cs="Book Antiqua" w:eastAsia="Book Antiqua" w:hAnsi="Book Antiqua"/>
            <w:color w:val="0000ff"/>
            <w:sz w:val="40"/>
            <w:szCs w:val="40"/>
            <w:u w:val="single"/>
            <w:rtl w:val="0"/>
          </w:rPr>
          <w:t xml:space="preserve">-</w:t>
        </w:r>
      </w:hyperlink>
      <w:hyperlink r:id="rId18">
        <w:r w:rsidDel="00000000" w:rsidR="00000000" w:rsidRPr="00000000">
          <w:rPr>
            <w:rFonts w:ascii="Book Antiqua" w:cs="Book Antiqua" w:eastAsia="Book Antiqua" w:hAnsi="Book Antiqua"/>
            <w:b w:val="1"/>
            <w:color w:val="0000ff"/>
            <w:sz w:val="40"/>
            <w:szCs w:val="40"/>
            <w:u w:val="single"/>
            <w:rtl w:val="0"/>
          </w:rPr>
          <w:t xml:space="preserve">a</w:t>
        </w:r>
      </w:hyperlink>
      <w:r w:rsidDel="00000000" w:rsidR="00000000" w:rsidRPr="00000000">
        <w:rPr>
          <w:rFonts w:ascii="Book Antiqua" w:cs="Book Antiqua" w:eastAsia="Book Antiqua" w:hAnsi="Book Antiqua"/>
          <w:b w:val="1"/>
          <w:color w:val="0000ff"/>
          <w:sz w:val="40"/>
          <w:szCs w:val="40"/>
          <w:rtl w:val="0"/>
        </w:rPr>
        <w:t xml:space="preserve"> </w:t>
      </w:r>
      <w:r w:rsidDel="00000000" w:rsidR="00000000" w:rsidRPr="00000000">
        <w:rPr>
          <w:rFonts w:ascii="Book Antiqua" w:cs="Book Antiqua" w:eastAsia="Book Antiqua" w:hAnsi="Book Antiqua"/>
          <w:b w:val="1"/>
          <w:color w:val="0000ff"/>
          <w:sz w:val="40"/>
          <w:szCs w:val="40"/>
          <w:u w:val="single"/>
          <w:rtl w:val="0"/>
        </w:rPr>
        <w:t xml:space="preserve">bridged</w:t>
      </w:r>
      <w:r w:rsidDel="00000000" w:rsidR="00000000" w:rsidRPr="00000000">
        <w:rPr>
          <w:rFonts w:ascii="Book Antiqua" w:cs="Book Antiqua" w:eastAsia="Book Antiqua" w:hAnsi="Book Antiqua"/>
          <w:color w:val="0000ff"/>
          <w:sz w:val="40"/>
          <w:szCs w:val="40"/>
          <w:u w:val="single"/>
          <w:rtl w:val="0"/>
        </w:rPr>
        <w:t xml:space="preserve">-</w:t>
      </w:r>
      <w:r w:rsidDel="00000000" w:rsidR="00000000" w:rsidRPr="00000000">
        <w:rPr>
          <w:rFonts w:ascii="Book Antiqua" w:cs="Book Antiqua" w:eastAsia="Book Antiqua" w:hAnsi="Book Antiqua"/>
          <w:b w:val="1"/>
          <w:color w:val="0000ff"/>
          <w:sz w:val="40"/>
          <w:szCs w:val="40"/>
          <w:u w:val="single"/>
          <w:rtl w:val="0"/>
        </w:rPr>
        <w:t xml:space="preserve">version</w:t>
      </w:r>
      <w:r w:rsidDel="00000000" w:rsidR="00000000" w:rsidRPr="00000000">
        <w:rPr>
          <w:rFonts w:ascii="Book Antiqua" w:cs="Book Antiqua" w:eastAsia="Book Antiqua" w:hAnsi="Book Antiqua"/>
          <w:b w:val="1"/>
          <w:color w:val="0000ff"/>
          <w:sz w:val="40"/>
          <w:szCs w:val="40"/>
          <w:rtl w:val="0"/>
        </w:rPr>
        <w:t xml:space="preserve"> </w:t>
      </w:r>
      <w:r w:rsidDel="00000000" w:rsidR="00000000" w:rsidRPr="00000000">
        <w:rPr>
          <w:rFonts w:ascii="Book Antiqua" w:cs="Book Antiqua" w:eastAsia="Book Antiqua" w:hAnsi="Book Antiqua"/>
          <w:sz w:val="40"/>
          <w:szCs w:val="40"/>
          <w:rtl w:val="0"/>
        </w:rPr>
        <w:t xml:space="preserve">at 28 May 2014</w:t>
      </w:r>
      <w:r w:rsidDel="00000000" w:rsidR="00000000" w:rsidRPr="00000000">
        <w:rPr>
          <w:rFonts w:ascii="Book Antiqua" w:cs="Book Antiqua" w:eastAsia="Book Antiqua" w:hAnsi="Book Antiqua"/>
          <w:i w:val="1"/>
          <w:sz w:val="40"/>
          <w:szCs w:val="40"/>
          <w:rtl w:val="0"/>
        </w:rPr>
        <w:t xml:space="preserve">. </w:t>
      </w:r>
      <w:r w:rsidDel="00000000" w:rsidR="00000000" w:rsidRPr="00000000">
        <w:rPr>
          <w:rFonts w:ascii="Book Antiqua" w:cs="Book Antiqua" w:eastAsia="Book Antiqua" w:hAnsi="Book Antiqua"/>
          <w:sz w:val="40"/>
          <w:szCs w:val="40"/>
          <w:rtl w:val="0"/>
        </w:rPr>
        <w:t xml:space="preserve">A long term development plan for the country which puts provision of financial services at the center of the planned economic growth trajectory through the year 2030 with main objectives articulated in Vision 2030 for the financial sector as to (i) improve stability, (ii) enhance efficiency in the delivery of financial services, and (iii) improve access to financial services and products for a much larger number of Kenyan households.</w:t>
      </w:r>
    </w:p>
    <w:p w:rsidR="00000000" w:rsidDel="00000000" w:rsidP="00000000" w:rsidRDefault="00000000" w:rsidRPr="00000000" w14:paraId="00000035">
      <w:pPr>
        <w:spacing w:line="229" w:lineRule="auto"/>
        <w:ind w:left="115"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Constitution of Kenya, </w:t>
      </w:r>
      <w:r w:rsidDel="00000000" w:rsidR="00000000" w:rsidRPr="00000000">
        <w:rPr>
          <w:rFonts w:ascii="Book Antiqua" w:cs="Book Antiqua" w:eastAsia="Book Antiqua" w:hAnsi="Book Antiqua"/>
          <w:sz w:val="40"/>
          <w:szCs w:val="40"/>
          <w:rtl w:val="0"/>
        </w:rPr>
        <w:t xml:space="preserve">2010 article 46 provides that</w:t>
      </w:r>
    </w:p>
    <w:p w:rsidR="00000000" w:rsidDel="00000000" w:rsidP="00000000" w:rsidRDefault="00000000" w:rsidRPr="00000000" w14:paraId="000000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03"/>
        </w:tabs>
        <w:spacing w:after="0" w:before="116" w:line="240" w:lineRule="auto"/>
        <w:ind w:left="402" w:right="0" w:hanging="288"/>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Consumers have the right—</w:t>
      </w:r>
    </w:p>
    <w:p w:rsidR="00000000" w:rsidDel="00000000" w:rsidP="00000000" w:rsidRDefault="00000000" w:rsidRPr="00000000" w14:paraId="0000003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3"/>
        </w:tabs>
        <w:spacing w:after="0" w:before="115" w:line="240" w:lineRule="auto"/>
        <w:ind w:left="402" w:right="0" w:hanging="288"/>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to goods and services of reasonable quality;</w:t>
      </w:r>
    </w:p>
    <w:p w:rsidR="00000000" w:rsidDel="00000000" w:rsidP="00000000" w:rsidRDefault="00000000" w:rsidRPr="00000000" w14:paraId="000000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3"/>
        </w:tabs>
        <w:spacing w:after="0" w:before="116" w:line="240" w:lineRule="auto"/>
        <w:ind w:left="402" w:right="0" w:hanging="288"/>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to the information necessary for them to gain full benefitfrom goods and services;</w:t>
      </w:r>
    </w:p>
    <w:p w:rsidR="00000000" w:rsidDel="00000000" w:rsidP="00000000" w:rsidRDefault="00000000" w:rsidRPr="00000000" w14:paraId="000000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389"/>
        </w:tabs>
        <w:spacing w:after="0" w:before="116" w:line="240" w:lineRule="auto"/>
        <w:ind w:left="388" w:right="0" w:hanging="274"/>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to the protection of their health, safety, and economic interests; and</w:t>
      </w:r>
    </w:p>
    <w:p w:rsidR="00000000" w:rsidDel="00000000" w:rsidP="00000000" w:rsidRDefault="00000000" w:rsidRPr="00000000" w14:paraId="000000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3"/>
        </w:tabs>
        <w:spacing w:after="0" w:before="110" w:line="240" w:lineRule="auto"/>
        <w:ind w:left="402" w:right="0" w:hanging="288"/>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to compensation for loss or injury arising from defects in goods or services.</w:t>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03"/>
        </w:tabs>
        <w:spacing w:after="0" w:before="116" w:line="240" w:lineRule="auto"/>
        <w:ind w:left="402" w:right="0" w:hanging="288"/>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Parliament shall enact legislation to provide for consumer protection and for fair, honest and decent advertising.</w:t>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8"/>
        </w:tabs>
        <w:spacing w:after="0" w:before="116" w:line="240" w:lineRule="auto"/>
        <w:ind w:left="397" w:right="0" w:hanging="283"/>
        <w:jc w:val="both"/>
        <w:rPr>
          <w:rFonts w:ascii="Book Antiqua" w:cs="Book Antiqua" w:eastAsia="Book Antiqua" w:hAnsi="Book Antiqua"/>
          <w:b w:val="0"/>
          <w:i w:val="0"/>
          <w:smallCaps w:val="0"/>
          <w:strike w:val="0"/>
          <w:color w:val="000000"/>
          <w:sz w:val="40"/>
          <w:szCs w:val="40"/>
          <w:shd w:fill="auto" w:val="clear"/>
          <w:vertAlign w:val="baseline"/>
        </w:rPr>
        <w:sectPr>
          <w:footerReference r:id="rId19" w:type="default"/>
          <w:type w:val="nextPage"/>
          <w:pgSz w:h="15840" w:w="12240" w:orient="portrait"/>
          <w:pgMar w:bottom="1220" w:top="1500" w:left="1320" w:right="1360" w:header="0" w:footer="1035"/>
          <w:pgNumType w:start="1"/>
        </w:sect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This Article applies to goods and services offered by public entities or private persons.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115" w:right="104"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Kenya Act, the Banking Act, and the Insurance Act, the Capital Markets Act and the Retirement Benefits Act (but will include but not limited to the Consumer Protection Act, the Competition Act, the Micro Finance Act, the Microfinance (Deposit Taking MFI) Regulations of [2008], the CBK prudential Regulations). The research will specifically assess how statutes regulating the financial sector in Kenya provide for the three aspects of consumer protection:</w:t>
      </w:r>
    </w:p>
    <w:p w:rsidR="00000000" w:rsidDel="00000000" w:rsidP="00000000" w:rsidRDefault="00000000" w:rsidRPr="00000000" w14:paraId="000000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197" w:line="240" w:lineRule="auto"/>
        <w:ind w:left="832" w:right="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dispute resolution;</w:t>
      </w:r>
    </w:p>
    <w:p w:rsidR="00000000" w:rsidDel="00000000" w:rsidP="00000000" w:rsidRDefault="00000000" w:rsidRPr="00000000" w14:paraId="000000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138" w:line="240" w:lineRule="auto"/>
        <w:ind w:left="832" w:right="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compensation; and</w:t>
      </w:r>
    </w:p>
    <w:p w:rsidR="00000000" w:rsidDel="00000000" w:rsidP="00000000" w:rsidRDefault="00000000" w:rsidRPr="00000000" w14:paraId="000000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138" w:line="240" w:lineRule="auto"/>
        <w:ind w:left="832" w:right="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stability of the financial sector.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15" w:right="119"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Finally the paper will recommend any reforms to address issues of consumer protection in a bid to elevate market practices and regulations.</w:t>
      </w:r>
    </w:p>
    <w:p w:rsidR="00000000" w:rsidDel="00000000" w:rsidP="00000000" w:rsidRDefault="00000000" w:rsidRPr="00000000" w14:paraId="00000043">
      <w:pPr>
        <w:pStyle w:val="Heading1"/>
        <w:tabs>
          <w:tab w:val="left" w:leader="none" w:pos="656"/>
        </w:tabs>
        <w:spacing w:before="195" w:lineRule="auto"/>
        <w:ind w:left="0" w:firstLine="0"/>
        <w:jc w:val="left"/>
        <w:rPr>
          <w:rFonts w:ascii="Book Antiqua" w:cs="Book Antiqua" w:eastAsia="Book Antiqua" w:hAnsi="Book Antiqua"/>
          <w:sz w:val="40"/>
          <w:szCs w:val="40"/>
        </w:rPr>
      </w:pPr>
      <w:bookmarkStart w:colFirst="0" w:colLast="0" w:name="_heading=h.30j0zll" w:id="1"/>
      <w:bookmarkEnd w:id="1"/>
      <w:r w:rsidDel="00000000" w:rsidR="00000000" w:rsidRPr="00000000">
        <w:rPr>
          <w:rFonts w:ascii="Book Antiqua" w:cs="Book Antiqua" w:eastAsia="Book Antiqua" w:hAnsi="Book Antiqua"/>
          <w:sz w:val="40"/>
          <w:szCs w:val="40"/>
          <w:rtl w:val="0"/>
        </w:rPr>
        <w:t xml:space="preserve">Consumer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15" w:right="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Consumer Protection Act</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gives a wide definition of consumer to mean-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5"/>
        </w:tabs>
        <w:spacing w:after="0" w:before="1" w:line="360" w:lineRule="auto"/>
        <w:ind w:left="115" w:right="98" w:firstLine="0"/>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person to whom particular goods or services are marketed in the ordinary course of the supplier's business;</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9"/>
        </w:tabs>
        <w:spacing w:after="0" w:before="199" w:line="360" w:lineRule="auto"/>
        <w:ind w:left="115" w:right="98" w:firstLine="0"/>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person who has entered into a transaction with a supplier in the ordinary course of the supplier's business, unless the transaction is exempt from the application of this Act;</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6"/>
        </w:tabs>
        <w:spacing w:after="0" w:before="204" w:line="357" w:lineRule="auto"/>
        <w:ind w:left="115" w:right="98" w:firstLine="0"/>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user of particular goods or a recipient or beneficiary of particular services, irrespective of whether that user, recipient or beneficiary was a party to a transaction concerning the supply of those particular goods and services; and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8890" cy="12700"/>
                <wp:effectExtent b="0" l="0" r="0" t="0"/>
                <wp:wrapTopAndBottom distB="0" distT="0"/>
                <wp:docPr id="38" name=""/>
                <a:graphic>
                  <a:graphicData uri="http://schemas.microsoft.com/office/word/2010/wordprocessingShape">
                    <wps:wsp>
                      <wps:cNvSpPr/>
                      <wps:cNvPr id="10" name="Shape 10"/>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8890" cy="12700"/>
                <wp:effectExtent b="0" l="0" r="0" t="0"/>
                <wp:wrapTopAndBottom distB="0" distT="0"/>
                <wp:docPr id="38"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4B">
      <w:pPr>
        <w:spacing w:before="67" w:lineRule="auto"/>
        <w:ind w:left="115" w:firstLine="0"/>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5</w:t>
      </w:r>
      <w:r w:rsidDel="00000000" w:rsidR="00000000" w:rsidRPr="00000000">
        <w:rPr>
          <w:rFonts w:ascii="Book Antiqua" w:cs="Book Antiqua" w:eastAsia="Book Antiqua" w:hAnsi="Book Antiqua"/>
          <w:i w:val="1"/>
          <w:sz w:val="40"/>
          <w:szCs w:val="40"/>
          <w:rtl w:val="0"/>
        </w:rPr>
        <w:t xml:space="preserve">The Consumer Protection Act</w:t>
      </w:r>
      <w:r w:rsidDel="00000000" w:rsidR="00000000" w:rsidRPr="00000000">
        <w:rPr>
          <w:rFonts w:ascii="Book Antiqua" w:cs="Book Antiqua" w:eastAsia="Book Antiqua" w:hAnsi="Book Antiqua"/>
          <w:sz w:val="40"/>
          <w:szCs w:val="40"/>
          <w:rtl w:val="0"/>
        </w:rPr>
        <w:t xml:space="preserve">, 2012, s 2.</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1"/>
        </w:tabs>
        <w:spacing w:after="0" w:before="67" w:line="240" w:lineRule="auto"/>
        <w:ind w:left="460" w:right="0" w:hanging="346"/>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franchisee in terms of a franchise agreement, to the extent applicable in terms of this Act;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more comprehensive definition of a consumer is found in the Competition Act as including any person who purchases or offers to purchase goods or services otherwise than for the purpose of resale, but does not include a person who purchases any goods or services for the purpose of using them in the production or manufacture of any goods or articles for sale.</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109"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By reasonable man standard we are inclined to presuppose that by the use of the phrase “a person” the legislator intended to include and protect both natural and artificial persons. To note, the statutory definition of “consumer” encapsulates both a contractual and a non-contractual as evidenced inthe Consumer Protection Act which talks about a user, recipient or beneficiary or a franchisee as well as a person who has entered into a transaction. The Black’s Law Dictionary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7</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adopts a definition similar to that of the statute but limits it to the natural person.</w:t>
      </w:r>
    </w:p>
    <w:p w:rsidR="00000000" w:rsidDel="00000000" w:rsidP="00000000" w:rsidRDefault="00000000" w:rsidRPr="00000000" w14:paraId="00000050">
      <w:pPr>
        <w:pStyle w:val="Heading1"/>
        <w:tabs>
          <w:tab w:val="left" w:leader="none" w:pos="656"/>
        </w:tabs>
        <w:spacing w:before="184" w:lineRule="auto"/>
        <w:ind w:left="0" w:firstLine="0"/>
        <w:jc w:val="left"/>
        <w:rPr>
          <w:rFonts w:ascii="Book Antiqua" w:cs="Book Antiqua" w:eastAsia="Book Antiqua" w:hAnsi="Book Antiqua"/>
          <w:sz w:val="40"/>
          <w:szCs w:val="40"/>
        </w:rPr>
      </w:pPr>
      <w:bookmarkStart w:colFirst="0" w:colLast="0" w:name="_heading=h.1fob9te" w:id="2"/>
      <w:bookmarkEnd w:id="2"/>
      <w:r w:rsidDel="00000000" w:rsidR="00000000" w:rsidRPr="00000000">
        <w:rPr>
          <w:rFonts w:ascii="Book Antiqua" w:cs="Book Antiqua" w:eastAsia="Book Antiqua" w:hAnsi="Book Antiqua"/>
          <w:sz w:val="40"/>
          <w:szCs w:val="40"/>
          <w:rtl w:val="0"/>
        </w:rPr>
        <w:t xml:space="preserve">Financial Services Sector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60" w:lineRule="auto"/>
        <w:ind w:left="115" w:right="10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Generally the financial sector is the market in which financial instruments are traded: for long term finance, the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Capital markets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for short term finance, the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Money markets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8</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In Kenya, the term financial sector is used as a catchall for all the financial institutions in the sector, comprising of:</w:t>
      </w:r>
    </w:p>
    <w:p w:rsidR="00000000" w:rsidDel="00000000" w:rsidP="00000000" w:rsidRDefault="00000000" w:rsidRPr="00000000" w14:paraId="0000005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33"/>
        </w:tabs>
        <w:spacing w:after="0" w:before="199" w:line="350" w:lineRule="auto"/>
        <w:ind w:left="832" w:right="111" w:hanging="359"/>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Banks, microfinance institutions, mortgage companies and other non-banking financial institutions with the Central Bank of Kenya (CBK) as the main regulator.</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33"/>
        </w:tabs>
        <w:spacing w:after="0" w:before="214" w:line="348" w:lineRule="auto"/>
        <w:ind w:left="832" w:right="109" w:hanging="359"/>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Capital markets with the Capital Market Authority (CMA) regulating the financial services providers within capital markets.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10</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8890" cy="12700"/>
                <wp:effectExtent b="0" l="0" r="0" t="0"/>
                <wp:wrapTopAndBottom distB="0" distT="0"/>
                <wp:docPr id="56" name=""/>
                <a:graphic>
                  <a:graphicData uri="http://schemas.microsoft.com/office/word/2010/wordprocessingShape">
                    <wps:wsp>
                      <wps:cNvSpPr/>
                      <wps:cNvPr id="28" name="Shape 28"/>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8890" cy="12700"/>
                <wp:effectExtent b="0" l="0" r="0" t="0"/>
                <wp:wrapTopAndBottom distB="0" distT="0"/>
                <wp:docPr id="56"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55">
      <w:pPr>
        <w:spacing w:before="67" w:line="360" w:lineRule="auto"/>
        <w:ind w:left="115" w:right="98"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6</w:t>
      </w:r>
      <w:r w:rsidDel="00000000" w:rsidR="00000000" w:rsidRPr="00000000">
        <w:rPr>
          <w:rFonts w:ascii="Book Antiqua" w:cs="Book Antiqua" w:eastAsia="Book Antiqua" w:hAnsi="Book Antiqua"/>
          <w:i w:val="1"/>
          <w:sz w:val="40"/>
          <w:szCs w:val="40"/>
          <w:rtl w:val="0"/>
        </w:rPr>
        <w:t xml:space="preserve">The Competition Act, </w:t>
      </w:r>
      <w:r w:rsidDel="00000000" w:rsidR="00000000" w:rsidRPr="00000000">
        <w:rPr>
          <w:rFonts w:ascii="Book Antiqua" w:cs="Book Antiqua" w:eastAsia="Book Antiqua" w:hAnsi="Book Antiqua"/>
          <w:sz w:val="40"/>
          <w:szCs w:val="40"/>
          <w:rtl w:val="0"/>
        </w:rPr>
        <w:t xml:space="preserve">2012</w:t>
      </w:r>
      <w:r w:rsidDel="00000000" w:rsidR="00000000" w:rsidRPr="00000000">
        <w:rPr>
          <w:rFonts w:ascii="Book Antiqua" w:cs="Book Antiqua" w:eastAsia="Book Antiqua" w:hAnsi="Book Antiqua"/>
          <w:i w:val="1"/>
          <w:sz w:val="40"/>
          <w:szCs w:val="40"/>
          <w:rtl w:val="0"/>
        </w:rPr>
        <w:t xml:space="preserve">,</w:t>
      </w:r>
      <w:r w:rsidDel="00000000" w:rsidR="00000000" w:rsidRPr="00000000">
        <w:rPr>
          <w:rFonts w:ascii="Book Antiqua" w:cs="Book Antiqua" w:eastAsia="Book Antiqua" w:hAnsi="Book Antiqua"/>
          <w:sz w:val="40"/>
          <w:szCs w:val="40"/>
          <w:rtl w:val="0"/>
        </w:rPr>
        <w:t xml:space="preserve">s 2; This clearly differentiates a consumer consuming a commodity or service for his personal domestic use and one who uses it to earn his livelihood. Only consumers are protected as per this Act and any person, entity or organization purchasing a commodity for commercial reasons does not fall under this purview. </w:t>
      </w:r>
      <w:r w:rsidDel="00000000" w:rsidR="00000000" w:rsidRPr="00000000">
        <w:rPr>
          <w:rFonts w:ascii="Book Antiqua" w:cs="Book Antiqua" w:eastAsia="Book Antiqua" w:hAnsi="Book Antiqua"/>
          <w:sz w:val="40"/>
          <w:szCs w:val="40"/>
          <w:vertAlign w:val="superscript"/>
          <w:rtl w:val="0"/>
        </w:rPr>
        <w:t xml:space="preserve">7</w:t>
      </w:r>
      <w:r w:rsidDel="00000000" w:rsidR="00000000" w:rsidRPr="00000000">
        <w:rPr>
          <w:rFonts w:ascii="Book Antiqua" w:cs="Book Antiqua" w:eastAsia="Book Antiqua" w:hAnsi="Book Antiqua"/>
          <w:sz w:val="40"/>
          <w:szCs w:val="40"/>
          <w:rtl w:val="0"/>
        </w:rPr>
        <w:t xml:space="preserve"> Bryan A. Garner, </w:t>
      </w:r>
      <w:r w:rsidDel="00000000" w:rsidR="00000000" w:rsidRPr="00000000">
        <w:rPr>
          <w:rFonts w:ascii="Book Antiqua" w:cs="Book Antiqua" w:eastAsia="Book Antiqua" w:hAnsi="Book Antiqua"/>
          <w:i w:val="1"/>
          <w:sz w:val="40"/>
          <w:szCs w:val="40"/>
          <w:rtl w:val="0"/>
        </w:rPr>
        <w:t xml:space="preserve">Black’s Law Dictionary, </w:t>
      </w:r>
      <w:r w:rsidDel="00000000" w:rsidR="00000000" w:rsidRPr="00000000">
        <w:rPr>
          <w:rFonts w:ascii="Book Antiqua" w:cs="Book Antiqua" w:eastAsia="Book Antiqua" w:hAnsi="Book Antiqua"/>
          <w:sz w:val="40"/>
          <w:szCs w:val="40"/>
          <w:rtl w:val="0"/>
        </w:rPr>
        <w:t xml:space="preserve">(9</w:t>
      </w:r>
      <w:r w:rsidDel="00000000" w:rsidR="00000000" w:rsidRPr="00000000">
        <w:rPr>
          <w:rFonts w:ascii="Book Antiqua" w:cs="Book Antiqua" w:eastAsia="Book Antiqua" w:hAnsi="Book Antiqua"/>
          <w:sz w:val="40"/>
          <w:szCs w:val="40"/>
          <w:vertAlign w:val="superscript"/>
          <w:rtl w:val="0"/>
        </w:rPr>
        <w:t xml:space="preserve">th</w:t>
      </w:r>
      <w:r w:rsidDel="00000000" w:rsidR="00000000" w:rsidRPr="00000000">
        <w:rPr>
          <w:rFonts w:ascii="Book Antiqua" w:cs="Book Antiqua" w:eastAsia="Book Antiqua" w:hAnsi="Book Antiqua"/>
          <w:sz w:val="40"/>
          <w:szCs w:val="40"/>
          <w:rtl w:val="0"/>
        </w:rPr>
        <w:t xml:space="preserve"> Ed, 2009), Thomson Reuters Business Publishers, at p387. To quote verbatim, a consumer is “[a] person who buys goods or services for personal, family or household use, with no intention of resale; a natural person who uses products for personal rather than business purposes.”</w:t>
      </w:r>
    </w:p>
    <w:p w:rsidR="00000000" w:rsidDel="00000000" w:rsidP="00000000" w:rsidRDefault="00000000" w:rsidRPr="00000000" w14:paraId="00000056">
      <w:pPr>
        <w:spacing w:line="229"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8</w:t>
      </w:r>
      <w:r w:rsidDel="00000000" w:rsidR="00000000" w:rsidRPr="00000000">
        <w:rPr>
          <w:rFonts w:ascii="Book Antiqua" w:cs="Book Antiqua" w:eastAsia="Book Antiqua" w:hAnsi="Book Antiqua"/>
          <w:i w:val="1"/>
          <w:sz w:val="40"/>
          <w:szCs w:val="40"/>
          <w:rtl w:val="0"/>
        </w:rPr>
        <w:t xml:space="preserve">Ibid </w:t>
      </w:r>
      <w:r w:rsidDel="00000000" w:rsidR="00000000" w:rsidRPr="00000000">
        <w:rPr>
          <w:rFonts w:ascii="Book Antiqua" w:cs="Book Antiqua" w:eastAsia="Book Antiqua" w:hAnsi="Book Antiqua"/>
          <w:sz w:val="40"/>
          <w:szCs w:val="40"/>
          <w:rtl w:val="0"/>
        </w:rPr>
        <w:t xml:space="preserve">p1085.</w:t>
      </w:r>
    </w:p>
    <w:p w:rsidR="00000000" w:rsidDel="00000000" w:rsidP="00000000" w:rsidRDefault="00000000" w:rsidRPr="00000000" w14:paraId="00000057">
      <w:pPr>
        <w:spacing w:before="116"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9</w:t>
      </w:r>
      <w:r w:rsidDel="00000000" w:rsidR="00000000" w:rsidRPr="00000000">
        <w:rPr>
          <w:rFonts w:ascii="Book Antiqua" w:cs="Book Antiqua" w:eastAsia="Book Antiqua" w:hAnsi="Book Antiqua"/>
          <w:i w:val="1"/>
          <w:sz w:val="40"/>
          <w:szCs w:val="40"/>
          <w:rtl w:val="0"/>
        </w:rPr>
        <w:t xml:space="preserve">The Central Bank of Kenya Act</w:t>
      </w:r>
      <w:r w:rsidDel="00000000" w:rsidR="00000000" w:rsidRPr="00000000">
        <w:rPr>
          <w:rFonts w:ascii="Book Antiqua" w:cs="Book Antiqua" w:eastAsia="Book Antiqua" w:hAnsi="Book Antiqua"/>
          <w:sz w:val="40"/>
          <w:szCs w:val="40"/>
          <w:rtl w:val="0"/>
        </w:rPr>
        <w:t xml:space="preserve">, CAP 491, ss 3 and 4.</w:t>
      </w:r>
    </w:p>
    <w:p w:rsidR="00000000" w:rsidDel="00000000" w:rsidP="00000000" w:rsidRDefault="00000000" w:rsidRPr="00000000" w14:paraId="00000058">
      <w:pPr>
        <w:spacing w:before="115" w:lineRule="auto"/>
        <w:ind w:left="115" w:firstLine="0"/>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10</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Capital Markets Act</w:t>
      </w:r>
      <w:r w:rsidDel="00000000" w:rsidR="00000000" w:rsidRPr="00000000">
        <w:rPr>
          <w:rFonts w:ascii="Book Antiqua" w:cs="Book Antiqua" w:eastAsia="Book Antiqua" w:hAnsi="Book Antiqua"/>
          <w:sz w:val="40"/>
          <w:szCs w:val="40"/>
          <w:rtl w:val="0"/>
        </w:rPr>
        <w:t xml:space="preserve">, CAP 485A, ss5 and 11.</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89" w:line="350" w:lineRule="auto"/>
        <w:ind w:left="832" w:right="11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Pension schemes with the Retirement Benefits Authority (RBA) regulating providers of pension products and services.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214" w:line="350" w:lineRule="auto"/>
        <w:ind w:left="832" w:right="11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Insurance companies with the Insurance Regulatory Authority (IRA) regulating providers of insurance products and services.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 w:val="left" w:leader="none" w:pos="833"/>
        </w:tabs>
        <w:spacing w:after="0" w:before="209" w:line="240" w:lineRule="auto"/>
        <w:ind w:left="832" w:right="0" w:hanging="359"/>
        <w:jc w:val="left"/>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Saccos with the Sacco Societies Regulatory Authority (SASRA) as the regulatory body.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tabs>
          <w:tab w:val="left" w:leader="none" w:pos="656"/>
        </w:tabs>
        <w:spacing w:before="191" w:lineRule="auto"/>
        <w:ind w:left="0" w:firstLine="0"/>
        <w:jc w:val="left"/>
        <w:rPr>
          <w:rFonts w:ascii="Book Antiqua" w:cs="Book Antiqua" w:eastAsia="Book Antiqua" w:hAnsi="Book Antiqua"/>
          <w:sz w:val="40"/>
          <w:szCs w:val="40"/>
        </w:rPr>
      </w:pPr>
      <w:bookmarkStart w:colFirst="0" w:colLast="0" w:name="_heading=h.3znysh7" w:id="3"/>
      <w:bookmarkEnd w:id="3"/>
      <w:r w:rsidDel="00000000" w:rsidR="00000000" w:rsidRPr="00000000">
        <w:rPr>
          <w:rFonts w:ascii="Book Antiqua" w:cs="Book Antiqua" w:eastAsia="Book Antiqua" w:hAnsi="Book Antiqua"/>
          <w:sz w:val="40"/>
          <w:szCs w:val="40"/>
          <w:rtl w:val="0"/>
        </w:rPr>
        <w:t xml:space="preserve">Consumer Protection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15" w:right="106"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protection entails measures meant to safeguard consumers of goods and services especially by legal means, from unfair market practices and fraudulent transactions.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14</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It is informed by an understanding of the complexities prevalent in financial market,</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15</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and thus the need to enact laws to curb exploitation of consumers by according them maximum protection of the law.</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Consequently consumer protection law can be comprehended as any legal instrument enacted to protect consumers against the aforesaid unfair market practices and fraudulent transactions. Howels and Thomas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17</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define consumer law as the law not only concerned with consumer goods such as cars, white goods, double glazing etc but also inclusive of the service sector, financial services and food products.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49" name=""/>
                <a:graphic>
                  <a:graphicData uri="http://schemas.microsoft.com/office/word/2010/wordprocessingShape">
                    <wps:wsp>
                      <wps:cNvSpPr/>
                      <wps:cNvPr id="21" name="Shape 21"/>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49"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62">
      <w:pPr>
        <w:spacing w:before="67"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11</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Retirement Benefits Act</w:t>
      </w:r>
      <w:r w:rsidDel="00000000" w:rsidR="00000000" w:rsidRPr="00000000">
        <w:rPr>
          <w:rFonts w:ascii="Book Antiqua" w:cs="Book Antiqua" w:eastAsia="Book Antiqua" w:hAnsi="Book Antiqua"/>
          <w:sz w:val="40"/>
          <w:szCs w:val="40"/>
          <w:rtl w:val="0"/>
        </w:rPr>
        <w:t xml:space="preserve">, CAP 197, ss 3 and 5.</w:t>
      </w:r>
    </w:p>
    <w:p w:rsidR="00000000" w:rsidDel="00000000" w:rsidP="00000000" w:rsidRDefault="00000000" w:rsidRPr="00000000" w14:paraId="00000063">
      <w:pPr>
        <w:spacing w:before="116"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12</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Insurance (Amendment) Act</w:t>
      </w:r>
      <w:r w:rsidDel="00000000" w:rsidR="00000000" w:rsidRPr="00000000">
        <w:rPr>
          <w:rFonts w:ascii="Book Antiqua" w:cs="Book Antiqua" w:eastAsia="Book Antiqua" w:hAnsi="Book Antiqua"/>
          <w:sz w:val="40"/>
          <w:szCs w:val="40"/>
          <w:rtl w:val="0"/>
        </w:rPr>
        <w:t xml:space="preserve">(2006), ss 3(1) and 3A.</w:t>
      </w:r>
    </w:p>
    <w:p w:rsidR="00000000" w:rsidDel="00000000" w:rsidP="00000000" w:rsidRDefault="00000000" w:rsidRPr="00000000" w14:paraId="00000064">
      <w:pPr>
        <w:spacing w:before="115"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13</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Sacco Societies Act</w:t>
      </w:r>
      <w:r w:rsidDel="00000000" w:rsidR="00000000" w:rsidRPr="00000000">
        <w:rPr>
          <w:rFonts w:ascii="Book Antiqua" w:cs="Book Antiqua" w:eastAsia="Book Antiqua" w:hAnsi="Book Antiqua"/>
          <w:sz w:val="40"/>
          <w:szCs w:val="40"/>
          <w:rtl w:val="0"/>
        </w:rPr>
        <w:t xml:space="preserve">, 2008, ss 4 and 5.</w:t>
      </w:r>
    </w:p>
    <w:p w:rsidR="00000000" w:rsidDel="00000000" w:rsidP="00000000" w:rsidRDefault="00000000" w:rsidRPr="00000000" w14:paraId="00000065">
      <w:pPr>
        <w:spacing w:before="116"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14</w:t>
      </w:r>
      <w:r w:rsidDel="00000000" w:rsidR="00000000" w:rsidRPr="00000000">
        <w:rPr>
          <w:rFonts w:ascii="Book Antiqua" w:cs="Book Antiqua" w:eastAsia="Book Antiqua" w:hAnsi="Book Antiqua"/>
          <w:sz w:val="40"/>
          <w:szCs w:val="40"/>
          <w:rtl w:val="0"/>
        </w:rPr>
        <w:t xml:space="preserve"> B. W. Harvey and D. L. Perry, </w:t>
      </w:r>
      <w:r w:rsidDel="00000000" w:rsidR="00000000" w:rsidRPr="00000000">
        <w:rPr>
          <w:rFonts w:ascii="Book Antiqua" w:cs="Book Antiqua" w:eastAsia="Book Antiqua" w:hAnsi="Book Antiqua"/>
          <w:i w:val="1"/>
          <w:sz w:val="40"/>
          <w:szCs w:val="40"/>
          <w:rtl w:val="0"/>
        </w:rPr>
        <w:t xml:space="preserve">The Law of Consumer Protection and Fair Trading</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b w:val="1"/>
          <w:sz w:val="40"/>
          <w:szCs w:val="40"/>
          <w:rtl w:val="0"/>
        </w:rPr>
        <w:t xml:space="preserve">(</w:t>
      </w:r>
      <w:r w:rsidDel="00000000" w:rsidR="00000000" w:rsidRPr="00000000">
        <w:rPr>
          <w:rFonts w:ascii="Book Antiqua" w:cs="Book Antiqua" w:eastAsia="Book Antiqua" w:hAnsi="Book Antiqua"/>
          <w:sz w:val="40"/>
          <w:szCs w:val="40"/>
          <w:rtl w:val="0"/>
        </w:rPr>
        <w:t xml:space="preserve">6</w:t>
      </w:r>
      <w:r w:rsidDel="00000000" w:rsidR="00000000" w:rsidRPr="00000000">
        <w:rPr>
          <w:rFonts w:ascii="Book Antiqua" w:cs="Book Antiqua" w:eastAsia="Book Antiqua" w:hAnsi="Book Antiqua"/>
          <w:sz w:val="40"/>
          <w:szCs w:val="40"/>
          <w:vertAlign w:val="superscript"/>
          <w:rtl w:val="0"/>
        </w:rPr>
        <w:t xml:space="preserve">th</w:t>
      </w:r>
      <w:r w:rsidDel="00000000" w:rsidR="00000000" w:rsidRPr="00000000">
        <w:rPr>
          <w:rFonts w:ascii="Book Antiqua" w:cs="Book Antiqua" w:eastAsia="Book Antiqua" w:hAnsi="Book Antiqua"/>
          <w:sz w:val="40"/>
          <w:szCs w:val="40"/>
          <w:rtl w:val="0"/>
        </w:rPr>
        <w:t xml:space="preserve"> Ed, 2000) p25.</w:t>
      </w:r>
    </w:p>
    <w:p w:rsidR="00000000" w:rsidDel="00000000" w:rsidP="00000000" w:rsidRDefault="00000000" w:rsidRPr="00000000" w14:paraId="00000066">
      <w:pPr>
        <w:spacing w:before="116" w:line="360"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15</w:t>
      </w:r>
      <w:r w:rsidDel="00000000" w:rsidR="00000000" w:rsidRPr="00000000">
        <w:rPr>
          <w:rFonts w:ascii="Book Antiqua" w:cs="Book Antiqua" w:eastAsia="Book Antiqua" w:hAnsi="Book Antiqua"/>
          <w:sz w:val="40"/>
          <w:szCs w:val="40"/>
          <w:rtl w:val="0"/>
        </w:rPr>
        <w:t xml:space="preserve"> These include market imbalances, asymmetries of information and other risks incidental to mundane market transactions.</w:t>
      </w:r>
    </w:p>
    <w:p w:rsidR="00000000" w:rsidDel="00000000" w:rsidP="00000000" w:rsidRDefault="00000000" w:rsidRPr="00000000" w14:paraId="00000067">
      <w:pPr>
        <w:spacing w:before="1" w:line="355"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16</w:t>
      </w:r>
      <w:r w:rsidDel="00000000" w:rsidR="00000000" w:rsidRPr="00000000">
        <w:rPr>
          <w:rFonts w:ascii="Book Antiqua" w:cs="Book Antiqua" w:eastAsia="Book Antiqua" w:hAnsi="Book Antiqua"/>
          <w:sz w:val="40"/>
          <w:szCs w:val="40"/>
          <w:rtl w:val="0"/>
        </w:rPr>
        <w:t xml:space="preserve"> This can be done by ensuring price stability, consumer compensation, effective information channels, and dispute resolution mechanisms in case a consumer is aggrieved by any financial service provider.</w:t>
      </w:r>
    </w:p>
    <w:p w:rsidR="00000000" w:rsidDel="00000000" w:rsidP="00000000" w:rsidRDefault="00000000" w:rsidRPr="00000000" w14:paraId="00000068">
      <w:pPr>
        <w:spacing w:before="6" w:line="360" w:lineRule="auto"/>
        <w:ind w:left="115" w:right="118" w:firstLine="0"/>
        <w:rPr>
          <w:rFonts w:ascii="Book Antiqua" w:cs="Book Antiqua" w:eastAsia="Book Antiqua" w:hAnsi="Book Antiqua"/>
          <w:sz w:val="40"/>
          <w:szCs w:val="40"/>
        </w:rPr>
        <w:sectPr>
          <w:type w:val="nextPage"/>
          <w:pgSz w:h="15840" w:w="12240" w:orient="portrait"/>
          <w:pgMar w:bottom="1220" w:top="134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17</w:t>
      </w:r>
      <w:r w:rsidDel="00000000" w:rsidR="00000000" w:rsidRPr="00000000">
        <w:rPr>
          <w:rFonts w:ascii="Book Antiqua" w:cs="Book Antiqua" w:eastAsia="Book Antiqua" w:hAnsi="Book Antiqua"/>
          <w:sz w:val="40"/>
          <w:szCs w:val="40"/>
          <w:rtl w:val="0"/>
        </w:rPr>
        <w:t xml:space="preserve"> G. G. Howels et al, </w:t>
      </w:r>
      <w:r w:rsidDel="00000000" w:rsidR="00000000" w:rsidRPr="00000000">
        <w:rPr>
          <w:rFonts w:ascii="Book Antiqua" w:cs="Book Antiqua" w:eastAsia="Book Antiqua" w:hAnsi="Book Antiqua"/>
          <w:i w:val="1"/>
          <w:sz w:val="40"/>
          <w:szCs w:val="40"/>
          <w:rtl w:val="0"/>
        </w:rPr>
        <w:t xml:space="preserve">Consumer Law in its International Dimension, </w:t>
      </w:r>
      <w:r w:rsidDel="00000000" w:rsidR="00000000" w:rsidRPr="00000000">
        <w:rPr>
          <w:rFonts w:ascii="Book Antiqua" w:cs="Book Antiqua" w:eastAsia="Book Antiqua" w:hAnsi="Book Antiqua"/>
          <w:sz w:val="40"/>
          <w:szCs w:val="40"/>
          <w:rtl w:val="0"/>
        </w:rPr>
        <w:t xml:space="preserve">Handbook on International consumer law (1</w:t>
      </w:r>
      <w:r w:rsidDel="00000000" w:rsidR="00000000" w:rsidRPr="00000000">
        <w:rPr>
          <w:rFonts w:ascii="Book Antiqua" w:cs="Book Antiqua" w:eastAsia="Book Antiqua" w:hAnsi="Book Antiqua"/>
          <w:sz w:val="40"/>
          <w:szCs w:val="40"/>
          <w:vertAlign w:val="superscript"/>
          <w:rtl w:val="0"/>
        </w:rPr>
        <w:t xml:space="preserve">st</w:t>
      </w:r>
      <w:r w:rsidDel="00000000" w:rsidR="00000000" w:rsidRPr="00000000">
        <w:rPr>
          <w:rFonts w:ascii="Book Antiqua" w:cs="Book Antiqua" w:eastAsia="Book Antiqua" w:hAnsi="Book Antiqua"/>
          <w:sz w:val="40"/>
          <w:szCs w:val="40"/>
          <w:rtl w:val="0"/>
        </w:rPr>
        <w:t xml:space="preserve">ed, 2009).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115" w:right="105" w:hanging="0.9999999999999964"/>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It is this understanding of what consumer protection law is that informs the preamble to the Consumer Protection Act as “AN ACT…to provide for the protection of the consumer, prevent unfair trade practices in the consumer transactions and to provide for matters connected with or incidental thereto.”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15" w:right="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 its scope consumer protection law provides for the three aspects: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numPr>
          <w:ilvl w:val="0"/>
          <w:numId w:val="2"/>
        </w:numPr>
        <w:tabs>
          <w:tab w:val="left" w:leader="none" w:pos="833"/>
        </w:tabs>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dispute resolution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As is expected of any human interactions in a given societal setting, conflicts are bound to arise. The situation is no different in the interactions of consumers and their financial services providers. Consumer protection is heavily based upon a consumer having confidence that they will have access to redress should things go wrong in their transactions. Alive to this fact, we interrogate the deliberate provisions of law put in place to deal with disputes arising therefrom, that is, what procedures are there for settling disputes arising from the parties involved? Is it the conventional litigation way, or arbitration? Mediation? Or mini-trials?</w:t>
      </w:r>
    </w:p>
    <w:p w:rsidR="00000000" w:rsidDel="00000000" w:rsidP="00000000" w:rsidRDefault="00000000" w:rsidRPr="00000000" w14:paraId="0000006F">
      <w:pPr>
        <w:pStyle w:val="Heading1"/>
        <w:numPr>
          <w:ilvl w:val="0"/>
          <w:numId w:val="2"/>
        </w:numPr>
        <w:tabs>
          <w:tab w:val="left" w:leader="none" w:pos="833"/>
        </w:tabs>
        <w:spacing w:before="200"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compensation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As demanded by the law of equity, no wrong should be left un-redressed. Hereunder, upon acknowledging that a consumer is a victim of unfair market practices, we set out to find the legal measures available to counter act this undesirable situation, that is, the value of redress to the injured consumer.</w:t>
      </w:r>
    </w:p>
    <w:p w:rsidR="00000000" w:rsidDel="00000000" w:rsidP="00000000" w:rsidRDefault="00000000" w:rsidRPr="00000000" w14:paraId="00000072">
      <w:pPr>
        <w:pStyle w:val="Heading1"/>
        <w:numPr>
          <w:ilvl w:val="0"/>
          <w:numId w:val="2"/>
        </w:numPr>
        <w:tabs>
          <w:tab w:val="left" w:leader="none" w:pos="833"/>
        </w:tabs>
        <w:spacing w:before="204"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The stability of the financial system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 assessing the general stability regard is paid to the stability and efficacy of the whole finance sector. This stability is a matter of considerable public concern, for reason that these institutions are susceptible to instability and collapse. The nature of their business necessitates relatively high financial gearing and involves extensive risks.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109" w:firstLine="0"/>
        <w:jc w:val="both"/>
        <w:rPr>
          <w:rFonts w:ascii="Book Antiqua" w:cs="Book Antiqua" w:eastAsia="Book Antiqua" w:hAnsi="Book Antiqua"/>
          <w:b w:val="0"/>
          <w:i w:val="0"/>
          <w:smallCaps w:val="0"/>
          <w:strike w:val="0"/>
          <w:color w:val="000000"/>
          <w:sz w:val="40"/>
          <w:szCs w:val="40"/>
          <w:u w:val="none"/>
          <w:shd w:fill="auto" w:val="clear"/>
          <w:vertAlign w:val="baseline"/>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Consumer protection laws are a form of government regulation, but can also be asserted via non- government organizations and individuals as consumer activism. In Kenya we have the Consumer Federation of Kenya (COFEK), an independent, self-funded, multi-sectoral, non- political and non-profit Federation committed to consumer protection which recently registered 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55" w:lineRule="auto"/>
        <w:ind w:left="115" w:right="98" w:firstLine="0"/>
        <w:jc w:val="left"/>
        <w:rPr>
          <w:rFonts w:ascii="Book Antiqua" w:cs="Book Antiqua" w:eastAsia="Book Antiqua" w:hAnsi="Book Antiqua"/>
          <w:b w:val="0"/>
          <w:i w:val="0"/>
          <w:smallCaps w:val="0"/>
          <w:strike w:val="0"/>
          <w:color w:val="000000"/>
          <w:sz w:val="40"/>
          <w:szCs w:val="40"/>
          <w:u w:val="none"/>
          <w:shd w:fill="auto" w:val="clear"/>
          <w:vertAlign w:val="baseline"/>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non-profit subsidiary – Monetary Institutions Watch (Miwa) to focus on the commercial banks and other financial institutions on consumer protection and dispute resolution.</w:t>
      </w:r>
    </w:p>
    <w:p w:rsidR="00000000" w:rsidDel="00000000" w:rsidP="00000000" w:rsidRDefault="00000000" w:rsidRPr="00000000" w14:paraId="00000077">
      <w:pPr>
        <w:pStyle w:val="Heading1"/>
        <w:tabs>
          <w:tab w:val="left" w:leader="none" w:pos="479"/>
        </w:tabs>
        <w:spacing w:before="76" w:lineRule="auto"/>
        <w:ind w:left="0" w:firstLine="0"/>
        <w:jc w:val="left"/>
        <w:rPr>
          <w:rFonts w:ascii="Book Antiqua" w:cs="Book Antiqua" w:eastAsia="Book Antiqua" w:hAnsi="Book Antiqua"/>
          <w:sz w:val="40"/>
          <w:szCs w:val="40"/>
        </w:rPr>
      </w:pPr>
      <w:bookmarkStart w:colFirst="0" w:colLast="0" w:name="_heading=h.2et92p0" w:id="4"/>
      <w:bookmarkEnd w:id="4"/>
      <w:r w:rsidDel="00000000" w:rsidR="00000000" w:rsidRPr="00000000">
        <w:rPr>
          <w:rFonts w:ascii="Book Antiqua" w:cs="Book Antiqua" w:eastAsia="Book Antiqua" w:hAnsi="Book Antiqua"/>
          <w:sz w:val="40"/>
          <w:szCs w:val="40"/>
          <w:rtl w:val="0"/>
        </w:rPr>
        <w:t xml:space="preserve">LEGAL FRAMEWORK FOR CONSUMER PROTECTION IN KENYA</w:t>
      </w:r>
    </w:p>
    <w:p w:rsidR="00000000" w:rsidDel="00000000" w:rsidP="00000000" w:rsidRDefault="00000000" w:rsidRPr="00000000" w14:paraId="00000078">
      <w:pPr>
        <w:spacing w:before="36" w:line="360" w:lineRule="auto"/>
        <w:ind w:left="115" w:right="110"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The legal framework for consumer protection in Kenya is provided for under </w:t>
      </w:r>
      <w:r w:rsidDel="00000000" w:rsidR="00000000" w:rsidRPr="00000000">
        <w:rPr>
          <w:rFonts w:ascii="Book Antiqua" w:cs="Book Antiqua" w:eastAsia="Book Antiqua" w:hAnsi="Book Antiqua"/>
          <w:i w:val="1"/>
          <w:sz w:val="40"/>
          <w:szCs w:val="40"/>
          <w:rtl w:val="0"/>
        </w:rPr>
        <w:t xml:space="preserve">the 2010 Constitution, the Consumer Act 2012 </w:t>
      </w:r>
      <w:r w:rsidDel="00000000" w:rsidR="00000000" w:rsidRPr="00000000">
        <w:rPr>
          <w:rFonts w:ascii="Book Antiqua" w:cs="Book Antiqua" w:eastAsia="Book Antiqua" w:hAnsi="Book Antiqua"/>
          <w:sz w:val="40"/>
          <w:szCs w:val="40"/>
          <w:rtl w:val="0"/>
        </w:rPr>
        <w:t xml:space="preserve">and sector specific legislations like </w:t>
      </w:r>
      <w:r w:rsidDel="00000000" w:rsidR="00000000" w:rsidRPr="00000000">
        <w:rPr>
          <w:rFonts w:ascii="Book Antiqua" w:cs="Book Antiqua" w:eastAsia="Book Antiqua" w:hAnsi="Book Antiqua"/>
          <w:i w:val="1"/>
          <w:sz w:val="40"/>
          <w:szCs w:val="40"/>
          <w:rtl w:val="0"/>
        </w:rPr>
        <w:t xml:space="preserve">the Central Bank of Kenya Act, the Banking Act, the Insurance Act, the Capital Markets Act </w:t>
      </w:r>
      <w:r w:rsidDel="00000000" w:rsidR="00000000" w:rsidRPr="00000000">
        <w:rPr>
          <w:rFonts w:ascii="Book Antiqua" w:cs="Book Antiqua" w:eastAsia="Book Antiqua" w:hAnsi="Book Antiqua"/>
          <w:sz w:val="40"/>
          <w:szCs w:val="40"/>
          <w:rtl w:val="0"/>
        </w:rPr>
        <w:t xml:space="preserve">and </w:t>
      </w:r>
      <w:r w:rsidDel="00000000" w:rsidR="00000000" w:rsidRPr="00000000">
        <w:rPr>
          <w:rFonts w:ascii="Book Antiqua" w:cs="Book Antiqua" w:eastAsia="Book Antiqua" w:hAnsi="Book Antiqua"/>
          <w:i w:val="1"/>
          <w:sz w:val="40"/>
          <w:szCs w:val="40"/>
          <w:rtl w:val="0"/>
        </w:rPr>
        <w:t xml:space="preserve">the Retirement Benefits Act </w:t>
      </w:r>
      <w:r w:rsidDel="00000000" w:rsidR="00000000" w:rsidRPr="00000000">
        <w:rPr>
          <w:rFonts w:ascii="Book Antiqua" w:cs="Book Antiqua" w:eastAsia="Book Antiqua" w:hAnsi="Book Antiqua"/>
          <w:sz w:val="40"/>
          <w:szCs w:val="40"/>
          <w:rtl w:val="0"/>
        </w:rPr>
        <w:t xml:space="preserve">and Subsidiary legislations made thereunder. These statutes outline the policy, legal and institutional dimensions key to consumer protection.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tabs>
          <w:tab w:val="left" w:leader="none" w:pos="479"/>
        </w:tabs>
        <w:spacing w:before="185" w:lineRule="auto"/>
        <w:ind w:left="114" w:firstLine="0"/>
        <w:jc w:val="left"/>
        <w:rPr>
          <w:rFonts w:ascii="Book Antiqua" w:cs="Book Antiqua" w:eastAsia="Book Antiqua" w:hAnsi="Book Antiqua"/>
          <w:sz w:val="40"/>
          <w:szCs w:val="40"/>
        </w:rPr>
      </w:pPr>
      <w:bookmarkStart w:colFirst="0" w:colLast="0" w:name="_heading=h.tyjcwt" w:id="5"/>
      <w:bookmarkEnd w:id="5"/>
      <w:r w:rsidDel="00000000" w:rsidR="00000000" w:rsidRPr="00000000">
        <w:rPr>
          <w:rFonts w:ascii="Book Antiqua" w:cs="Book Antiqua" w:eastAsia="Book Antiqua" w:hAnsi="Book Antiqua"/>
          <w:sz w:val="40"/>
          <w:szCs w:val="40"/>
          <w:rtl w:val="0"/>
        </w:rPr>
        <w:t xml:space="preserve">The Constitution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60" w:lineRule="auto"/>
        <w:ind w:left="115" w:right="11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Before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the 2010 Constitution</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Kenya lacked a comprehensive consumer protection law. The measures in existence to provide quality checks to products and services offered did not adequately protect consumers in the financial markets.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18</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357" w:lineRule="auto"/>
        <w:ind w:left="115" w:right="11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Recognizing the centrality of consumer protection in financial market regulation, Article 46 provides for consumer rights, essentially setting out the aspirational dimension of steps towards achieving the set goals. The provisions, inter alia, function to:</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33"/>
        </w:tabs>
        <w:spacing w:after="0" w:before="204" w:line="240" w:lineRule="auto"/>
        <w:ind w:left="832" w:right="0" w:hanging="359"/>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Apportion product liability on the seller.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2" w:right="0" w:hanging="359"/>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Lay the groundwork for consumer education to enable them make informed decisions.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2" w:right="0" w:hanging="359"/>
        <w:jc w:val="both"/>
        <w:rPr>
          <w:rFonts w:ascii="Book Antiqua" w:cs="Book Antiqua" w:eastAsia="Book Antiqua" w:hAnsi="Book Antiqua"/>
          <w:b w:val="0"/>
          <w:i w:val="0"/>
          <w:smallCaps w:val="0"/>
          <w:strike w:val="0"/>
          <w:color w:val="000000"/>
          <w:sz w:val="40"/>
          <w:szCs w:val="40"/>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Set out pre and post budget requirements for sellers in their way of trade.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Additionally the legislators were mandated to enact a legislation to provide for consumer protection and for fair, honest and decent advertising.</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19</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In compliance, the Consumer Protection Act 2012 was enacted.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1"/>
        <w:tabs>
          <w:tab w:val="left" w:leader="none" w:pos="479"/>
        </w:tabs>
        <w:spacing w:before="191" w:lineRule="auto"/>
        <w:ind w:left="0" w:firstLine="0"/>
        <w:jc w:val="left"/>
        <w:rPr>
          <w:rFonts w:ascii="Book Antiqua" w:cs="Book Antiqua" w:eastAsia="Book Antiqua" w:hAnsi="Book Antiqua"/>
          <w:sz w:val="40"/>
          <w:szCs w:val="40"/>
        </w:rPr>
      </w:pPr>
      <w:bookmarkStart w:colFirst="0" w:colLast="0" w:name="_heading=h.3dy6vkm" w:id="6"/>
      <w:bookmarkEnd w:id="6"/>
      <w:r w:rsidDel="00000000" w:rsidR="00000000" w:rsidRPr="00000000">
        <w:rPr>
          <w:rFonts w:ascii="Book Antiqua" w:cs="Book Antiqua" w:eastAsia="Book Antiqua" w:hAnsi="Book Antiqua"/>
          <w:sz w:val="40"/>
          <w:szCs w:val="40"/>
          <w:rtl w:val="0"/>
        </w:rPr>
        <w:t xml:space="preserve">The Consumer Protection Act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15" w:right="10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sets out to provide for the protection of the consumers, prevent unfair trade practices in consumer transactions and to provide for matters incidental thereto.</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20</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The Act applies in respect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51" name=""/>
                <a:graphic>
                  <a:graphicData uri="http://schemas.microsoft.com/office/word/2010/wordprocessingShape">
                    <wps:wsp>
                      <wps:cNvSpPr/>
                      <wps:cNvPr id="23" name="Shape 23"/>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51"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88">
      <w:pPr>
        <w:spacing w:before="67" w:line="357" w:lineRule="auto"/>
        <w:ind w:left="115" w:right="109"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18</w:t>
      </w:r>
      <w:r w:rsidDel="00000000" w:rsidR="00000000" w:rsidRPr="00000000">
        <w:rPr>
          <w:rFonts w:ascii="Book Antiqua" w:cs="Book Antiqua" w:eastAsia="Book Antiqua" w:hAnsi="Book Antiqua"/>
          <w:sz w:val="40"/>
          <w:szCs w:val="40"/>
          <w:rtl w:val="0"/>
        </w:rPr>
        <w:t xml:space="preserve"> For example, the only existing entities then were the Kenya Bureau of Standards (established under the Standard Act) and the Weights and Measures departments (established under the Weights and Measures Act) which provided quality checks to products and services that were limited to manufactures of goods and other service providers.</w:t>
      </w:r>
    </w:p>
    <w:p w:rsidR="00000000" w:rsidDel="00000000" w:rsidP="00000000" w:rsidRDefault="00000000" w:rsidRPr="00000000" w14:paraId="00000089">
      <w:pPr>
        <w:spacing w:before="4" w:lineRule="auto"/>
        <w:ind w:left="115"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19</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n4, Article 46(2).</w:t>
      </w:r>
    </w:p>
    <w:p w:rsidR="00000000" w:rsidDel="00000000" w:rsidP="00000000" w:rsidRDefault="00000000" w:rsidRPr="00000000" w14:paraId="0000008A">
      <w:pPr>
        <w:spacing w:before="116" w:lineRule="auto"/>
        <w:ind w:left="115" w:firstLine="0"/>
        <w:jc w:val="both"/>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20</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n5, the long title.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to all consumer transactions if the consumer or the person engaging in the transaction with the consumer is located in Kenya when the transaction takes place. In its application no regard is paid to any other agreement made between a consumer and a manufacturer/ service provider which agreement contradicts the substantive provisions of the Act, thus the Act states substantive and procedural rights given under this Act shall apply to every consumer despite any agreement or waiver to the contrary.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21</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0" w:lineRule="auto"/>
        <w:ind w:left="115" w:right="10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Among its key provisions is section 4 which lowers the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locus standi </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whenever a consumer wishes to bring forth a suit in respect to a breach of a provision of the Act. This, according to experts, is a welcome move as banking institutions, insurance companies, mobile telephony and pharmaceutical firms which often make huge profits through barely credible sales pitch are now open to legal challenges from consumers.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22</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Also to note, Section 7 of the Act imports the contra-preferentum rule synonymous to contracts by providing that any ambiguity that allows for more than one reasonable interpretation of a consumer agreement provided by the supplier to the consumer or of any information that must be disclosed under the Act shall be interpreted to the benefit of the consumer.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57"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establishes the Kenya consumer protection advisory committee whose among its many functions is to establish dispute resolution mechanisms, investigating complaints and referring to the relevant authority.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23</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numPr>
          <w:ilvl w:val="2"/>
          <w:numId w:val="12"/>
        </w:numPr>
        <w:tabs>
          <w:tab w:val="left" w:leader="none" w:pos="657"/>
        </w:tabs>
        <w:spacing w:before="222" w:lineRule="auto"/>
        <w:ind w:left="656" w:hanging="542"/>
        <w:jc w:val="both"/>
        <w:rPr>
          <w:rFonts w:ascii="Book Antiqua" w:cs="Book Antiqua" w:eastAsia="Book Antiqua" w:hAnsi="Book Antiqua"/>
          <w:sz w:val="40"/>
          <w:szCs w:val="40"/>
        </w:rPr>
      </w:pPr>
      <w:bookmarkStart w:colFirst="0" w:colLast="0" w:name="_heading=h.1t3h5sf" w:id="7"/>
      <w:bookmarkEnd w:id="7"/>
      <w:r w:rsidDel="00000000" w:rsidR="00000000" w:rsidRPr="00000000">
        <w:rPr>
          <w:rFonts w:ascii="Book Antiqua" w:cs="Book Antiqua" w:eastAsia="Book Antiqua" w:hAnsi="Book Antiqua"/>
          <w:sz w:val="40"/>
          <w:szCs w:val="40"/>
          <w:rtl w:val="0"/>
        </w:rPr>
        <w:t xml:space="preserve">The Central Bank of Kenya Act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57" w:lineRule="auto"/>
        <w:ind w:left="115" w:right="105"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Central Bank of Kenya Act of 1966</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 </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establishes the Central Bank of Kenya under section 3 as the top most institution in the banking sector.Its framework for regulation of the banks conduct, however, is derived from the Banking Act.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3">
      <w:pPr>
        <w:spacing w:before="111" w:line="360"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21</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n5, s 3(2).This is evidenced in the prohibition of mandatory arbitration where any of the financial contracts excludes the jurisdiction of courts is deemed void.</w:t>
      </w:r>
    </w:p>
    <w:p w:rsidR="00000000" w:rsidDel="00000000" w:rsidP="00000000" w:rsidRDefault="00000000" w:rsidRPr="00000000" w14:paraId="00000094">
      <w:pPr>
        <w:tabs>
          <w:tab w:val="left" w:leader="none" w:pos="531"/>
          <w:tab w:val="left" w:leader="none" w:pos="1523"/>
          <w:tab w:val="left" w:leader="none" w:pos="2291"/>
          <w:tab w:val="left" w:leader="none" w:pos="2929"/>
          <w:tab w:val="left" w:leader="none" w:pos="3499"/>
          <w:tab w:val="left" w:leader="none" w:pos="4338"/>
          <w:tab w:val="left" w:leader="none" w:pos="4999"/>
          <w:tab w:val="left" w:leader="none" w:pos="5512"/>
          <w:tab w:val="left" w:leader="none" w:pos="6575"/>
          <w:tab w:val="left" w:leader="none" w:pos="7318"/>
          <w:tab w:val="left" w:leader="none" w:pos="8305"/>
          <w:tab w:val="left" w:leader="none" w:pos="9306"/>
        </w:tabs>
        <w:spacing w:line="360" w:lineRule="auto"/>
        <w:ind w:left="115" w:right="111" w:firstLine="0"/>
        <w:rPr>
          <w:rFonts w:ascii="Book Antiqua" w:cs="Book Antiqua" w:eastAsia="Book Antiqua" w:hAnsi="Book Antiqua"/>
          <w:sz w:val="40"/>
          <w:szCs w:val="40"/>
        </w:rPr>
        <w:sectPr>
          <w:footerReference r:id="rId24" w:type="default"/>
          <w:type w:val="nextPage"/>
          <w:pgSz w:h="15840" w:w="12240" w:orient="portrait"/>
          <w:pgMar w:bottom="1820" w:top="1360" w:left="1320" w:right="1360" w:header="0" w:footer="1630"/>
          <w:pgNumType w:start="8"/>
        </w:sectPr>
      </w:pPr>
      <w:r w:rsidDel="00000000" w:rsidR="00000000" w:rsidRPr="00000000">
        <w:rPr>
          <w:rFonts w:ascii="Book Antiqua" w:cs="Book Antiqua" w:eastAsia="Book Antiqua" w:hAnsi="Book Antiqua"/>
          <w:sz w:val="40"/>
          <w:szCs w:val="40"/>
          <w:vertAlign w:val="superscript"/>
          <w:rtl w:val="0"/>
        </w:rPr>
        <w:t xml:space="preserve">22</w:t>
      </w:r>
      <w:r w:rsidDel="00000000" w:rsidR="00000000" w:rsidRPr="00000000">
        <w:rPr>
          <w:rFonts w:ascii="Book Antiqua" w:cs="Book Antiqua" w:eastAsia="Book Antiqua" w:hAnsi="Book Antiqua"/>
          <w:sz w:val="40"/>
          <w:szCs w:val="40"/>
          <w:rtl w:val="0"/>
        </w:rPr>
        <w:tab/>
        <w:t xml:space="preserve">Business</w:t>
        <w:tab/>
        <w:t xml:space="preserve">Daily,</w:t>
        <w:tab/>
      </w:r>
      <w:r w:rsidDel="00000000" w:rsidR="00000000" w:rsidRPr="00000000">
        <w:rPr>
          <w:rFonts w:ascii="Book Antiqua" w:cs="Book Antiqua" w:eastAsia="Book Antiqua" w:hAnsi="Book Antiqua"/>
          <w:i w:val="1"/>
          <w:sz w:val="40"/>
          <w:szCs w:val="40"/>
          <w:rtl w:val="0"/>
        </w:rPr>
        <w:t xml:space="preserve">New</w:t>
        <w:tab/>
        <w:t xml:space="preserve">law</w:t>
        <w:tab/>
        <w:t xml:space="preserve">widens</w:t>
        <w:tab/>
        <w:t xml:space="preserve">door</w:t>
        <w:tab/>
        <w:t xml:space="preserve">for</w:t>
        <w:tab/>
        <w:t xml:space="preserve">consumer</w:t>
        <w:tab/>
        <w:t xml:space="preserve">rights</w:t>
        <w:tab/>
        <w:t xml:space="preserve">activism,</w:t>
        <w:tab/>
      </w:r>
      <w:r w:rsidDel="00000000" w:rsidR="00000000" w:rsidRPr="00000000">
        <w:rPr>
          <w:rFonts w:ascii="Book Antiqua" w:cs="Book Antiqua" w:eastAsia="Book Antiqua" w:hAnsi="Book Antiqua"/>
          <w:sz w:val="40"/>
          <w:szCs w:val="40"/>
          <w:rtl w:val="0"/>
        </w:rPr>
        <w:t xml:space="preserve">available</w:t>
        <w:tab/>
        <w:t xml:space="preserve">at </w:t>
      </w:r>
      <w:hyperlink r:id="rId25">
        <w:r w:rsidDel="00000000" w:rsidR="00000000" w:rsidRPr="00000000">
          <w:rPr>
            <w:rFonts w:ascii="Book Antiqua" w:cs="Book Antiqua" w:eastAsia="Book Antiqua" w:hAnsi="Book Antiqua"/>
            <w:color w:val="0000ff"/>
            <w:sz w:val="40"/>
            <w:szCs w:val="40"/>
            <w:u w:val="single"/>
            <w:rtl w:val="0"/>
          </w:rPr>
          <w:t xml:space="preserve">www.businessdailyafrica.com/New-law-widens-door-for-consumer-right</w:t>
        </w:r>
      </w:hyperlink>
      <w:hyperlink r:id="rId26">
        <w:r w:rsidDel="00000000" w:rsidR="00000000" w:rsidRPr="00000000">
          <w:rPr>
            <w:rFonts w:ascii="Book Antiqua" w:cs="Book Antiqua" w:eastAsia="Book Antiqua" w:hAnsi="Book Antiqua"/>
            <w:sz w:val="40"/>
            <w:szCs w:val="40"/>
            <w:rtl w:val="0"/>
          </w:rPr>
          <w:t xml:space="preserve">.</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115" w:right="98" w:hanging="0.9999999999999964"/>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4 of the CBK Act set out objectives and functions and initially gave the Central Bank limited autonomy but with 1996 amendments, the Central Bank operations have been brought into line with the changed situation in Kenya caused by economic reforms. There is now greater monetary autonomy.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25</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Central Bank plays a unique role in the economy and performs various functions not normally carried out by commercial banks. Currently its main task, as stipulated in the Central Bank of Kenya (Amendment Act), 1996 is that of "maintaining price stability and fostering liquidity, solvency and proper functioning of a stable market-based financial system".</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26</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As such it is responsible for formulating and executing monetary policy, supervising and regulating depository institutions, assisting the Kenya Government’s financing operations and serving as Kenya Government banker. This is very much in line with contemporary central banking practice the world over.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115" w:right="10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 function it oversees in relation to consumer protection is its supervisory role over commercial banks to ensure efficient and sound financial system in the interest of depositors (consumers) and the economy as a whole - maintain public confidence, though a fairly controversial one. It is the CBK that implements the Banking Act and issues prudential regulations. Supervision of banks is important because the existence of an economic condition, moral hazard.</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27</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For regulatory purposes, a registered bank must keep certain amount of funds with the Central Bank</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28</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to ensure it operates within the established limits and regulate funds in circulation, that is,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8890" cy="12700"/>
                <wp:effectExtent b="0" l="0" r="0" t="0"/>
                <wp:wrapTopAndBottom distB="0" distT="0"/>
                <wp:docPr id="57" name=""/>
                <a:graphic>
                  <a:graphicData uri="http://schemas.microsoft.com/office/word/2010/wordprocessingShape">
                    <wps:wsp>
                      <wps:cNvSpPr/>
                      <wps:cNvPr id="29" name="Shape 29"/>
                      <wps:spPr>
                        <a:xfrm>
                          <a:off x="2379280" y="3775555"/>
                          <a:ext cx="593344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8890" cy="12700"/>
                <wp:effectExtent b="0" l="0" r="0" t="0"/>
                <wp:wrapTopAndBottom distB="0" distT="0"/>
                <wp:docPr id="57"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9A">
      <w:pPr>
        <w:spacing w:before="67" w:lineRule="auto"/>
        <w:ind w:left="115"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24</w:t>
      </w:r>
      <w:r w:rsidDel="00000000" w:rsidR="00000000" w:rsidRPr="00000000">
        <w:rPr>
          <w:rFonts w:ascii="Book Antiqua" w:cs="Book Antiqua" w:eastAsia="Book Antiqua" w:hAnsi="Book Antiqua"/>
          <w:sz w:val="40"/>
          <w:szCs w:val="40"/>
          <w:rtl w:val="0"/>
        </w:rPr>
        <w:t xml:space="preserve"> The Central Bank of Kenya Act, CAP 491, pursuant to the 2010 Kenya Constitution under Article 231.</w:t>
      </w:r>
    </w:p>
    <w:p w:rsidR="00000000" w:rsidDel="00000000" w:rsidP="00000000" w:rsidRDefault="00000000" w:rsidRPr="00000000" w14:paraId="0000009B">
      <w:pPr>
        <w:spacing w:before="111" w:line="360" w:lineRule="auto"/>
        <w:ind w:left="115" w:right="98"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25</w:t>
      </w:r>
      <w:r w:rsidDel="00000000" w:rsidR="00000000" w:rsidRPr="00000000">
        <w:rPr>
          <w:rFonts w:ascii="Book Antiqua" w:cs="Book Antiqua" w:eastAsia="Book Antiqua" w:hAnsi="Book Antiqua"/>
          <w:sz w:val="40"/>
          <w:szCs w:val="40"/>
          <w:rtl w:val="0"/>
        </w:rPr>
        <w:t xml:space="preserve"> Though required to support the general economic policy of the Government, the Central Bank of Kenya is not subject to any directive from the Government in exercising the powers conferred on it by the Central Bank of Kenya (Amendment) Act, 1996. However, both the Government and the Central Bank make mutual consultations on important policy matters. The Central Bank, for example, is required to advise the Government on monetary policy matters of major importance and to provide information at the Governments’ request. The Government in turn invites the Governor of the Central Bank to advise on fiscal issues that may have important ramifications on the Bank's monetary policy.</w:t>
      </w:r>
    </w:p>
    <w:p w:rsidR="00000000" w:rsidDel="00000000" w:rsidP="00000000" w:rsidRDefault="00000000" w:rsidRPr="00000000" w14:paraId="0000009C">
      <w:pPr>
        <w:spacing w:before="4"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26</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n9, s 4.</w:t>
      </w:r>
    </w:p>
    <w:p w:rsidR="00000000" w:rsidDel="00000000" w:rsidP="00000000" w:rsidRDefault="00000000" w:rsidRPr="00000000" w14:paraId="0000009D">
      <w:pPr>
        <w:spacing w:before="111" w:line="360" w:lineRule="auto"/>
        <w:ind w:left="115" w:right="118"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27</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n7, p815. Moral hazard is the risk that an insured will destroy property or allow it to be destroyed in order to collect the insurance proceeds.</w:t>
      </w:r>
    </w:p>
    <w:p w:rsidR="00000000" w:rsidDel="00000000" w:rsidP="00000000" w:rsidRDefault="00000000" w:rsidRPr="00000000" w14:paraId="0000009E">
      <w:pPr>
        <w:spacing w:before="1" w:lineRule="auto"/>
        <w:ind w:left="115" w:firstLine="0"/>
        <w:rPr>
          <w:rFonts w:ascii="Book Antiqua" w:cs="Book Antiqua" w:eastAsia="Book Antiqua" w:hAnsi="Book Antiqua"/>
          <w:sz w:val="40"/>
          <w:szCs w:val="40"/>
        </w:rPr>
        <w:sectPr>
          <w:footerReference r:id="rId28" w:type="default"/>
          <w:type w:val="nextPage"/>
          <w:pgSz w:h="15840" w:w="12240" w:orient="portrait"/>
          <w:pgMar w:bottom="1220" w:top="1360" w:left="1320" w:right="1360" w:header="0" w:footer="1035"/>
          <w:pgNumType w:start="9"/>
        </w:sectPr>
      </w:pPr>
      <w:r w:rsidDel="00000000" w:rsidR="00000000" w:rsidRPr="00000000">
        <w:rPr>
          <w:rFonts w:ascii="Book Antiqua" w:cs="Book Antiqua" w:eastAsia="Book Antiqua" w:hAnsi="Book Antiqua"/>
          <w:sz w:val="40"/>
          <w:szCs w:val="40"/>
          <w:vertAlign w:val="superscript"/>
          <w:rtl w:val="0"/>
        </w:rPr>
        <w:t xml:space="preserve">28</w:t>
      </w:r>
      <w:r w:rsidDel="00000000" w:rsidR="00000000" w:rsidRPr="00000000">
        <w:rPr>
          <w:rFonts w:ascii="Book Antiqua" w:cs="Book Antiqua" w:eastAsia="Book Antiqua" w:hAnsi="Book Antiqua"/>
          <w:sz w:val="40"/>
          <w:szCs w:val="40"/>
          <w:rtl w:val="0"/>
        </w:rPr>
        <w:t xml:space="preserve"> Supra n9, s 38.</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Central Bank is empowered by the Act to demand a certain proportion of commercial banks’ deposits to be held as non-interest bearing reserves at the Central Bank. An increase in reserve requirements would be regarded as an attempt to restrict bank credit. A reduction in the reserve ratio would be viewed as an expansion of credit as it increases the credit creation power of the banks.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3(3) as read together with section 4 mandates the CBK to formulate and implement monetary policies to sustain price level stability. Maintaining price stability is crucial for a proper functioning market-based economy. Low and stable inflation reduces the continuous rise in the general price level to such a level that it no longer adversely influences the decisions of consumers and producers. While, high rate of inflation inevitably give rise to a decline in the efficient working of a market economy.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15" w:right="106"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Deposit-taking Micro-Finance Institutions are also regulated by the CBK with the same conventions found in the Banking Regulations.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29</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The Microfinance (Deposit Taking MFI) Regulations of 2008 forbid fraudulent or reckless credit and prescribe Know-Your-Customer (KYC) requirements.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1"/>
        <w:numPr>
          <w:ilvl w:val="2"/>
          <w:numId w:val="12"/>
        </w:numPr>
        <w:tabs>
          <w:tab w:val="left" w:leader="none" w:pos="656"/>
        </w:tabs>
        <w:spacing w:before="186" w:lineRule="auto"/>
        <w:ind w:left="655" w:hanging="541"/>
        <w:rPr>
          <w:rFonts w:ascii="Book Antiqua" w:cs="Book Antiqua" w:eastAsia="Book Antiqua" w:hAnsi="Book Antiqua"/>
          <w:sz w:val="40"/>
          <w:szCs w:val="40"/>
        </w:rPr>
      </w:pPr>
      <w:bookmarkStart w:colFirst="0" w:colLast="0" w:name="_heading=h.4d34og8" w:id="8"/>
      <w:bookmarkEnd w:id="8"/>
      <w:r w:rsidDel="00000000" w:rsidR="00000000" w:rsidRPr="00000000">
        <w:rPr>
          <w:rFonts w:ascii="Book Antiqua" w:cs="Book Antiqua" w:eastAsia="Book Antiqua" w:hAnsi="Book Antiqua"/>
          <w:sz w:val="40"/>
          <w:szCs w:val="40"/>
          <w:rtl w:val="0"/>
        </w:rPr>
        <w:t xml:space="preserve">The Banking Act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55" w:lineRule="auto"/>
        <w:ind w:left="115" w:right="105"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Banking Act is a 1968 enactment but with subsequent amendments geared towards aligning the sector with the changed situation in Kenya caused by economic reforms.</w:t>
      </w:r>
    </w:p>
    <w:p w:rsidR="00000000" w:rsidDel="00000000" w:rsidP="00000000" w:rsidRDefault="00000000" w:rsidRPr="00000000" w14:paraId="000000A5">
      <w:pPr>
        <w:pStyle w:val="Heading1"/>
        <w:numPr>
          <w:ilvl w:val="3"/>
          <w:numId w:val="12"/>
        </w:numPr>
        <w:tabs>
          <w:tab w:val="left" w:leader="none" w:pos="832"/>
          <w:tab w:val="left" w:leader="none" w:pos="833"/>
        </w:tabs>
        <w:spacing w:before="212" w:lineRule="auto"/>
        <w:ind w:left="832" w:hanging="359"/>
        <w:jc w:val="left"/>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Dispute Resolution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5" w:right="10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does not expressly provide for dispute resolution mechanisms. This has been left to the banks’ discretion. As practice, banks often provide a customer care desk in its branches for reporting of complaints.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115" w:right="11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Recently, there has been advocacy by the Kenya bankers Association to legally put in place a dispute resolution mechanism model overseen by a dispute resolution committee drawn from</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723900</wp:posOffset>
                </wp:positionV>
                <wp:extent cx="8890" cy="12700"/>
                <wp:effectExtent b="0" l="0" r="0" t="0"/>
                <wp:wrapTopAndBottom distB="0" distT="0"/>
                <wp:docPr id="39" name=""/>
                <a:graphic>
                  <a:graphicData uri="http://schemas.microsoft.com/office/word/2010/wordprocessingShape">
                    <wps:wsp>
                      <wps:cNvSpPr/>
                      <wps:cNvPr id="11" name="Shape 11"/>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723900</wp:posOffset>
                </wp:positionV>
                <wp:extent cx="8890" cy="12700"/>
                <wp:effectExtent b="0" l="0" r="0" t="0"/>
                <wp:wrapTopAndBottom distB="0" distT="0"/>
                <wp:docPr id="39"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A9">
      <w:pPr>
        <w:spacing w:before="67" w:line="360" w:lineRule="auto"/>
        <w:ind w:left="115" w:right="108" w:firstLine="0"/>
        <w:jc w:val="both"/>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29</w:t>
      </w:r>
      <w:r w:rsidDel="00000000" w:rsidR="00000000" w:rsidRPr="00000000">
        <w:rPr>
          <w:rFonts w:ascii="Book Antiqua" w:cs="Book Antiqua" w:eastAsia="Book Antiqua" w:hAnsi="Book Antiqua"/>
          <w:sz w:val="40"/>
          <w:szCs w:val="40"/>
          <w:rtl w:val="0"/>
        </w:rPr>
        <w:t xml:space="preserve"> Since 2008 when the Microfinance Act and attendant regulations became operational, 6 deposit-taking microfinance institutions (DTMs) have been granted licenses by the CBK. DTMs do not only complement the role of commercial banks but they do satisfy financial needs of otherwise excluded segments like the rural and semi- urban areas.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55" w:lineRule="auto"/>
        <w:ind w:left="115" w:right="11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representatives of various commercial banks. Their mandate will be to resolve cases that need not be filed in commercial courts.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30</w:t>
      </w:r>
      <w:r w:rsidDel="00000000" w:rsidR="00000000" w:rsidRPr="00000000">
        <w:rPr>
          <w:rtl w:val="0"/>
        </w:rPr>
      </w:r>
    </w:p>
    <w:p w:rsidR="00000000" w:rsidDel="00000000" w:rsidP="00000000" w:rsidRDefault="00000000" w:rsidRPr="00000000" w14:paraId="000000AB">
      <w:pPr>
        <w:pStyle w:val="Heading1"/>
        <w:tabs>
          <w:tab w:val="left" w:leader="none" w:pos="832"/>
        </w:tabs>
        <w:spacing w:before="212" w:lineRule="auto"/>
        <w:ind w:left="474" w:firstLine="0"/>
        <w:jc w:val="left"/>
        <w:rPr>
          <w:rFonts w:ascii="Book Antiqua" w:cs="Book Antiqua" w:eastAsia="Book Antiqua" w:hAnsi="Book Antiqua"/>
          <w:sz w:val="40"/>
          <w:szCs w:val="40"/>
        </w:rPr>
      </w:pPr>
      <w:r w:rsidDel="00000000" w:rsidR="00000000" w:rsidRPr="00000000">
        <w:rPr>
          <w:rFonts w:ascii="Book Antiqua" w:cs="Book Antiqua" w:eastAsia="Book Antiqua" w:hAnsi="Book Antiqua"/>
          <w:b w:val="0"/>
          <w:sz w:val="40"/>
          <w:szCs w:val="40"/>
          <w:rtl w:val="0"/>
        </w:rPr>
        <w:t xml:space="preserve"></w:t>
        <w:tab/>
      </w:r>
      <w:r w:rsidDel="00000000" w:rsidR="00000000" w:rsidRPr="00000000">
        <w:rPr>
          <w:rFonts w:ascii="Book Antiqua" w:cs="Book Antiqua" w:eastAsia="Book Antiqua" w:hAnsi="Book Antiqua"/>
          <w:sz w:val="40"/>
          <w:szCs w:val="40"/>
          <w:rtl w:val="0"/>
        </w:rPr>
        <w:t xml:space="preserve">Consumer Compensation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Initially, section 36 of the Act established a Deposit Protection Fund Board (DPFB) with a wide mandate. Specifically, the DPFB’s main tasks were to manage the deposit insurance fund and carry out the liquidation of insolvent institutions once they have been closed by CBK (by repaying protected deposits and dividends, carrying out debt recovery, and winding up the institutions under liquidation).</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31</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DPFB offered protection to small depositors up to Kshs 100,000 against loss of their savings in case of a bank failure.</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32</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Institutionally, DPFB was part of CBK and relied on staff from CBK, but also on information from CBK’s supervisory department. It did not have any role in the supervisory process. While having a broad mandate, DPFB’s responsibilities were thus not completely aligned with its incentive to minimize insurance fund losses. In order to improve the role of the DPFB in enhancing depositor confidence, in 2012, the Kenya Deposit Insurance Act</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33</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was enacted establishing a new and separate Kenya Deposit Corporation</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34</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having autonomy in its operations but with the same earlier mandate but for a few more roles.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35</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Such a Deposit insurance scheme is often seen as an integral part of a financial safety net, purposing to protect small savings and prevent bank runs. Across countries with deposit insurance, structure, funding and mandates vary a lot. While some countries have pure pay-box deposit insurance funds, such as in Brazil and Uganda, other schemes have wide-ranging supervisory powers, such as in Canada or the U.S. In Kenya Section 37 lists the sources of funds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8890" cy="12700"/>
                <wp:effectExtent b="0" l="0" r="0" t="0"/>
                <wp:wrapTopAndBottom distB="0" distT="0"/>
                <wp:docPr id="35" name=""/>
                <a:graphic>
                  <a:graphicData uri="http://schemas.microsoft.com/office/word/2010/wordprocessingShape">
                    <wps:wsp>
                      <wps:cNvSpPr/>
                      <wps:cNvPr id="7" name="Shape 7"/>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8890" cy="12700"/>
                <wp:effectExtent b="0" l="0" r="0" t="0"/>
                <wp:wrapTopAndBottom distB="0" distT="0"/>
                <wp:docPr id="35" name="image6.png"/>
                <a:graphic>
                  <a:graphicData uri="http://schemas.openxmlformats.org/drawingml/2006/picture">
                    <pic:pic>
                      <pic:nvPicPr>
                        <pic:cNvPr id="0" name="image6.png"/>
                        <pic:cNvPicPr preferRelativeResize="0"/>
                      </pic:nvPicPr>
                      <pic:blipFill>
                        <a:blip r:embed="rId30"/>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B4">
      <w:pPr>
        <w:tabs>
          <w:tab w:val="left" w:leader="none" w:pos="450"/>
          <w:tab w:val="left" w:leader="none" w:pos="1795"/>
          <w:tab w:val="left" w:leader="none" w:pos="3147"/>
          <w:tab w:val="left" w:leader="none" w:pos="4445"/>
          <w:tab w:val="left" w:leader="none" w:pos="5452"/>
          <w:tab w:val="left" w:leader="none" w:pos="7484"/>
          <w:tab w:val="left" w:leader="none" w:pos="8388"/>
          <w:tab w:val="left" w:leader="none" w:pos="9308"/>
        </w:tabs>
        <w:spacing w:before="67" w:line="360" w:lineRule="auto"/>
        <w:ind w:left="115" w:right="110"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30</w:t>
      </w:r>
      <w:r w:rsidDel="00000000" w:rsidR="00000000" w:rsidRPr="00000000">
        <w:rPr>
          <w:rFonts w:ascii="Book Antiqua" w:cs="Book Antiqua" w:eastAsia="Book Antiqua" w:hAnsi="Book Antiqua"/>
          <w:sz w:val="40"/>
          <w:szCs w:val="40"/>
          <w:rtl w:val="0"/>
        </w:rPr>
        <w:tab/>
        <w:t xml:space="preserve">See   </w:t>
      </w:r>
      <w:r w:rsidDel="00000000" w:rsidR="00000000" w:rsidRPr="00000000">
        <w:rPr>
          <w:rFonts w:ascii="Book Antiqua" w:cs="Book Antiqua" w:eastAsia="Book Antiqua" w:hAnsi="Book Antiqua"/>
          <w:i w:val="1"/>
          <w:sz w:val="40"/>
          <w:szCs w:val="40"/>
          <w:rtl w:val="0"/>
        </w:rPr>
        <w:t xml:space="preserve">Bankers</w:t>
        <w:tab/>
        <w:t xml:space="preserve">body   unveils</w:t>
        <w:tab/>
        <w:t xml:space="preserve">new   dispute</w:t>
        <w:tab/>
        <w:t xml:space="preserve">resolution</w:t>
        <w:tab/>
        <w:t xml:space="preserve">model   </w:t>
      </w:r>
      <w:r w:rsidDel="00000000" w:rsidR="00000000" w:rsidRPr="00000000">
        <w:rPr>
          <w:rFonts w:ascii="Book Antiqua" w:cs="Book Antiqua" w:eastAsia="Book Antiqua" w:hAnsi="Book Antiqua"/>
          <w:sz w:val="40"/>
          <w:szCs w:val="40"/>
          <w:rtl w:val="0"/>
        </w:rPr>
        <w:t xml:space="preserve">Thursday   21</w:t>
        <w:tab/>
        <w:t xml:space="preserve">feb.2013</w:t>
        <w:tab/>
        <w:t xml:space="preserve">available</w:t>
        <w:tab/>
        <w:t xml:space="preserve">at </w:t>
      </w:r>
      <w:hyperlink r:id="rId31">
        <w:r w:rsidDel="00000000" w:rsidR="00000000" w:rsidRPr="00000000">
          <w:rPr>
            <w:rFonts w:ascii="Book Antiqua" w:cs="Book Antiqua" w:eastAsia="Book Antiqua" w:hAnsi="Book Antiqua"/>
            <w:color w:val="0000ff"/>
            <w:sz w:val="40"/>
            <w:szCs w:val="40"/>
            <w:u w:val="single"/>
            <w:rtl w:val="0"/>
          </w:rPr>
          <w:t xml:space="preserve">http://www.standarmedia.co.ke/</w:t>
        </w:r>
      </w:hyperlink>
      <w:hyperlink r:id="rId32">
        <w:r w:rsidDel="00000000" w:rsidR="00000000" w:rsidRPr="00000000">
          <w:rPr>
            <w:rFonts w:ascii="Book Antiqua" w:cs="Book Antiqua" w:eastAsia="Book Antiqua" w:hAnsi="Book Antiqua"/>
            <w:sz w:val="40"/>
            <w:szCs w:val="40"/>
            <w:rtl w:val="0"/>
          </w:rPr>
          <w:t xml:space="preserve">?</w:t>
        </w:r>
      </w:hyperlink>
      <w:r w:rsidDel="00000000" w:rsidR="00000000" w:rsidRPr="00000000">
        <w:rPr>
          <w:rFonts w:ascii="Book Antiqua" w:cs="Book Antiqua" w:eastAsia="Book Antiqua" w:hAnsi="Book Antiqua"/>
          <w:sz w:val="40"/>
          <w:szCs w:val="40"/>
          <w:rtl w:val="0"/>
        </w:rPr>
        <w:t xml:space="preserve"> article ID 2000077741.</w:t>
      </w:r>
    </w:p>
    <w:p w:rsidR="00000000" w:rsidDel="00000000" w:rsidP="00000000" w:rsidRDefault="00000000" w:rsidRPr="00000000" w14:paraId="000000B5">
      <w:pPr>
        <w:spacing w:before="1"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31</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Banking Act</w:t>
      </w:r>
      <w:r w:rsidDel="00000000" w:rsidR="00000000" w:rsidRPr="00000000">
        <w:rPr>
          <w:rFonts w:ascii="Book Antiqua" w:cs="Book Antiqua" w:eastAsia="Book Antiqua" w:hAnsi="Book Antiqua"/>
          <w:sz w:val="40"/>
          <w:szCs w:val="40"/>
          <w:rtl w:val="0"/>
        </w:rPr>
        <w:t xml:space="preserve">, Cap 486, s 36A.</w:t>
      </w:r>
    </w:p>
    <w:p w:rsidR="00000000" w:rsidDel="00000000" w:rsidP="00000000" w:rsidRDefault="00000000" w:rsidRPr="00000000" w14:paraId="000000B6">
      <w:pPr>
        <w:spacing w:before="116"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32</w:t>
      </w:r>
      <w:r w:rsidDel="00000000" w:rsidR="00000000" w:rsidRPr="00000000">
        <w:rPr>
          <w:rFonts w:ascii="Book Antiqua" w:cs="Book Antiqua" w:eastAsia="Book Antiqua" w:hAnsi="Book Antiqua"/>
          <w:sz w:val="40"/>
          <w:szCs w:val="40"/>
          <w:rtl w:val="0"/>
        </w:rPr>
        <w:t xml:space="preserve"> Regulation 9 of the Banking (Deposit protection Fund) regulations 2003</w:t>
      </w:r>
    </w:p>
    <w:p w:rsidR="00000000" w:rsidDel="00000000" w:rsidP="00000000" w:rsidRDefault="00000000" w:rsidRPr="00000000" w14:paraId="000000B7">
      <w:pPr>
        <w:spacing w:before="116"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33</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Kenya Deposit Insurance Act</w:t>
      </w:r>
      <w:r w:rsidDel="00000000" w:rsidR="00000000" w:rsidRPr="00000000">
        <w:rPr>
          <w:rFonts w:ascii="Book Antiqua" w:cs="Book Antiqua" w:eastAsia="Book Antiqua" w:hAnsi="Book Antiqua"/>
          <w:sz w:val="40"/>
          <w:szCs w:val="40"/>
          <w:rtl w:val="0"/>
        </w:rPr>
        <w:t xml:space="preserve">, 2012.</w:t>
      </w:r>
    </w:p>
    <w:p w:rsidR="00000000" w:rsidDel="00000000" w:rsidP="00000000" w:rsidRDefault="00000000" w:rsidRPr="00000000" w14:paraId="000000B8">
      <w:pPr>
        <w:spacing w:before="110"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34</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Ibid</w:t>
      </w:r>
      <w:r w:rsidDel="00000000" w:rsidR="00000000" w:rsidRPr="00000000">
        <w:rPr>
          <w:rFonts w:ascii="Book Antiqua" w:cs="Book Antiqua" w:eastAsia="Book Antiqua" w:hAnsi="Book Antiqua"/>
          <w:sz w:val="40"/>
          <w:szCs w:val="40"/>
          <w:rtl w:val="0"/>
        </w:rPr>
        <w:t xml:space="preserve">, s4.</w:t>
      </w:r>
    </w:p>
    <w:p w:rsidR="00000000" w:rsidDel="00000000" w:rsidP="00000000" w:rsidRDefault="00000000" w:rsidRPr="00000000" w14:paraId="000000B9">
      <w:pPr>
        <w:spacing w:before="116" w:line="360" w:lineRule="auto"/>
        <w:ind w:left="115" w:firstLine="0"/>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35</w:t>
      </w:r>
      <w:r w:rsidDel="00000000" w:rsidR="00000000" w:rsidRPr="00000000">
        <w:rPr>
          <w:rFonts w:ascii="Book Antiqua" w:cs="Book Antiqua" w:eastAsia="Book Antiqua" w:hAnsi="Book Antiqua"/>
          <w:sz w:val="40"/>
          <w:szCs w:val="40"/>
          <w:rtl w:val="0"/>
        </w:rPr>
        <w:t xml:space="preserve"> For example, the Act provides the DPFB with powers to request the Central Bank to carry out an inspection of a member institution and, where deemed necessary, to conduct the examination itself</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55"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contributed which include profits from the investments of the board, but more importantly contributions from the member institutions.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36</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0" w:lineRule="auto"/>
        <w:ind w:left="115" w:right="10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Implementation of such a scheme is seen as more likely to carefully monitor banks and intervene rapidly into failing banks as they have to carry the costs in terms of higher pay-out to indemnified depositors. Cross-country comparisons show indeed that banks in countries where the deposit insurer has the responsibility of intervening failed banks and the power to revoke membership in the deposit insurance scheme are more stable and less likely to become insolvent.</w:t>
      </w:r>
    </w:p>
    <w:p w:rsidR="00000000" w:rsidDel="00000000" w:rsidP="00000000" w:rsidRDefault="00000000" w:rsidRPr="00000000" w14:paraId="000000BC">
      <w:pPr>
        <w:pStyle w:val="Heading1"/>
        <w:spacing w:before="202" w:lineRule="auto"/>
        <w:ind w:left="474" w:firstLine="0"/>
        <w:rPr>
          <w:rFonts w:ascii="Book Antiqua" w:cs="Book Antiqua" w:eastAsia="Book Antiqua" w:hAnsi="Book Antiqua"/>
          <w:sz w:val="40"/>
          <w:szCs w:val="40"/>
        </w:rPr>
      </w:pPr>
      <w:r w:rsidDel="00000000" w:rsidR="00000000" w:rsidRPr="00000000">
        <w:rPr>
          <w:rFonts w:ascii="Book Antiqua" w:cs="Book Antiqua" w:eastAsia="Book Antiqua" w:hAnsi="Book Antiqua"/>
          <w:b w:val="0"/>
          <w:sz w:val="40"/>
          <w:szCs w:val="40"/>
          <w:rtl w:val="0"/>
        </w:rPr>
        <w:t xml:space="preserve"> </w:t>
      </w:r>
      <w:r w:rsidDel="00000000" w:rsidR="00000000" w:rsidRPr="00000000">
        <w:rPr>
          <w:rFonts w:ascii="Book Antiqua" w:cs="Book Antiqua" w:eastAsia="Book Antiqua" w:hAnsi="Book Antiqua"/>
          <w:sz w:val="40"/>
          <w:szCs w:val="40"/>
          <w:rtl w:val="0"/>
        </w:rPr>
        <w:t xml:space="preserve">General System Stability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Judging from the recent development in the Kenyan banking sector, the government reform strategy has produced a number of benefits with regard to soundness and stability. For instance, reducing government borrowing and creating a stable macroeconomic environment did much to ease lending rates and reduce spreads. Further, increasing banks’ capital requirements and introducing a limited deposit insurance scheme contributed to greater banking sector stability.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60"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There is also improvement in the efficiency of intermediation beyond that attributable to improved government finances and a stable macroeconomic environment. In particular, banks’ overhead costs declined through competition. To note, the results were more evident for foreign- owned banks than others. Indeed, private domestic banks saw their interest spreads increase from 2005 to 2007, and plans to force the consolidation of some of these smaller banks are being considered.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355" w:lineRule="auto"/>
        <w:ind w:left="115" w:right="105"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Consolidation across Kenyan banks has led to efficiency and stability gains, an effect, however, that depends on the implications of concentration and ownership for competition.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0" w:lineRule="auto"/>
        <w:ind w:left="115" w:right="10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Banks are generally well-capitalized. Liquidity ratios have been maintained above the minimum statutory requirements while earnings measures have improved steadily. Significant improvement in the stability of the banking sector has been reflected in asset quality. Banks have passed significant provisions in their books, thanks to strict prudential requirements, and hence the high level of NPLs does not pose a systemic threat to the Kenyan banking system.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sectPr>
          <w:footerReference r:id="rId33" w:type="default"/>
          <w:type w:val="nextPage"/>
          <w:pgSz w:h="15840" w:w="12240" w:orient="portrait"/>
          <w:pgMar w:bottom="1800" w:top="1360" w:left="1320" w:right="1360" w:header="0" w:footer="1606"/>
          <w:pgNumType w:start="12"/>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31" name=""/>
                <a:graphic>
                  <a:graphicData uri="http://schemas.microsoft.com/office/word/2010/wordprocessingShape">
                    <wps:wsp>
                      <wps:cNvSpPr/>
                      <wps:cNvPr id="3" name="Shape 3"/>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8890" cy="12700"/>
                <wp:effectExtent b="0" l="0" r="0" t="0"/>
                <wp:wrapTopAndBottom distB="0" distT="0"/>
                <wp:docPr id="31" name="image2.png"/>
                <a:graphic>
                  <a:graphicData uri="http://schemas.openxmlformats.org/drawingml/2006/picture">
                    <pic:pic>
                      <pic:nvPicPr>
                        <pic:cNvPr id="0" name="image2.png"/>
                        <pic:cNvPicPr preferRelativeResize="0"/>
                      </pic:nvPicPr>
                      <pic:blipFill>
                        <a:blip r:embed="rId34"/>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C4">
      <w:pPr>
        <w:pStyle w:val="Heading1"/>
        <w:numPr>
          <w:ilvl w:val="2"/>
          <w:numId w:val="12"/>
        </w:numPr>
        <w:tabs>
          <w:tab w:val="left" w:leader="none" w:pos="656"/>
        </w:tabs>
        <w:spacing w:before="76" w:lineRule="auto"/>
        <w:ind w:left="655" w:hanging="541"/>
        <w:jc w:val="both"/>
        <w:rPr>
          <w:rFonts w:ascii="Book Antiqua" w:cs="Book Antiqua" w:eastAsia="Book Antiqua" w:hAnsi="Book Antiqua"/>
          <w:sz w:val="40"/>
          <w:szCs w:val="40"/>
        </w:rPr>
      </w:pPr>
      <w:bookmarkStart w:colFirst="0" w:colLast="0" w:name="_heading=h.2s8eyo1" w:id="9"/>
      <w:bookmarkEnd w:id="9"/>
      <w:r w:rsidDel="00000000" w:rsidR="00000000" w:rsidRPr="00000000">
        <w:rPr>
          <w:rFonts w:ascii="Book Antiqua" w:cs="Book Antiqua" w:eastAsia="Book Antiqua" w:hAnsi="Book Antiqua"/>
          <w:sz w:val="40"/>
          <w:szCs w:val="40"/>
          <w:rtl w:val="0"/>
        </w:rPr>
        <w:t xml:space="preserve">The Insurance Act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60" w:lineRule="auto"/>
        <w:ind w:left="115" w:right="107"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It is a 1986 enactment but just like the Banking Act, with subsequent amendments geared towards aligning the sector with the changed situation in Kenya caused by economic reforms. One such amendment was in 2006</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37</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to establish the Insurance Regulatory Authority (IRA), a body charged with the regulation, supervision and development of the insurance industry.</w:t>
      </w:r>
    </w:p>
    <w:p w:rsidR="00000000" w:rsidDel="00000000" w:rsidP="00000000" w:rsidRDefault="00000000" w:rsidRPr="00000000" w14:paraId="000000C6">
      <w:pPr>
        <w:pStyle w:val="Heading1"/>
        <w:numPr>
          <w:ilvl w:val="3"/>
          <w:numId w:val="12"/>
        </w:numPr>
        <w:tabs>
          <w:tab w:val="left" w:leader="none" w:pos="833"/>
        </w:tabs>
        <w:spacing w:before="204"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Dispute Resolution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5" w:right="98"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Contrary to the Banking Act, this statute has in place elaborate dispute resolution mechanisms. For starters, under Section 3E of the Act there is established the office of the Commissioner of Insurance, the Chief Executive Officer of the IRA with power to shield policy holders from the effects of unfair business practises by directing an insurer or a re-insurer where is satisfied that the wording of a particular contract of insurance issued by the insurer or re-insurer is obscure or contains ambiguous terms or terms and conditions which are unfair or oppressive to the policy holders to clarify simplify or amend or delete the wording terms or conditions as the case may be in respect of future contracts.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38</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Further, he can also direct the insurer to expedite payment of a claim to a policy holder in cases where such a claim has been admitted and the insurer has not paid the claimant after the expiry of the set timelines.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39</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115" w:right="11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169 establishes the Insurance tribunal, with powers of a subordinate court,</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40</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mandated to hear appeals from the decisions of the commissioner of insurance.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115" w:right="98" w:firstLine="0"/>
        <w:jc w:val="both"/>
        <w:rPr>
          <w:rFonts w:ascii="Book Antiqua" w:cs="Book Antiqua" w:eastAsia="Book Antiqua" w:hAnsi="Book Antiqua"/>
          <w:b w:val="0"/>
          <w:i w:val="1"/>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In the face of all these, recourse to court is still open. A consumer may resort to move to court in cases where he has a contested claim against an insurer. Needless to say, the general rules of procedure apply without infringing on the specific contractual framework. For instance, policyholders must bring up claims in court within the timelines stipulated in their specific contracts of insurance or else courts will shy away from entertaining such cases. This was espoused in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Agriculture Finance Corporation &amp; Another </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v </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Kenya Alliance Insurance company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1"/>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1"/>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0"/>
          <w:i w:val="1"/>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203200</wp:posOffset>
                </wp:positionV>
                <wp:extent cx="8890" cy="12700"/>
                <wp:effectExtent b="0" l="0" r="0" t="0"/>
                <wp:wrapTopAndBottom distB="0" distT="0"/>
                <wp:docPr id="41" name=""/>
                <a:graphic>
                  <a:graphicData uri="http://schemas.microsoft.com/office/word/2010/wordprocessingShape">
                    <wps:wsp>
                      <wps:cNvSpPr/>
                      <wps:cNvPr id="13" name="Shape 13"/>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203200</wp:posOffset>
                </wp:positionV>
                <wp:extent cx="8890" cy="12700"/>
                <wp:effectExtent b="0" l="0" r="0" t="0"/>
                <wp:wrapTopAndBottom distB="0" distT="0"/>
                <wp:docPr id="41" name="image12.png"/>
                <a:graphic>
                  <a:graphicData uri="http://schemas.openxmlformats.org/drawingml/2006/picture">
                    <pic:pic>
                      <pic:nvPicPr>
                        <pic:cNvPr id="0" name="image12.png"/>
                        <pic:cNvPicPr preferRelativeResize="0"/>
                      </pic:nvPicPr>
                      <pic:blipFill>
                        <a:blip r:embed="rId35"/>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CE">
      <w:pPr>
        <w:spacing w:before="67"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37</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n12.</w:t>
      </w:r>
    </w:p>
    <w:p w:rsidR="00000000" w:rsidDel="00000000" w:rsidP="00000000" w:rsidRDefault="00000000" w:rsidRPr="00000000" w14:paraId="000000CF">
      <w:pPr>
        <w:spacing w:before="111"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38</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Insurance Act</w:t>
      </w:r>
      <w:r w:rsidDel="00000000" w:rsidR="00000000" w:rsidRPr="00000000">
        <w:rPr>
          <w:rFonts w:ascii="Book Antiqua" w:cs="Book Antiqua" w:eastAsia="Book Antiqua" w:hAnsi="Book Antiqua"/>
          <w:sz w:val="40"/>
          <w:szCs w:val="40"/>
          <w:rtl w:val="0"/>
        </w:rPr>
        <w:t xml:space="preserve">, CAP 487, s 5(1)(c).</w:t>
      </w:r>
    </w:p>
    <w:p w:rsidR="00000000" w:rsidDel="00000000" w:rsidP="00000000" w:rsidRDefault="00000000" w:rsidRPr="00000000" w14:paraId="000000D0">
      <w:pPr>
        <w:spacing w:before="116" w:lineRule="auto"/>
        <w:ind w:left="115" w:firstLine="0"/>
        <w:rPr>
          <w:rFonts w:ascii="Book Antiqua" w:cs="Book Antiqua" w:eastAsia="Book Antiqua" w:hAnsi="Book Antiqua"/>
          <w:sz w:val="40"/>
          <w:szCs w:val="40"/>
        </w:rPr>
        <w:sectPr>
          <w:type w:val="nextPage"/>
          <w:pgSz w:h="15840" w:w="12240" w:orient="portrait"/>
          <w:pgMar w:bottom="1800" w:top="1360" w:left="1320" w:right="1360" w:header="0" w:footer="1606"/>
        </w:sectPr>
      </w:pPr>
      <w:r w:rsidDel="00000000" w:rsidR="00000000" w:rsidRPr="00000000">
        <w:rPr>
          <w:rFonts w:ascii="Book Antiqua" w:cs="Book Antiqua" w:eastAsia="Book Antiqua" w:hAnsi="Book Antiqua"/>
          <w:sz w:val="40"/>
          <w:szCs w:val="40"/>
          <w:vertAlign w:val="superscript"/>
          <w:rtl w:val="0"/>
        </w:rPr>
        <w:t xml:space="preserve">39</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Ibid</w:t>
      </w:r>
      <w:r w:rsidDel="00000000" w:rsidR="00000000" w:rsidRPr="00000000">
        <w:rPr>
          <w:rFonts w:ascii="Book Antiqua" w:cs="Book Antiqua" w:eastAsia="Book Antiqua" w:hAnsi="Book Antiqua"/>
          <w:sz w:val="40"/>
          <w:szCs w:val="40"/>
          <w:rtl w:val="0"/>
        </w:rPr>
        <w:t xml:space="preserve">, s 203(1). It provides that an insurer shall pay the policy holder within sixty days in cases of admitted claims.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55" w:lineRule="auto"/>
        <w:ind w:left="115"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ltd &amp; Another</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superscript"/>
          <w:rtl w:val="0"/>
        </w:rPr>
        <w:t xml:space="preserve">41</w:t>
      </w:r>
      <w:r w:rsidDel="00000000" w:rsidR="00000000" w:rsidRPr="00000000">
        <w:rPr>
          <w:rFonts w:ascii="Book Antiqua" w:cs="Book Antiqua" w:eastAsia="Book Antiqua" w:hAnsi="Book Antiqua"/>
          <w:b w:val="0"/>
          <w:i w:val="1"/>
          <w:smallCaps w:val="0"/>
          <w:strike w:val="0"/>
          <w:color w:val="000000"/>
          <w:sz w:val="40"/>
          <w:szCs w:val="4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where Ringera J stated thus ‘If a contractual limitation periods were held to be unfair, unreasonable or unconscionable the statutes of limitations will not fair any better’.</w:t>
      </w:r>
    </w:p>
    <w:p w:rsidR="00000000" w:rsidDel="00000000" w:rsidP="00000000" w:rsidRDefault="00000000" w:rsidRPr="00000000" w14:paraId="000000D2">
      <w:pPr>
        <w:pStyle w:val="Heading1"/>
        <w:tabs>
          <w:tab w:val="left" w:leader="none" w:pos="832"/>
        </w:tabs>
        <w:spacing w:before="212" w:lineRule="auto"/>
        <w:ind w:left="474" w:firstLine="0"/>
        <w:jc w:val="left"/>
        <w:rPr>
          <w:rFonts w:ascii="Book Antiqua" w:cs="Book Antiqua" w:eastAsia="Book Antiqua" w:hAnsi="Book Antiqua"/>
          <w:sz w:val="40"/>
          <w:szCs w:val="40"/>
        </w:rPr>
      </w:pPr>
      <w:r w:rsidDel="00000000" w:rsidR="00000000" w:rsidRPr="00000000">
        <w:rPr>
          <w:rFonts w:ascii="Book Antiqua" w:cs="Book Antiqua" w:eastAsia="Book Antiqua" w:hAnsi="Book Antiqua"/>
          <w:b w:val="0"/>
          <w:sz w:val="40"/>
          <w:szCs w:val="40"/>
          <w:rtl w:val="0"/>
        </w:rPr>
        <w:t xml:space="preserve"></w:t>
        <w:tab/>
      </w:r>
      <w:r w:rsidDel="00000000" w:rsidR="00000000" w:rsidRPr="00000000">
        <w:rPr>
          <w:rFonts w:ascii="Book Antiqua" w:cs="Book Antiqua" w:eastAsia="Book Antiqua" w:hAnsi="Book Antiqua"/>
          <w:sz w:val="40"/>
          <w:szCs w:val="40"/>
          <w:rtl w:val="0"/>
        </w:rPr>
        <w:t xml:space="preserve">Consumer Compensation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115" w:right="104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Pursuant to Section 179(1) of the Act which allows the Minister to establish a compensation fund for the purpose of providing compensatory assistance to the policy holders of an insolvent insurer, the policy holders’ compensation fund regulations were put in place vide Legal notice 105 of 2004.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Regulation 4 establishes the policy holders’ compensation fund, a contributory fund made up of 0.25% of the premium payable by the policy holder</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42</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per insurance policy and a similar amount by the insurer.</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43</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 w:right="1044"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maximum claim for compensation under the scheme is limited to one hundred thousand Kenya shillings.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44</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Worth noting is that this compensation award does not extend to a body corporate, superannuation schemes, the government including local authorities, directors, employees, agents and persons entitled to claim under registration are excluded from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8890" cy="12700"/>
                <wp:effectExtent b="0" l="0" r="0" t="0"/>
                <wp:wrapTopAndBottom distB="0" distT="0"/>
                <wp:docPr id="32" name=""/>
                <a:graphic>
                  <a:graphicData uri="http://schemas.microsoft.com/office/word/2010/wordprocessingShape">
                    <wps:wsp>
                      <wps:cNvSpPr/>
                      <wps:cNvPr id="4" name="Shape 4"/>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8890" cy="12700"/>
                <wp:effectExtent b="0" l="0" r="0" t="0"/>
                <wp:wrapTopAndBottom distB="0" distT="0"/>
                <wp:docPr id="32" name="image3.png"/>
                <a:graphic>
                  <a:graphicData uri="http://schemas.openxmlformats.org/drawingml/2006/picture">
                    <pic:pic>
                      <pic:nvPicPr>
                        <pic:cNvPr id="0" name="image3.png"/>
                        <pic:cNvPicPr preferRelativeResize="0"/>
                      </pic:nvPicPr>
                      <pic:blipFill>
                        <a:blip r:embed="rId36"/>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DE">
      <w:pPr>
        <w:spacing w:before="67" w:line="360" w:lineRule="auto"/>
        <w:ind w:left="115" w:right="111"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41</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Agriculture Finance corporation &amp;Another v Kenya Alliance Insurance company ltd &amp; Another</w:t>
      </w:r>
      <w:r w:rsidDel="00000000" w:rsidR="00000000" w:rsidRPr="00000000">
        <w:rPr>
          <w:rFonts w:ascii="Book Antiqua" w:cs="Book Antiqua" w:eastAsia="Book Antiqua" w:hAnsi="Book Antiqua"/>
          <w:sz w:val="40"/>
          <w:szCs w:val="40"/>
          <w:rtl w:val="0"/>
        </w:rPr>
        <w:t xml:space="preserve">(1999) HCCC No 1882 of 1999 (unreported).</w:t>
      </w:r>
    </w:p>
    <w:p w:rsidR="00000000" w:rsidDel="00000000" w:rsidP="00000000" w:rsidRDefault="00000000" w:rsidRPr="00000000" w14:paraId="000000DF">
      <w:pPr>
        <w:spacing w:before="1" w:line="355" w:lineRule="auto"/>
        <w:ind w:left="115" w:right="98"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42</w:t>
      </w:r>
      <w:r w:rsidDel="00000000" w:rsidR="00000000" w:rsidRPr="00000000">
        <w:rPr>
          <w:rFonts w:ascii="Book Antiqua" w:cs="Book Antiqua" w:eastAsia="Book Antiqua" w:hAnsi="Book Antiqua"/>
          <w:sz w:val="40"/>
          <w:szCs w:val="40"/>
          <w:rtl w:val="0"/>
        </w:rPr>
        <w:t xml:space="preserve"> This mandatory contribution share by the policy holder, the potential victim, seems unfair considering the fact that the fund was established for the purposes of compensating policy holders of insolvent insures.</w:t>
      </w:r>
    </w:p>
    <w:p w:rsidR="00000000" w:rsidDel="00000000" w:rsidP="00000000" w:rsidRDefault="00000000" w:rsidRPr="00000000" w14:paraId="000000E0">
      <w:pPr>
        <w:spacing w:before="6" w:line="360" w:lineRule="auto"/>
        <w:ind w:left="115" w:right="98" w:firstLine="0"/>
        <w:jc w:val="both"/>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43</w:t>
      </w:r>
      <w:r w:rsidDel="00000000" w:rsidR="00000000" w:rsidRPr="00000000">
        <w:rPr>
          <w:rFonts w:ascii="Book Antiqua" w:cs="Book Antiqua" w:eastAsia="Book Antiqua" w:hAnsi="Book Antiqua"/>
          <w:sz w:val="40"/>
          <w:szCs w:val="40"/>
          <w:rtl w:val="0"/>
        </w:rPr>
        <w:t xml:space="preserve"> Henry J A Lugulu and George O Ochich, </w:t>
      </w:r>
      <w:r w:rsidDel="00000000" w:rsidR="00000000" w:rsidRPr="00000000">
        <w:rPr>
          <w:rFonts w:ascii="Book Antiqua" w:cs="Book Antiqua" w:eastAsia="Book Antiqua" w:hAnsi="Book Antiqua"/>
          <w:i w:val="1"/>
          <w:sz w:val="40"/>
          <w:szCs w:val="40"/>
          <w:rtl w:val="0"/>
        </w:rPr>
        <w:t xml:space="preserve">The winding up or liquidation of Insurance companies; Are interested parties Adequately protected, </w:t>
      </w:r>
      <w:r w:rsidDel="00000000" w:rsidR="00000000" w:rsidRPr="00000000">
        <w:rPr>
          <w:rFonts w:ascii="Book Antiqua" w:cs="Book Antiqua" w:eastAsia="Book Antiqua" w:hAnsi="Book Antiqua"/>
          <w:sz w:val="40"/>
          <w:szCs w:val="40"/>
          <w:rtl w:val="0"/>
        </w:rPr>
        <w:t xml:space="preserve">Moi University Law journal NO.2 of 2007. They suppose the rationale for the establishment of the Policy Holders Compensation Fund on the fact that those who purchase insurance policy by paying premiums to insurers could as well have deposited the amount of those premiums in banks where they would be protected by the deposit protection fund or invested in shares or bonds in the stock exchange market where they would have been protected by the investors compensation fund.</w:t>
      </w:r>
    </w:p>
    <w:p w:rsidR="00000000" w:rsidDel="00000000" w:rsidP="00000000" w:rsidRDefault="00000000" w:rsidRPr="00000000" w14:paraId="000000E1">
      <w:pPr>
        <w:spacing w:before="4" w:line="360" w:lineRule="auto"/>
        <w:ind w:left="115" w:right="98" w:firstLine="0"/>
        <w:jc w:val="both"/>
        <w:rPr>
          <w:rFonts w:ascii="Book Antiqua" w:cs="Book Antiqua" w:eastAsia="Book Antiqua" w:hAnsi="Book Antiqua"/>
          <w:sz w:val="40"/>
          <w:szCs w:val="40"/>
        </w:rPr>
        <w:sectPr>
          <w:footerReference r:id="rId37" w:type="default"/>
          <w:type w:val="nextPage"/>
          <w:pgSz w:h="15840" w:w="12240" w:orient="portrait"/>
          <w:pgMar w:bottom="1220" w:top="1320" w:left="1320" w:right="1360" w:header="0" w:footer="1035"/>
          <w:pgNumType w:start="14"/>
        </w:sectPr>
      </w:pPr>
      <w:r w:rsidDel="00000000" w:rsidR="00000000" w:rsidRPr="00000000">
        <w:rPr>
          <w:rFonts w:ascii="Book Antiqua" w:cs="Book Antiqua" w:eastAsia="Book Antiqua" w:hAnsi="Book Antiqua"/>
          <w:sz w:val="40"/>
          <w:szCs w:val="40"/>
          <w:vertAlign w:val="superscript"/>
          <w:rtl w:val="0"/>
        </w:rPr>
        <w:t xml:space="preserve">44</w:t>
      </w:r>
      <w:r w:rsidDel="00000000" w:rsidR="00000000" w:rsidRPr="00000000">
        <w:rPr>
          <w:rFonts w:ascii="Book Antiqua" w:cs="Book Antiqua" w:eastAsia="Book Antiqua" w:hAnsi="Book Antiqua"/>
          <w:sz w:val="40"/>
          <w:szCs w:val="40"/>
          <w:rtl w:val="0"/>
        </w:rPr>
        <w:t xml:space="preserve"> Regulation 13(4).This has been a point of concern since there are policies in which the policy holders pay amounts in premiums that are well above the maximum figure. The informing assumption that people with big policies have the resources to gather information needed about insurance companies and therefore can only invest in sound insurers and that this compensation kitty serves to salvage only the lowly people is biased.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15" w:right="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claiming from the fund.</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45</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115" w:right="104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PHCF has often been criticized that instead of dealing with consumer protection throughout the process of trade it only comes in at the collapse of the insurer, a little too late.</w:t>
      </w:r>
    </w:p>
    <w:p w:rsidR="00000000" w:rsidDel="00000000" w:rsidP="00000000" w:rsidRDefault="00000000" w:rsidRPr="00000000" w14:paraId="000000E4">
      <w:pPr>
        <w:pStyle w:val="Heading1"/>
        <w:spacing w:line="293.00000000000006" w:lineRule="auto"/>
        <w:ind w:left="474" w:firstLine="0"/>
        <w:rPr>
          <w:rFonts w:ascii="Book Antiqua" w:cs="Book Antiqua" w:eastAsia="Book Antiqua" w:hAnsi="Book Antiqua"/>
          <w:sz w:val="40"/>
          <w:szCs w:val="40"/>
        </w:rPr>
      </w:pPr>
      <w:r w:rsidDel="00000000" w:rsidR="00000000" w:rsidRPr="00000000">
        <w:rPr>
          <w:rFonts w:ascii="Book Antiqua" w:cs="Book Antiqua" w:eastAsia="Book Antiqua" w:hAnsi="Book Antiqua"/>
          <w:b w:val="0"/>
          <w:sz w:val="40"/>
          <w:szCs w:val="40"/>
          <w:rtl w:val="0"/>
        </w:rPr>
        <w:t xml:space="preserve"> </w:t>
      </w:r>
      <w:r w:rsidDel="00000000" w:rsidR="00000000" w:rsidRPr="00000000">
        <w:rPr>
          <w:rFonts w:ascii="Book Antiqua" w:cs="Book Antiqua" w:eastAsia="Book Antiqua" w:hAnsi="Book Antiqua"/>
          <w:sz w:val="40"/>
          <w:szCs w:val="40"/>
          <w:rtl w:val="0"/>
        </w:rPr>
        <w:t xml:space="preserve">General financial system stability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insurance Act has in place provisions which are geared towards achieving a sound financial system that is stable. These include minimum capital requirement prior to registration,</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46</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requirements for a set capital structure, registration requirements, thus no insurer can carry on insurance business unless he satisfies the set criteria.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1027"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However, a number of issues undermine the sector. First, the defragmentation of the general and long term insurance companies. Through the Finance Act (2007), a company to be registered as both general and long term insurance business must register a third company as a holding company and apply incorporation for each company separately. This is contrary to world trend towards consolidation of these like businesses.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Second, in registration of insurance companies no caution is given to the moral standards of managers (unlike in the banking subsector) which may lead to infiltration of unsuitable persons.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5" w:right="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Third, the CAMELS rating system does not apply.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115" w:right="104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Saddening to note is that despite the policy, legal and institutional framework put in place regulatory forbearance still threatens the stability of the subsector.</w:t>
      </w:r>
    </w:p>
    <w:p w:rsidR="00000000" w:rsidDel="00000000" w:rsidP="00000000" w:rsidRDefault="00000000" w:rsidRPr="00000000" w14:paraId="000000EA">
      <w:pPr>
        <w:pStyle w:val="Heading1"/>
        <w:numPr>
          <w:ilvl w:val="2"/>
          <w:numId w:val="12"/>
        </w:numPr>
        <w:tabs>
          <w:tab w:val="left" w:leader="none" w:pos="656"/>
        </w:tabs>
        <w:spacing w:before="2" w:lineRule="auto"/>
        <w:ind w:left="655" w:hanging="541"/>
        <w:jc w:val="both"/>
        <w:rPr>
          <w:rFonts w:ascii="Book Antiqua" w:cs="Book Antiqua" w:eastAsia="Book Antiqua" w:hAnsi="Book Antiqua"/>
          <w:sz w:val="40"/>
          <w:szCs w:val="40"/>
        </w:rPr>
      </w:pPr>
      <w:bookmarkStart w:colFirst="0" w:colLast="0" w:name="_heading=h.17dp8vu" w:id="10"/>
      <w:bookmarkEnd w:id="10"/>
      <w:r w:rsidDel="00000000" w:rsidR="00000000" w:rsidRPr="00000000">
        <w:rPr>
          <w:rFonts w:ascii="Book Antiqua" w:cs="Book Antiqua" w:eastAsia="Book Antiqua" w:hAnsi="Book Antiqua"/>
          <w:sz w:val="40"/>
          <w:szCs w:val="40"/>
          <w:rtl w:val="0"/>
        </w:rPr>
        <w:t xml:space="preserve">The Capital Markets Act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115" w:right="1037"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purposes to promote, regulate and facilitate the development of an orderly, fair and efficient capital market in Kenya.</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47</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Consequently, the Capital Markets Authority is established under section 3 of the Act with one of the objects been to protect investors interests and the operation of a compensation fund to protect investors from financial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8890" cy="12700"/>
                <wp:effectExtent b="0" l="0" r="0" t="0"/>
                <wp:wrapTopAndBottom distB="0" distT="0"/>
                <wp:docPr id="42" name=""/>
                <a:graphic>
                  <a:graphicData uri="http://schemas.microsoft.com/office/word/2010/wordprocessingShape">
                    <wps:wsp>
                      <wps:cNvSpPr/>
                      <wps:cNvPr id="14" name="Shape 14"/>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8890" cy="12700"/>
                <wp:effectExtent b="0" l="0" r="0" t="0"/>
                <wp:wrapTopAndBottom distB="0" distT="0"/>
                <wp:docPr id="42" name="image13.png"/>
                <a:graphic>
                  <a:graphicData uri="http://schemas.openxmlformats.org/drawingml/2006/picture">
                    <pic:pic>
                      <pic:nvPicPr>
                        <pic:cNvPr id="0" name="image13.png"/>
                        <pic:cNvPicPr preferRelativeResize="0"/>
                      </pic:nvPicPr>
                      <pic:blipFill>
                        <a:blip r:embed="rId38"/>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EF">
      <w:pPr>
        <w:spacing w:before="67"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45</w:t>
      </w:r>
      <w:r w:rsidDel="00000000" w:rsidR="00000000" w:rsidRPr="00000000">
        <w:rPr>
          <w:rFonts w:ascii="Book Antiqua" w:cs="Book Antiqua" w:eastAsia="Book Antiqua" w:hAnsi="Book Antiqua"/>
          <w:sz w:val="40"/>
          <w:szCs w:val="40"/>
          <w:rtl w:val="0"/>
        </w:rPr>
        <w:t xml:space="preserve"> Regulation 13(3).</w:t>
      </w:r>
    </w:p>
    <w:p w:rsidR="00000000" w:rsidDel="00000000" w:rsidP="00000000" w:rsidRDefault="00000000" w:rsidRPr="00000000" w14:paraId="000000F0">
      <w:pPr>
        <w:spacing w:before="111" w:line="360"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46</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n,38 s 23(1).That minimum capital has been set at three hundred million shillings for long term insurance business and one hundred and fifty million shillings for general insurance business.</w:t>
      </w:r>
    </w:p>
    <w:p w:rsidR="00000000" w:rsidDel="00000000" w:rsidP="00000000" w:rsidRDefault="00000000" w:rsidRPr="00000000" w14:paraId="000000F1">
      <w:pPr>
        <w:spacing w:before="1" w:lineRule="auto"/>
        <w:ind w:left="115" w:firstLine="0"/>
        <w:rPr>
          <w:rFonts w:ascii="Book Antiqua" w:cs="Book Antiqua" w:eastAsia="Book Antiqua" w:hAnsi="Book Antiqua"/>
          <w:sz w:val="40"/>
          <w:szCs w:val="40"/>
        </w:rPr>
        <w:sectPr>
          <w:type w:val="nextPage"/>
          <w:pgSz w:h="15840" w:w="12240" w:orient="portrait"/>
          <w:pgMar w:bottom="1220" w:top="1360" w:left="1320" w:right="1360" w:header="0" w:footer="1035"/>
        </w:sectPr>
      </w:pPr>
      <w:r w:rsidDel="00000000" w:rsidR="00000000" w:rsidRPr="00000000">
        <w:rPr>
          <w:rFonts w:ascii="Book Antiqua" w:cs="Book Antiqua" w:eastAsia="Book Antiqua" w:hAnsi="Book Antiqua"/>
          <w:sz w:val="40"/>
          <w:szCs w:val="40"/>
          <w:vertAlign w:val="superscript"/>
          <w:rtl w:val="0"/>
        </w:rPr>
        <w:t xml:space="preserve">47</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Capital Markets Act</w:t>
      </w:r>
      <w:r w:rsidDel="00000000" w:rsidR="00000000" w:rsidRPr="00000000">
        <w:rPr>
          <w:rFonts w:ascii="Book Antiqua" w:cs="Book Antiqua" w:eastAsia="Book Antiqua" w:hAnsi="Book Antiqua"/>
          <w:sz w:val="40"/>
          <w:szCs w:val="40"/>
          <w:rtl w:val="0"/>
        </w:rPr>
        <w:t xml:space="preserve">, CAP 485A, the long title.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2" w:lineRule="auto"/>
        <w:ind w:left="115" w:right="104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loss arising out from the failure of a licensed broker or dealer to meet contractual obligations.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48</w:t>
      </w:r>
      <w:r w:rsidDel="00000000" w:rsidR="00000000" w:rsidRPr="00000000">
        <w:rPr>
          <w:rtl w:val="0"/>
        </w:rPr>
      </w:r>
    </w:p>
    <w:p w:rsidR="00000000" w:rsidDel="00000000" w:rsidP="00000000" w:rsidRDefault="00000000" w:rsidRPr="00000000" w14:paraId="000000F3">
      <w:pPr>
        <w:pStyle w:val="Heading1"/>
        <w:numPr>
          <w:ilvl w:val="3"/>
          <w:numId w:val="12"/>
        </w:numPr>
        <w:tabs>
          <w:tab w:val="left" w:leader="none" w:pos="833"/>
        </w:tabs>
        <w:spacing w:line="293.00000000000006"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Dispute Resolution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 w:right="1034"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has in place perfect dispute resolution mechanisms that are not only elaborate but also sufficient.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11(3) provides that the Capital Markets Authority shall act as an appellate body in respect of appeals against any security exchange or central depository in actions by parties aggrieved thereby.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14(2)(a) establishes a committee to hear and determine complaints of shareholders of any public company listed on an authorised securities exchange relating to the professional conduct or activities of such securities exchange or such public company or any other person under the jurisdiction of the Authority and recommend actions to be taken.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41"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35A establishes the Capital Markets tribunal to hear appeals from decision made by the Authority against the institutions. The tribunal is vested with powers of the High court for the purpose of hearing the appeals. Appeals from the tribunal lie to the High Court. A party dissatisfied with the tribunal’s decision can file an appeal to the High court within 30 daysas provided under Section 35A (22) of the Act.</w:t>
      </w:r>
    </w:p>
    <w:p w:rsidR="00000000" w:rsidDel="00000000" w:rsidP="00000000" w:rsidRDefault="00000000" w:rsidRPr="00000000" w14:paraId="000000F8">
      <w:pPr>
        <w:pStyle w:val="Heading1"/>
        <w:numPr>
          <w:ilvl w:val="0"/>
          <w:numId w:val="11"/>
        </w:numPr>
        <w:tabs>
          <w:tab w:val="left" w:leader="none" w:pos="833"/>
        </w:tabs>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Compensation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15" w:right="1036"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There is the Investor Compensation Fund (ICF) for the purpose of paying compensation to an investor who suffer pecuniary loss resulting from failure of a licensed stockbroker or dealer to meet his contractual obligation and paying the beneficiaries from the collected, unclaimed dividends when they resurface.</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49</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The sources of revenue for the fund include moneys required to be paid by licensed persons, fines and penalties,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50</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unclaimed dividends among others.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51</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An Investor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F">
      <w:pPr>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48</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Ibid</w:t>
      </w:r>
      <w:r w:rsidDel="00000000" w:rsidR="00000000" w:rsidRPr="00000000">
        <w:rPr>
          <w:rFonts w:ascii="Book Antiqua" w:cs="Book Antiqua" w:eastAsia="Book Antiqua" w:hAnsi="Book Antiqua"/>
          <w:sz w:val="40"/>
          <w:szCs w:val="40"/>
          <w:rtl w:val="0"/>
        </w:rPr>
        <w:t xml:space="preserve">, s11(1).</w:t>
      </w:r>
    </w:p>
    <w:p w:rsidR="00000000" w:rsidDel="00000000" w:rsidP="00000000" w:rsidRDefault="00000000" w:rsidRPr="00000000" w14:paraId="00000100">
      <w:pPr>
        <w:spacing w:before="111" w:lineRule="auto"/>
        <w:ind w:left="115"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49</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n47, s 18.</w:t>
      </w:r>
    </w:p>
    <w:p w:rsidR="00000000" w:rsidDel="00000000" w:rsidP="00000000" w:rsidRDefault="00000000" w:rsidRPr="00000000" w14:paraId="00000101">
      <w:pPr>
        <w:spacing w:before="116" w:lineRule="auto"/>
        <w:ind w:left="115" w:firstLine="0"/>
        <w:rPr>
          <w:rFonts w:ascii="Book Antiqua" w:cs="Book Antiqua" w:eastAsia="Book Antiqua" w:hAnsi="Book Antiqua"/>
          <w:sz w:val="40"/>
          <w:szCs w:val="40"/>
        </w:rPr>
        <w:sectPr>
          <w:footerReference r:id="rId39" w:type="default"/>
          <w:type w:val="nextPage"/>
          <w:pgSz w:h="15840" w:w="12240" w:orient="portrait"/>
          <w:pgMar w:bottom="1820" w:top="1400" w:left="1320" w:right="1360" w:header="0" w:footer="1630"/>
          <w:pgNumType w:start="16"/>
        </w:sectPr>
      </w:pPr>
      <w:r w:rsidDel="00000000" w:rsidR="00000000" w:rsidRPr="00000000">
        <w:rPr>
          <w:rFonts w:ascii="Book Antiqua" w:cs="Book Antiqua" w:eastAsia="Book Antiqua" w:hAnsi="Book Antiqua"/>
          <w:sz w:val="40"/>
          <w:szCs w:val="40"/>
          <w:vertAlign w:val="superscript"/>
          <w:rtl w:val="0"/>
        </w:rPr>
        <w:t xml:space="preserve">50</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Supra </w:t>
      </w:r>
      <w:r w:rsidDel="00000000" w:rsidR="00000000" w:rsidRPr="00000000">
        <w:rPr>
          <w:rFonts w:ascii="Book Antiqua" w:cs="Book Antiqua" w:eastAsia="Book Antiqua" w:hAnsi="Book Antiqua"/>
          <w:sz w:val="40"/>
          <w:szCs w:val="40"/>
          <w:rtl w:val="0"/>
        </w:rPr>
        <w:t xml:space="preserve">n 47, s 34.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5" w:right="104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Compensation Fund Board (ICFB) is established under section 18A to administer the fund. Compensation is subject to a maximum ceiling of fifty thousand Kenya shillings.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52</w:t>
      </w:r>
      <w:r w:rsidDel="00000000" w:rsidR="00000000" w:rsidRPr="00000000">
        <w:rPr>
          <w:rtl w:val="0"/>
        </w:rPr>
      </w:r>
    </w:p>
    <w:p w:rsidR="00000000" w:rsidDel="00000000" w:rsidP="00000000" w:rsidRDefault="00000000" w:rsidRPr="00000000" w14:paraId="00000103">
      <w:pPr>
        <w:pStyle w:val="Heading1"/>
        <w:numPr>
          <w:ilvl w:val="0"/>
          <w:numId w:val="11"/>
        </w:numPr>
        <w:tabs>
          <w:tab w:val="left" w:leader="none" w:pos="833"/>
        </w:tabs>
        <w:spacing w:before="3"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Financial system stability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 w:right="1043"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This is achieved through requirements for registration, licensing conditions, reporting conditions, periodic audits and other guidelines.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23 provides that no person shall carry on a business as a stockbroker dealer or investment bank authorised security dealer authorised depository or hold himself out as carrying on such business unless he holds a valid license issued under this Act or under the authority of the Act.</w:t>
      </w:r>
    </w:p>
    <w:p w:rsidR="00000000" w:rsidDel="00000000" w:rsidP="00000000" w:rsidRDefault="00000000" w:rsidRPr="00000000" w14:paraId="00000106">
      <w:pPr>
        <w:pStyle w:val="Heading1"/>
        <w:numPr>
          <w:ilvl w:val="2"/>
          <w:numId w:val="12"/>
        </w:numPr>
        <w:tabs>
          <w:tab w:val="left" w:leader="none" w:pos="656"/>
        </w:tabs>
        <w:spacing w:before="3" w:lineRule="auto"/>
        <w:ind w:left="655" w:hanging="541"/>
        <w:jc w:val="both"/>
        <w:rPr>
          <w:rFonts w:ascii="Book Antiqua" w:cs="Book Antiqua" w:eastAsia="Book Antiqua" w:hAnsi="Book Antiqua"/>
          <w:sz w:val="40"/>
          <w:szCs w:val="40"/>
        </w:rPr>
      </w:pPr>
      <w:bookmarkStart w:colFirst="0" w:colLast="0" w:name="_heading=h.3rdcrjn" w:id="11"/>
      <w:bookmarkEnd w:id="11"/>
      <w:r w:rsidDel="00000000" w:rsidR="00000000" w:rsidRPr="00000000">
        <w:rPr>
          <w:rFonts w:ascii="Book Antiqua" w:cs="Book Antiqua" w:eastAsia="Book Antiqua" w:hAnsi="Book Antiqua"/>
          <w:sz w:val="40"/>
          <w:szCs w:val="40"/>
          <w:rtl w:val="0"/>
        </w:rPr>
        <w:t xml:space="preserve">The Retirement Benefits Act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This Act purposes to establish the Retirement Benefits Authority for the regulation, supervision and promotion of retirements benefit scheme, the development of the retirement benefit sector.</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53</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6 establishes a board of directors comprising of among others a chief executive officer who is appointed in accordance with section 11. Retirement benefits schemes are recognised and may be registered pursuant to section 22.</w:t>
      </w:r>
    </w:p>
    <w:p w:rsidR="00000000" w:rsidDel="00000000" w:rsidP="00000000" w:rsidRDefault="00000000" w:rsidRPr="00000000" w14:paraId="00000109">
      <w:pPr>
        <w:pStyle w:val="Heading1"/>
        <w:numPr>
          <w:ilvl w:val="3"/>
          <w:numId w:val="12"/>
        </w:numPr>
        <w:tabs>
          <w:tab w:val="left" w:leader="none" w:pos="833"/>
        </w:tabs>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Dispute Resolution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Disputes which may arise as between members of the scheme and the manager of such a scheme may be resolved by the chief executive officer. Accordingly section 46 provides that a member of a scheme dissatisfied with a decision of the manager, trustee or custodian of the scheme may request in writing that such a decision be reviewed by the chief executive officer with a view of ensuring that such decision is made in accordance with the provisions of the relevant scheme rules or the Act under which the scheme is established. An appeals tribunal has been established for the purposes of hearing appeals</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54</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which are lodged within thirty days as against the decision of the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E">
      <w:pPr>
        <w:spacing w:line="355" w:lineRule="auto"/>
        <w:ind w:left="115" w:right="98" w:firstLine="0"/>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vertAlign w:val="superscript"/>
          <w:rtl w:val="0"/>
        </w:rPr>
        <w:t xml:space="preserve">52</w:t>
      </w:r>
      <w:r w:rsidDel="00000000" w:rsidR="00000000" w:rsidRPr="00000000">
        <w:rPr>
          <w:rFonts w:ascii="Book Antiqua" w:cs="Book Antiqua" w:eastAsia="Book Antiqua" w:hAnsi="Book Antiqua"/>
          <w:sz w:val="40"/>
          <w:szCs w:val="40"/>
          <w:rtl w:val="0"/>
        </w:rPr>
        <w:t xml:space="preserve"> The Capital Markets (Licensing Requirements) Regulations 2002, Regulation 70. Notice that the maximum amount set here is very low considering that the capital markets involve huge investments.</w:t>
      </w:r>
    </w:p>
    <w:p w:rsidR="00000000" w:rsidDel="00000000" w:rsidP="00000000" w:rsidRDefault="00000000" w:rsidRPr="00000000" w14:paraId="0000010F">
      <w:pPr>
        <w:spacing w:before="5" w:lineRule="auto"/>
        <w:ind w:left="115" w:firstLine="0"/>
        <w:rPr>
          <w:rFonts w:ascii="Book Antiqua" w:cs="Book Antiqua" w:eastAsia="Book Antiqua" w:hAnsi="Book Antiqua"/>
          <w:sz w:val="40"/>
          <w:szCs w:val="40"/>
        </w:rPr>
        <w:sectPr>
          <w:footerReference r:id="rId40" w:type="default"/>
          <w:type w:val="nextPage"/>
          <w:pgSz w:h="15840" w:w="12240" w:orient="portrait"/>
          <w:pgMar w:bottom="1820" w:top="1400" w:left="1320" w:right="1360" w:header="0" w:footer="1630"/>
          <w:pgNumType w:start="17"/>
        </w:sectPr>
      </w:pPr>
      <w:r w:rsidDel="00000000" w:rsidR="00000000" w:rsidRPr="00000000">
        <w:rPr>
          <w:rFonts w:ascii="Book Antiqua" w:cs="Book Antiqua" w:eastAsia="Book Antiqua" w:hAnsi="Book Antiqua"/>
          <w:sz w:val="40"/>
          <w:szCs w:val="40"/>
          <w:vertAlign w:val="superscript"/>
          <w:rtl w:val="0"/>
        </w:rPr>
        <w:t xml:space="preserve">53</w:t>
      </w:r>
      <w:r w:rsidDel="00000000" w:rsidR="00000000" w:rsidRPr="00000000">
        <w:rPr>
          <w:rFonts w:ascii="Book Antiqua" w:cs="Book Antiqua" w:eastAsia="Book Antiqua" w:hAnsi="Book Antiqua"/>
          <w:sz w:val="40"/>
          <w:szCs w:val="40"/>
          <w:rtl w:val="0"/>
        </w:rPr>
        <w:t xml:space="preserve"> </w:t>
      </w:r>
      <w:r w:rsidDel="00000000" w:rsidR="00000000" w:rsidRPr="00000000">
        <w:rPr>
          <w:rFonts w:ascii="Book Antiqua" w:cs="Book Antiqua" w:eastAsia="Book Antiqua" w:hAnsi="Book Antiqua"/>
          <w:i w:val="1"/>
          <w:sz w:val="40"/>
          <w:szCs w:val="40"/>
          <w:rtl w:val="0"/>
        </w:rPr>
        <w:t xml:space="preserve">The Retirement Benefits Act</w:t>
      </w:r>
      <w:r w:rsidDel="00000000" w:rsidR="00000000" w:rsidRPr="00000000">
        <w:rPr>
          <w:rFonts w:ascii="Book Antiqua" w:cs="Book Antiqua" w:eastAsia="Book Antiqua" w:hAnsi="Book Antiqua"/>
          <w:sz w:val="40"/>
          <w:szCs w:val="40"/>
          <w:rtl w:val="0"/>
        </w:rPr>
        <w:t xml:space="preserve">, CAP 197, the long title.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15" w:right="0"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Authority or the chief executive officer</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55</w:t>
      </w:r>
      <w:r w:rsidDel="00000000" w:rsidR="00000000" w:rsidRPr="00000000">
        <w:rPr>
          <w:rtl w:val="0"/>
        </w:rPr>
      </w:r>
    </w:p>
    <w:p w:rsidR="00000000" w:rsidDel="00000000" w:rsidP="00000000" w:rsidRDefault="00000000" w:rsidRPr="00000000" w14:paraId="00000111">
      <w:pPr>
        <w:pStyle w:val="Heading1"/>
        <w:numPr>
          <w:ilvl w:val="3"/>
          <w:numId w:val="12"/>
        </w:numPr>
        <w:tabs>
          <w:tab w:val="left" w:leader="none" w:pos="833"/>
        </w:tabs>
        <w:spacing w:before="143"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Consumer Compensation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2" w:lineRule="auto"/>
        <w:ind w:left="115" w:right="1039"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 Act, just like the banking Act, does not have elaborate dispute resolution mechanisms in place.</w:t>
      </w:r>
    </w:p>
    <w:p w:rsidR="00000000" w:rsidDel="00000000" w:rsidP="00000000" w:rsidRDefault="00000000" w:rsidRPr="00000000" w14:paraId="00000113">
      <w:pPr>
        <w:pStyle w:val="Heading1"/>
        <w:numPr>
          <w:ilvl w:val="3"/>
          <w:numId w:val="12"/>
        </w:numPr>
        <w:tabs>
          <w:tab w:val="left" w:leader="none" w:pos="833"/>
        </w:tabs>
        <w:spacing w:line="293.00000000000006" w:lineRule="auto"/>
        <w:ind w:left="832" w:hanging="359"/>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General Financial System Stability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Section 18 of the Act provides that the Authority may invest any of its funds in securities which for the time being trustees may by law invest trust funds or in any other securities which the treasury may from time to time approve. The authority is also required to keep all proper books and records of account of the income expenditure and assets of the authority</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56</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There are also stringent requirements that one has to meet before being registered as a manager of a scheme notably that the applicant must be a company whose liability is limited by shares and has a minimum paid up capital as may be prescribed</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superscript"/>
          <w:rtl w:val="0"/>
        </w:rPr>
        <w:t xml:space="preserve">57</w:t>
      </w:r>
      <w:r w:rsidDel="00000000" w:rsidR="00000000" w:rsidRPr="00000000">
        <w:rPr>
          <w:rFonts w:ascii="Book Antiqua" w:cs="Book Antiqua" w:eastAsia="Book Antiqua" w:hAnsi="Book Antiqua"/>
          <w:b w:val="0"/>
          <w:i w:val="0"/>
          <w:smallCaps w:val="0"/>
          <w:strike w:val="0"/>
          <w:color w:val="000000"/>
          <w:sz w:val="40"/>
          <w:szCs w:val="40"/>
          <w:u w:val="none"/>
          <w:shd w:fill="auto" w:val="clear"/>
          <w:vertAlign w:val="baseline"/>
          <w:rtl w:val="0"/>
        </w:rPr>
        <w:t xml:space="preserve">. Section 26(1) (b) prohibits a person from acting as a trustee if such a person has been adjudged bankrupt.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Book Antiqua" w:cs="Book Antiqua" w:eastAsia="Book Antiqua" w:hAnsi="Book Antiqua"/>
          <w:b w:val="0"/>
          <w:i w:val="0"/>
          <w:smallCaps w:val="0"/>
          <w:strike w:val="0"/>
          <w:color w:val="000000"/>
          <w:sz w:val="40"/>
          <w:szCs w:val="40"/>
          <w:u w:val="none"/>
          <w:shd w:fill="auto" w:val="clear"/>
          <w:vertAlign w:val="baseline"/>
        </w:rPr>
        <w:sectPr>
          <w:footerReference r:id="rId41" w:type="default"/>
          <w:type w:val="nextPage"/>
          <w:pgSz w:h="15840" w:w="12240" w:orient="portrait"/>
          <w:pgMar w:bottom="1220" w:top="1360" w:left="1320" w:right="1360" w:header="0" w:footer="1035"/>
          <w:pgNumType w:start="1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8890" cy="12700"/>
                <wp:effectExtent b="0" l="0" r="0" t="0"/>
                <wp:wrapTopAndBottom distB="0" distT="0"/>
                <wp:docPr id="40" name=""/>
                <a:graphic>
                  <a:graphicData uri="http://schemas.microsoft.com/office/word/2010/wordprocessingShape">
                    <wps:wsp>
                      <wps:cNvSpPr/>
                      <wps:cNvPr id="12" name="Shape 12"/>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8890" cy="12700"/>
                <wp:effectExtent b="0" l="0" r="0" t="0"/>
                <wp:wrapTopAndBottom distB="0" distT="0"/>
                <wp:docPr id="40" name="image11.png"/>
                <a:graphic>
                  <a:graphicData uri="http://schemas.openxmlformats.org/drawingml/2006/picture">
                    <pic:pic>
                      <pic:nvPicPr>
                        <pic:cNvPr id="0" name="image11.png"/>
                        <pic:cNvPicPr preferRelativeResize="0"/>
                      </pic:nvPicPr>
                      <pic:blipFill>
                        <a:blip r:embed="rId42"/>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12F">
      <w:pPr>
        <w:pStyle w:val="Heading2"/>
        <w:shd w:fill="ffffff" w:val="clear"/>
        <w:spacing w:before="0" w:lineRule="auto"/>
        <w:rPr>
          <w:rFonts w:ascii="Book Antiqua" w:cs="Book Antiqua" w:eastAsia="Book Antiqua" w:hAnsi="Book Antiqua"/>
          <w:b w:val="1"/>
          <w:color w:val="2c3e50"/>
          <w:sz w:val="40"/>
          <w:szCs w:val="40"/>
        </w:rPr>
      </w:pPr>
      <w:bookmarkStart w:colFirst="0" w:colLast="0" w:name="_heading=h.26in1rg" w:id="12"/>
      <w:bookmarkEnd w:id="12"/>
      <w:r w:rsidDel="00000000" w:rsidR="00000000" w:rsidRPr="00000000">
        <w:rPr>
          <w:rtl w:val="0"/>
        </w:rPr>
      </w:r>
    </w:p>
    <w:p w:rsidR="00000000" w:rsidDel="00000000" w:rsidP="00000000" w:rsidRDefault="00000000" w:rsidRPr="00000000" w14:paraId="00000130">
      <w:pPr>
        <w:pStyle w:val="Heading2"/>
        <w:shd w:fill="ffffff" w:val="clear"/>
        <w:spacing w:before="0" w:lineRule="auto"/>
        <w:rPr>
          <w:rFonts w:ascii="Book Antiqua" w:cs="Book Antiqua" w:eastAsia="Book Antiqua" w:hAnsi="Book Antiqua"/>
          <w:b w:val="1"/>
          <w:color w:val="2c3e50"/>
          <w:sz w:val="40"/>
          <w:szCs w:val="40"/>
        </w:rPr>
      </w:pPr>
      <w:r w:rsidDel="00000000" w:rsidR="00000000" w:rsidRPr="00000000">
        <w:rPr>
          <w:rtl w:val="0"/>
        </w:rPr>
      </w:r>
    </w:p>
    <w:p w:rsidR="00000000" w:rsidDel="00000000" w:rsidP="00000000" w:rsidRDefault="00000000" w:rsidRPr="00000000" w14:paraId="00000131">
      <w:pPr>
        <w:pStyle w:val="Heading2"/>
        <w:shd w:fill="ffffff" w:val="clear"/>
        <w:spacing w:before="0" w:lineRule="auto"/>
        <w:rPr>
          <w:rFonts w:ascii="Book Antiqua" w:cs="Book Antiqua" w:eastAsia="Book Antiqua" w:hAnsi="Book Antiqua"/>
          <w:b w:val="1"/>
          <w:color w:val="2c3e50"/>
          <w:sz w:val="40"/>
          <w:szCs w:val="40"/>
        </w:rPr>
      </w:pPr>
      <w:hyperlink r:id="rId43">
        <w:r w:rsidDel="00000000" w:rsidR="00000000" w:rsidRPr="00000000">
          <w:rPr>
            <w:rFonts w:ascii="Book Antiqua" w:cs="Book Antiqua" w:eastAsia="Book Antiqua" w:hAnsi="Book Antiqua"/>
            <w:b w:val="1"/>
            <w:color w:val="2c3e50"/>
            <w:sz w:val="40"/>
            <w:szCs w:val="40"/>
            <w:u w:val="single"/>
            <w:rtl w:val="0"/>
          </w:rPr>
          <w:t xml:space="preserve">Kenya’s Data Protection Act – An Overview</w:t>
        </w:r>
      </w:hyperlink>
      <w:r w:rsidDel="00000000" w:rsidR="00000000" w:rsidRPr="00000000">
        <w:rPr>
          <w:rtl w:val="0"/>
        </w:rPr>
      </w:r>
    </w:p>
    <w:p w:rsidR="00000000" w:rsidDel="00000000" w:rsidP="00000000" w:rsidRDefault="00000000" w:rsidRPr="00000000" w14:paraId="00000132">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3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Introduction</w:t>
      </w:r>
      <w:r w:rsidDel="00000000" w:rsidR="00000000" w:rsidRPr="00000000">
        <w:rPr>
          <w:rtl w:val="0"/>
        </w:rPr>
      </w:r>
    </w:p>
    <w:p w:rsidR="00000000" w:rsidDel="00000000" w:rsidP="00000000" w:rsidRDefault="00000000" w:rsidRPr="00000000" w14:paraId="00000134">
      <w:pPr>
        <w:widowControl w:val="1"/>
        <w:shd w:fill="ffffff" w:val="clear"/>
        <w:rPr>
          <w:rFonts w:ascii="Book Antiqua" w:cs="Book Antiqua" w:eastAsia="Book Antiqua" w:hAnsi="Book Antiqua"/>
          <w:color w:val="000000"/>
          <w:sz w:val="40"/>
          <w:szCs w:val="40"/>
        </w:rPr>
      </w:pPr>
      <w:bookmarkStart w:colFirst="0" w:colLast="0" w:name="_heading=h.lnxbz9" w:id="13"/>
      <w:bookmarkEnd w:id="13"/>
      <w:r w:rsidDel="00000000" w:rsidR="00000000" w:rsidRPr="00000000">
        <w:rPr>
          <w:rFonts w:ascii="Book Antiqua" w:cs="Book Antiqua" w:eastAsia="Book Antiqua" w:hAnsi="Book Antiqua"/>
          <w:color w:val="000000"/>
          <w:sz w:val="40"/>
          <w:szCs w:val="40"/>
          <w:rtl w:val="0"/>
        </w:rPr>
        <w:t xml:space="preserve">Kenya enacted the Data Protection Act, 2019 (hereinafter, the “</w:t>
      </w:r>
      <w:r w:rsidDel="00000000" w:rsidR="00000000" w:rsidRPr="00000000">
        <w:rPr>
          <w:rFonts w:ascii="Book Antiqua" w:cs="Book Antiqua" w:eastAsia="Book Antiqua" w:hAnsi="Book Antiqua"/>
          <w:b w:val="1"/>
          <w:color w:val="000000"/>
          <w:sz w:val="40"/>
          <w:szCs w:val="40"/>
          <w:rtl w:val="0"/>
        </w:rPr>
        <w:t xml:space="preserve">Act</w:t>
      </w:r>
      <w:r w:rsidDel="00000000" w:rsidR="00000000" w:rsidRPr="00000000">
        <w:rPr>
          <w:rFonts w:ascii="Book Antiqua" w:cs="Book Antiqua" w:eastAsia="Book Antiqua" w:hAnsi="Book Antiqua"/>
          <w:color w:val="000000"/>
          <w:sz w:val="40"/>
          <w:szCs w:val="40"/>
          <w:rtl w:val="0"/>
        </w:rPr>
        <w:t xml:space="preserve">”) in November 2019. It is a comprehensive statute that governs the collection, processing and storage of personal data by government and private actors. It establishes an ecosystem of rights and obligations that operationalises the right to privacy enshrined in the Kenyan Constitution. The immediate context for the Act lies in the legal challenge to the Kenyan government’s </w:t>
      </w:r>
      <w:hyperlink r:id="rId44">
        <w:r w:rsidDel="00000000" w:rsidR="00000000" w:rsidRPr="00000000">
          <w:rPr>
            <w:rFonts w:ascii="Book Antiqua" w:cs="Book Antiqua" w:eastAsia="Book Antiqua" w:hAnsi="Book Antiqua"/>
            <w:color w:val="ee2a7b"/>
            <w:sz w:val="40"/>
            <w:szCs w:val="40"/>
            <w:u w:val="single"/>
            <w:rtl w:val="0"/>
          </w:rPr>
          <w:t xml:space="preserve">Huduma Namba</w:t>
        </w:r>
      </w:hyperlink>
      <w:r w:rsidDel="00000000" w:rsidR="00000000" w:rsidRPr="00000000">
        <w:rPr>
          <w:rFonts w:ascii="Book Antiqua" w:cs="Book Antiqua" w:eastAsia="Book Antiqua" w:hAnsi="Book Antiqua"/>
          <w:color w:val="000000"/>
          <w:sz w:val="40"/>
          <w:szCs w:val="40"/>
          <w:rtl w:val="0"/>
        </w:rPr>
        <w:t xml:space="preserve"> digital identity program. In its interim judgement, the Kenyan High Court had noted the absence of a specific, robust data protection legislation in the country – thus giving rise to the Act. </w:t>
      </w:r>
    </w:p>
    <w:p w:rsidR="00000000" w:rsidDel="00000000" w:rsidP="00000000" w:rsidRDefault="00000000" w:rsidRPr="00000000" w14:paraId="00000135">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36">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Scope</w:t>
      </w:r>
      <w:r w:rsidDel="00000000" w:rsidR="00000000" w:rsidRPr="00000000">
        <w:rPr>
          <w:rtl w:val="0"/>
        </w:rPr>
      </w:r>
    </w:p>
    <w:p w:rsidR="00000000" w:rsidDel="00000000" w:rsidP="00000000" w:rsidRDefault="00000000" w:rsidRPr="00000000" w14:paraId="00000137">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regulates the collection, use, storage and sharing of personal data of natural persons. Like the EU General Data Protection Regulation (“</w:t>
      </w:r>
      <w:r w:rsidDel="00000000" w:rsidR="00000000" w:rsidRPr="00000000">
        <w:rPr>
          <w:rFonts w:ascii="Book Antiqua" w:cs="Book Antiqua" w:eastAsia="Book Antiqua" w:hAnsi="Book Antiqua"/>
          <w:b w:val="1"/>
          <w:color w:val="000000"/>
          <w:sz w:val="40"/>
          <w:szCs w:val="40"/>
          <w:rtl w:val="0"/>
        </w:rPr>
        <w:t xml:space="preserve">GDPR</w:t>
      </w:r>
      <w:r w:rsidDel="00000000" w:rsidR="00000000" w:rsidRPr="00000000">
        <w:rPr>
          <w:rFonts w:ascii="Book Antiqua" w:cs="Book Antiqua" w:eastAsia="Book Antiqua" w:hAnsi="Book Antiqua"/>
          <w:color w:val="000000"/>
          <w:sz w:val="40"/>
          <w:szCs w:val="40"/>
          <w:rtl w:val="0"/>
        </w:rPr>
        <w:t xml:space="preserve">”) and India’s Personal Data Protection Bill, the Act uses the umbrella term ‘processing’. The processing of data by data processors and data controllers through both automated and non-automated means is expressly covered by the Act.</w:t>
      </w:r>
    </w:p>
    <w:p w:rsidR="00000000" w:rsidDel="00000000" w:rsidP="00000000" w:rsidRDefault="00000000" w:rsidRPr="00000000" w14:paraId="00000138">
      <w:pPr>
        <w:widowControl w:val="1"/>
        <w:shd w:fill="ffffff" w:val="clear"/>
        <w:rPr>
          <w:rFonts w:ascii="Book Antiqua" w:cs="Book Antiqua" w:eastAsia="Book Antiqua" w:hAnsi="Book Antiqua"/>
          <w:color w:val="000000"/>
          <w:sz w:val="40"/>
          <w:szCs w:val="40"/>
        </w:rPr>
      </w:pPr>
      <w:hyperlink r:id="rId45">
        <w:r w:rsidDel="00000000" w:rsidR="00000000" w:rsidRPr="00000000">
          <w:rPr>
            <w:rFonts w:ascii="Book Antiqua" w:cs="Book Antiqua" w:eastAsia="Book Antiqua" w:hAnsi="Book Antiqua"/>
            <w:color w:val="ee2a7b"/>
            <w:sz w:val="40"/>
            <w:szCs w:val="40"/>
            <w:u w:val="single"/>
            <w:rtl w:val="0"/>
          </w:rPr>
          <w:t xml:space="preserve">[3]</w:t>
        </w:r>
      </w:hyperlink>
      <w:r w:rsidDel="00000000" w:rsidR="00000000" w:rsidRPr="00000000">
        <w:rPr>
          <w:rFonts w:ascii="Book Antiqua" w:cs="Book Antiqua" w:eastAsia="Book Antiqua" w:hAnsi="Book Antiqua"/>
          <w:color w:val="000000"/>
          <w:sz w:val="40"/>
          <w:szCs w:val="40"/>
          <w:rtl w:val="0"/>
        </w:rPr>
        <w:t xml:space="preserve"> Further, the Act is extra-territorial in scope.</w:t>
      </w:r>
    </w:p>
    <w:p w:rsidR="00000000" w:rsidDel="00000000" w:rsidP="00000000" w:rsidRDefault="00000000" w:rsidRPr="00000000" w14:paraId="00000139">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3A">
      <w:pPr>
        <w:widowControl w:val="1"/>
        <w:shd w:fill="ffffff" w:val="clear"/>
        <w:rPr>
          <w:rFonts w:ascii="Book Antiqua" w:cs="Book Antiqua" w:eastAsia="Book Antiqua" w:hAnsi="Book Antiqua"/>
          <w:color w:val="000000"/>
          <w:sz w:val="40"/>
          <w:szCs w:val="40"/>
        </w:rPr>
      </w:pPr>
      <w:hyperlink r:id="rId46">
        <w:r w:rsidDel="00000000" w:rsidR="00000000" w:rsidRPr="00000000">
          <w:rPr>
            <w:rFonts w:ascii="Book Antiqua" w:cs="Book Antiqua" w:eastAsia="Book Antiqua" w:hAnsi="Book Antiqua"/>
            <w:color w:val="ee2a7b"/>
            <w:sz w:val="40"/>
            <w:szCs w:val="40"/>
            <w:u w:val="single"/>
            <w:rtl w:val="0"/>
          </w:rPr>
          <w:t xml:space="preserve">[4]</w:t>
        </w:r>
      </w:hyperlink>
      <w:r w:rsidDel="00000000" w:rsidR="00000000" w:rsidRPr="00000000">
        <w:rPr>
          <w:rFonts w:ascii="Book Antiqua" w:cs="Book Antiqua" w:eastAsia="Book Antiqua" w:hAnsi="Book Antiqua"/>
          <w:color w:val="000000"/>
          <w:sz w:val="40"/>
          <w:szCs w:val="40"/>
          <w:rtl w:val="0"/>
        </w:rPr>
        <w:t xml:space="preserve"> It applies to both resident and non-resident data processors and controllers, so long as it is a Kenyan data subject’s data that is being processed.</w:t>
      </w:r>
    </w:p>
    <w:p w:rsidR="00000000" w:rsidDel="00000000" w:rsidP="00000000" w:rsidRDefault="00000000" w:rsidRPr="00000000" w14:paraId="0000013B">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3C">
      <w:pPr>
        <w:widowControl w:val="1"/>
        <w:shd w:fill="ffffff" w:val="clear"/>
        <w:rPr>
          <w:rFonts w:ascii="Book Antiqua" w:cs="Book Antiqua" w:eastAsia="Book Antiqua" w:hAnsi="Book Antiqua"/>
          <w:color w:val="000000"/>
          <w:sz w:val="40"/>
          <w:szCs w:val="40"/>
        </w:rPr>
      </w:pPr>
      <w:hyperlink r:id="rId47">
        <w:r w:rsidDel="00000000" w:rsidR="00000000" w:rsidRPr="00000000">
          <w:rPr>
            <w:rFonts w:ascii="Book Antiqua" w:cs="Book Antiqua" w:eastAsia="Book Antiqua" w:hAnsi="Book Antiqua"/>
            <w:color w:val="ee2a7b"/>
            <w:sz w:val="40"/>
            <w:szCs w:val="40"/>
            <w:u w:val="single"/>
            <w:rtl w:val="0"/>
          </w:rPr>
          <w:t xml:space="preserve">[5]</w:t>
        </w:r>
      </w:hyperlink>
      <w:r w:rsidDel="00000000" w:rsidR="00000000" w:rsidRPr="00000000">
        <w:rPr>
          <w:rFonts w:ascii="Book Antiqua" w:cs="Book Antiqua" w:eastAsia="Book Antiqua" w:hAnsi="Book Antiqua"/>
          <w:color w:val="000000"/>
          <w:sz w:val="40"/>
          <w:szCs w:val="40"/>
          <w:rtl w:val="0"/>
        </w:rPr>
        <w:t xml:space="preserve"> As indicated above, the Act governs two kinds of entities – data controllers and processors. Data controllers are defined as natural or legal persons that determine the purpose and means of processing of personal data.</w:t>
      </w:r>
    </w:p>
    <w:p w:rsidR="00000000" w:rsidDel="00000000" w:rsidP="00000000" w:rsidRDefault="00000000" w:rsidRPr="00000000" w14:paraId="0000013D">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3E">
      <w:pPr>
        <w:widowControl w:val="1"/>
        <w:shd w:fill="ffffff" w:val="clear"/>
        <w:rPr>
          <w:rFonts w:ascii="Book Antiqua" w:cs="Book Antiqua" w:eastAsia="Book Antiqua" w:hAnsi="Book Antiqua"/>
          <w:color w:val="000000"/>
          <w:sz w:val="40"/>
          <w:szCs w:val="40"/>
        </w:rPr>
      </w:pPr>
      <w:hyperlink r:id="rId48">
        <w:r w:rsidDel="00000000" w:rsidR="00000000" w:rsidRPr="00000000">
          <w:rPr>
            <w:rFonts w:ascii="Book Antiqua" w:cs="Book Antiqua" w:eastAsia="Book Antiqua" w:hAnsi="Book Antiqua"/>
            <w:color w:val="ee2a7b"/>
            <w:sz w:val="40"/>
            <w:szCs w:val="40"/>
            <w:u w:val="single"/>
            <w:rtl w:val="0"/>
          </w:rPr>
          <w:t xml:space="preserve">[6]</w:t>
        </w:r>
      </w:hyperlink>
      <w:r w:rsidDel="00000000" w:rsidR="00000000" w:rsidRPr="00000000">
        <w:rPr>
          <w:rFonts w:ascii="Book Antiqua" w:cs="Book Antiqua" w:eastAsia="Book Antiqua" w:hAnsi="Book Antiqua"/>
          <w:color w:val="000000"/>
          <w:sz w:val="40"/>
          <w:szCs w:val="40"/>
          <w:rtl w:val="0"/>
        </w:rPr>
        <w:t xml:space="preserve"> Data processors are natural or legal persons that process personal data on behalf of the data controller</w:t>
      </w:r>
    </w:p>
    <w:p w:rsidR="00000000" w:rsidDel="00000000" w:rsidP="00000000" w:rsidRDefault="00000000" w:rsidRPr="00000000" w14:paraId="0000013F">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w:t>
      </w:r>
      <w:hyperlink r:id="rId49">
        <w:r w:rsidDel="00000000" w:rsidR="00000000" w:rsidRPr="00000000">
          <w:rPr>
            <w:rFonts w:ascii="Book Antiqua" w:cs="Book Antiqua" w:eastAsia="Book Antiqua" w:hAnsi="Book Antiqua"/>
            <w:color w:val="ee2a7b"/>
            <w:sz w:val="40"/>
            <w:szCs w:val="40"/>
            <w:u w:val="single"/>
            <w:rtl w:val="0"/>
          </w:rPr>
          <w:t xml:space="preserve">[7]</w:t>
        </w:r>
      </w:hyperlink>
      <w:r w:rsidDel="00000000" w:rsidR="00000000" w:rsidRPr="00000000">
        <w:rPr>
          <w:rFonts w:ascii="Book Antiqua" w:cs="Book Antiqua" w:eastAsia="Book Antiqua" w:hAnsi="Book Antiqua"/>
          <w:color w:val="000000"/>
          <w:sz w:val="40"/>
          <w:szCs w:val="40"/>
          <w:rtl w:val="0"/>
        </w:rPr>
        <w:t xml:space="preserve"> While the definitions are quite similar to the GDPR, the Act places several data protection obligations on both controllers and processors equally, unlike the GDPR and other frameworks that only hold data processors responsible for security and other limited requirements. The Act also requires both controllers and processors to register with the Data Protection Commissioner,</w:t>
      </w:r>
      <w:hyperlink r:id="rId50">
        <w:r w:rsidDel="00000000" w:rsidR="00000000" w:rsidRPr="00000000">
          <w:rPr>
            <w:rFonts w:ascii="Book Antiqua" w:cs="Book Antiqua" w:eastAsia="Book Antiqua" w:hAnsi="Book Antiqua"/>
            <w:color w:val="ee2a7b"/>
            <w:sz w:val="40"/>
            <w:szCs w:val="40"/>
            <w:u w:val="single"/>
            <w:rtl w:val="0"/>
          </w:rPr>
          <w:t xml:space="preserve">[8]</w:t>
        </w:r>
      </w:hyperlink>
      <w:r w:rsidDel="00000000" w:rsidR="00000000" w:rsidRPr="00000000">
        <w:rPr>
          <w:rFonts w:ascii="Book Antiqua" w:cs="Book Antiqua" w:eastAsia="Book Antiqua" w:hAnsi="Book Antiqua"/>
          <w:color w:val="000000"/>
          <w:sz w:val="40"/>
          <w:szCs w:val="40"/>
          <w:rtl w:val="0"/>
        </w:rPr>
        <w:t xml:space="preserve"> an office responsible for the implementation and enforcement of the Act.</w:t>
      </w:r>
      <w:hyperlink r:id="rId51">
        <w:r w:rsidDel="00000000" w:rsidR="00000000" w:rsidRPr="00000000">
          <w:rPr>
            <w:rFonts w:ascii="Book Antiqua" w:cs="Book Antiqua" w:eastAsia="Book Antiqua" w:hAnsi="Book Antiqua"/>
            <w:color w:val="ee2a7b"/>
            <w:sz w:val="40"/>
            <w:szCs w:val="40"/>
            <w:u w:val="single"/>
            <w:rtl w:val="0"/>
          </w:rPr>
          <w:t xml:space="preserve">[9]</w:t>
        </w:r>
      </w:hyperlink>
      <w:r w:rsidDel="00000000" w:rsidR="00000000" w:rsidRPr="00000000">
        <w:rPr>
          <w:rtl w:val="0"/>
        </w:rPr>
      </w:r>
    </w:p>
    <w:p w:rsidR="00000000" w:rsidDel="00000000" w:rsidP="00000000" w:rsidRDefault="00000000" w:rsidRPr="00000000" w14:paraId="00000140">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41">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42">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Data Protection Principles and Obligations</w:t>
      </w:r>
      <w:r w:rsidDel="00000000" w:rsidR="00000000" w:rsidRPr="00000000">
        <w:rPr>
          <w:rtl w:val="0"/>
        </w:rPr>
      </w:r>
    </w:p>
    <w:p w:rsidR="00000000" w:rsidDel="00000000" w:rsidP="00000000" w:rsidRDefault="00000000" w:rsidRPr="00000000" w14:paraId="0000014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Processing of personal data must be in accordance with the consent of the data subject and the specific purpose for which the data was collected.</w:t>
      </w:r>
    </w:p>
    <w:p w:rsidR="00000000" w:rsidDel="00000000" w:rsidP="00000000" w:rsidRDefault="00000000" w:rsidRPr="00000000" w14:paraId="00000144">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5">
      <w:pPr>
        <w:widowControl w:val="1"/>
        <w:shd w:fill="ffffff" w:val="clear"/>
        <w:rPr>
          <w:rFonts w:ascii="Book Antiqua" w:cs="Book Antiqua" w:eastAsia="Book Antiqua" w:hAnsi="Book Antiqua"/>
          <w:color w:val="000000"/>
          <w:sz w:val="40"/>
          <w:szCs w:val="40"/>
        </w:rPr>
      </w:pPr>
      <w:hyperlink r:id="rId52">
        <w:r w:rsidDel="00000000" w:rsidR="00000000" w:rsidRPr="00000000">
          <w:rPr>
            <w:rFonts w:ascii="Book Antiqua" w:cs="Book Antiqua" w:eastAsia="Book Antiqua" w:hAnsi="Book Antiqua"/>
            <w:color w:val="ee2a7b"/>
            <w:sz w:val="40"/>
            <w:szCs w:val="40"/>
            <w:u w:val="single"/>
            <w:rtl w:val="0"/>
          </w:rPr>
          <w:t xml:space="preserve">[10]</w:t>
        </w:r>
      </w:hyperlink>
      <w:r w:rsidDel="00000000" w:rsidR="00000000" w:rsidRPr="00000000">
        <w:rPr>
          <w:rFonts w:ascii="Book Antiqua" w:cs="Book Antiqua" w:eastAsia="Book Antiqua" w:hAnsi="Book Antiqua"/>
          <w:color w:val="000000"/>
          <w:sz w:val="40"/>
          <w:szCs w:val="40"/>
          <w:rtl w:val="0"/>
        </w:rPr>
        <w:t xml:space="preserve"> Any additional purposes will require fresh consent. The Act requires consent to be free, unequivocal, express and informed.</w:t>
      </w:r>
    </w:p>
    <w:p w:rsidR="00000000" w:rsidDel="00000000" w:rsidP="00000000" w:rsidRDefault="00000000" w:rsidRPr="00000000" w14:paraId="00000146">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7">
      <w:pPr>
        <w:widowControl w:val="1"/>
        <w:shd w:fill="ffffff" w:val="clear"/>
        <w:rPr>
          <w:rFonts w:ascii="Book Antiqua" w:cs="Book Antiqua" w:eastAsia="Book Antiqua" w:hAnsi="Book Antiqua"/>
          <w:color w:val="000000"/>
          <w:sz w:val="40"/>
          <w:szCs w:val="40"/>
        </w:rPr>
      </w:pPr>
      <w:hyperlink r:id="rId53">
        <w:r w:rsidDel="00000000" w:rsidR="00000000" w:rsidRPr="00000000">
          <w:rPr>
            <w:rFonts w:ascii="Book Antiqua" w:cs="Book Antiqua" w:eastAsia="Book Antiqua" w:hAnsi="Book Antiqua"/>
            <w:color w:val="ee2a7b"/>
            <w:sz w:val="40"/>
            <w:szCs w:val="40"/>
            <w:u w:val="single"/>
            <w:rtl w:val="0"/>
          </w:rPr>
          <w:t xml:space="preserve">[11]</w:t>
        </w:r>
      </w:hyperlink>
      <w:r w:rsidDel="00000000" w:rsidR="00000000" w:rsidRPr="00000000">
        <w:rPr>
          <w:rFonts w:ascii="Book Antiqua" w:cs="Book Antiqua" w:eastAsia="Book Antiqua" w:hAnsi="Book Antiqua"/>
          <w:color w:val="000000"/>
          <w:sz w:val="40"/>
          <w:szCs w:val="40"/>
          <w:rtl w:val="0"/>
        </w:rPr>
        <w:t xml:space="preserve"> Therefore, implicit consent would not qualify. Further, since the burden to prove consent is on the data controller or processor,</w:t>
      </w:r>
    </w:p>
    <w:p w:rsidR="00000000" w:rsidDel="00000000" w:rsidP="00000000" w:rsidRDefault="00000000" w:rsidRPr="00000000" w14:paraId="00000148">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9">
      <w:pPr>
        <w:widowControl w:val="1"/>
        <w:shd w:fill="ffffff" w:val="clear"/>
        <w:rPr>
          <w:rFonts w:ascii="Book Antiqua" w:cs="Book Antiqua" w:eastAsia="Book Antiqua" w:hAnsi="Book Antiqua"/>
          <w:color w:val="000000"/>
          <w:sz w:val="40"/>
          <w:szCs w:val="40"/>
        </w:rPr>
      </w:pPr>
      <w:hyperlink r:id="rId54">
        <w:r w:rsidDel="00000000" w:rsidR="00000000" w:rsidRPr="00000000">
          <w:rPr>
            <w:rFonts w:ascii="Book Antiqua" w:cs="Book Antiqua" w:eastAsia="Book Antiqua" w:hAnsi="Book Antiqua"/>
            <w:color w:val="ee2a7b"/>
            <w:sz w:val="40"/>
            <w:szCs w:val="40"/>
            <w:u w:val="single"/>
            <w:rtl w:val="0"/>
          </w:rPr>
          <w:t xml:space="preserve">[12]</w:t>
        </w:r>
      </w:hyperlink>
      <w:r w:rsidDel="00000000" w:rsidR="00000000" w:rsidRPr="00000000">
        <w:rPr>
          <w:rFonts w:ascii="Book Antiqua" w:cs="Book Antiqua" w:eastAsia="Book Antiqua" w:hAnsi="Book Antiqua"/>
          <w:color w:val="000000"/>
          <w:sz w:val="40"/>
          <w:szCs w:val="40"/>
          <w:rtl w:val="0"/>
        </w:rPr>
        <w:t xml:space="preserve"> it creates the incentive to set up accessible frameworks for obtaining such consent. This consent can generally be withdrawn at any time by the data subject.</w:t>
      </w:r>
    </w:p>
    <w:p w:rsidR="00000000" w:rsidDel="00000000" w:rsidP="00000000" w:rsidRDefault="00000000" w:rsidRPr="00000000" w14:paraId="0000014A">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B">
      <w:pPr>
        <w:widowControl w:val="1"/>
        <w:shd w:fill="ffffff" w:val="clear"/>
        <w:rPr>
          <w:rFonts w:ascii="Book Antiqua" w:cs="Book Antiqua" w:eastAsia="Book Antiqua" w:hAnsi="Book Antiqua"/>
          <w:color w:val="000000"/>
          <w:sz w:val="40"/>
          <w:szCs w:val="40"/>
        </w:rPr>
      </w:pPr>
      <w:hyperlink r:id="rId55">
        <w:r w:rsidDel="00000000" w:rsidR="00000000" w:rsidRPr="00000000">
          <w:rPr>
            <w:rFonts w:ascii="Book Antiqua" w:cs="Book Antiqua" w:eastAsia="Book Antiqua" w:hAnsi="Book Antiqua"/>
            <w:color w:val="ee2a7b"/>
            <w:sz w:val="40"/>
            <w:szCs w:val="40"/>
            <w:u w:val="single"/>
            <w:rtl w:val="0"/>
          </w:rPr>
          <w:t xml:space="preserve">[13]</w:t>
        </w:r>
      </w:hyperlink>
      <w:r w:rsidDel="00000000" w:rsidR="00000000" w:rsidRPr="00000000">
        <w:rPr>
          <w:rFonts w:ascii="Book Antiqua" w:cs="Book Antiqua" w:eastAsia="Book Antiqua" w:hAnsi="Book Antiqua"/>
          <w:color w:val="000000"/>
          <w:sz w:val="40"/>
          <w:szCs w:val="40"/>
          <w:rtl w:val="0"/>
        </w:rPr>
        <w:t xml:space="preserve"> Further, personal data is required to be processed in accordance with the right to privacy,</w:t>
      </w:r>
      <w:hyperlink r:id="rId56">
        <w:r w:rsidDel="00000000" w:rsidR="00000000" w:rsidRPr="00000000">
          <w:rPr>
            <w:rFonts w:ascii="Book Antiqua" w:cs="Book Antiqua" w:eastAsia="Book Antiqua" w:hAnsi="Book Antiqua"/>
            <w:color w:val="ee2a7b"/>
            <w:sz w:val="40"/>
            <w:szCs w:val="40"/>
            <w:u w:val="single"/>
            <w:rtl w:val="0"/>
          </w:rPr>
          <w:t xml:space="preserve">[14]</w:t>
        </w:r>
      </w:hyperlink>
      <w:r w:rsidDel="00000000" w:rsidR="00000000" w:rsidRPr="00000000">
        <w:rPr>
          <w:rFonts w:ascii="Book Antiqua" w:cs="Book Antiqua" w:eastAsia="Book Antiqua" w:hAnsi="Book Antiqua"/>
          <w:color w:val="000000"/>
          <w:sz w:val="40"/>
          <w:szCs w:val="40"/>
          <w:rtl w:val="0"/>
        </w:rPr>
        <w:t xml:space="preserve"> in a lawful, fair and transparent manner.</w:t>
      </w:r>
    </w:p>
    <w:p w:rsidR="00000000" w:rsidDel="00000000" w:rsidP="00000000" w:rsidRDefault="00000000" w:rsidRPr="00000000" w14:paraId="0000014C">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D">
      <w:pPr>
        <w:widowControl w:val="1"/>
        <w:shd w:fill="ffffff" w:val="clear"/>
        <w:rPr>
          <w:rFonts w:ascii="Book Antiqua" w:cs="Book Antiqua" w:eastAsia="Book Antiqua" w:hAnsi="Book Antiqua"/>
          <w:color w:val="000000"/>
          <w:sz w:val="40"/>
          <w:szCs w:val="40"/>
        </w:rPr>
      </w:pPr>
      <w:hyperlink r:id="rId57">
        <w:r w:rsidDel="00000000" w:rsidR="00000000" w:rsidRPr="00000000">
          <w:rPr>
            <w:rFonts w:ascii="Book Antiqua" w:cs="Book Antiqua" w:eastAsia="Book Antiqua" w:hAnsi="Book Antiqua"/>
            <w:color w:val="ee2a7b"/>
            <w:sz w:val="40"/>
            <w:szCs w:val="40"/>
            <w:u w:val="single"/>
            <w:rtl w:val="0"/>
          </w:rPr>
          <w:t xml:space="preserve">[15]</w:t>
        </w:r>
      </w:hyperlink>
      <w:r w:rsidDel="00000000" w:rsidR="00000000" w:rsidRPr="00000000">
        <w:rPr>
          <w:rFonts w:ascii="Book Antiqua" w:cs="Book Antiqua" w:eastAsia="Book Antiqua" w:hAnsi="Book Antiqua"/>
          <w:color w:val="000000"/>
          <w:sz w:val="40"/>
          <w:szCs w:val="40"/>
          <w:rtl w:val="0"/>
        </w:rPr>
        <w:t xml:space="preserve"> Data controllers and processors can retain data only for as long as reasonably required for the original purpose for which it was collected – with certain exceptions carved out.</w:t>
      </w:r>
    </w:p>
    <w:p w:rsidR="00000000" w:rsidDel="00000000" w:rsidP="00000000" w:rsidRDefault="00000000" w:rsidRPr="00000000" w14:paraId="0000014E">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4F">
      <w:pPr>
        <w:widowControl w:val="1"/>
        <w:shd w:fill="ffffff" w:val="clear"/>
        <w:rPr>
          <w:rFonts w:ascii="Book Antiqua" w:cs="Book Antiqua" w:eastAsia="Book Antiqua" w:hAnsi="Book Antiqua"/>
          <w:color w:val="000000"/>
          <w:sz w:val="40"/>
          <w:szCs w:val="40"/>
        </w:rPr>
      </w:pPr>
      <w:hyperlink r:id="rId58">
        <w:r w:rsidDel="00000000" w:rsidR="00000000" w:rsidRPr="00000000">
          <w:rPr>
            <w:rFonts w:ascii="Book Antiqua" w:cs="Book Antiqua" w:eastAsia="Book Antiqua" w:hAnsi="Book Antiqua"/>
            <w:color w:val="ee2a7b"/>
            <w:sz w:val="40"/>
            <w:szCs w:val="40"/>
            <w:u w:val="single"/>
            <w:vertAlign w:val="superscript"/>
            <w:rtl w:val="0"/>
          </w:rPr>
          <w:t xml:space="preserve">[16]</w:t>
        </w:r>
      </w:hyperlink>
      <w:r w:rsidDel="00000000" w:rsidR="00000000" w:rsidRPr="00000000">
        <w:rPr>
          <w:rFonts w:ascii="Book Antiqua" w:cs="Book Antiqua" w:eastAsia="Book Antiqua" w:hAnsi="Book Antiqua"/>
          <w:color w:val="000000"/>
          <w:sz w:val="40"/>
          <w:szCs w:val="40"/>
          <w:rtl w:val="0"/>
        </w:rPr>
        <w:t xml:space="preserve"> The purpose for which any personal data is collected is required to be “explicit, specified and legitimate”.</w:t>
      </w:r>
    </w:p>
    <w:p w:rsidR="00000000" w:rsidDel="00000000" w:rsidP="00000000" w:rsidRDefault="00000000" w:rsidRPr="00000000" w14:paraId="00000150">
      <w:pPr>
        <w:widowControl w:val="1"/>
        <w:shd w:fill="ffffff" w:val="clear"/>
        <w:rPr>
          <w:rFonts w:ascii="Book Antiqua" w:cs="Book Antiqua" w:eastAsia="Book Antiqua" w:hAnsi="Book Antiqua"/>
          <w:color w:val="000000"/>
          <w:sz w:val="40"/>
          <w:szCs w:val="40"/>
        </w:rPr>
      </w:pPr>
      <w:hyperlink r:id="rId59">
        <w:r w:rsidDel="00000000" w:rsidR="00000000" w:rsidRPr="00000000">
          <w:rPr>
            <w:rFonts w:ascii="Book Antiqua" w:cs="Book Antiqua" w:eastAsia="Book Antiqua" w:hAnsi="Book Antiqua"/>
            <w:color w:val="ee2a7b"/>
            <w:sz w:val="40"/>
            <w:szCs w:val="40"/>
            <w:u w:val="single"/>
            <w:vertAlign w:val="superscript"/>
            <w:rtl w:val="0"/>
          </w:rPr>
          <w:t xml:space="preserve">[17]</w:t>
        </w:r>
      </w:hyperlink>
      <w:r w:rsidDel="00000000" w:rsidR="00000000" w:rsidRPr="00000000">
        <w:rPr>
          <w:rFonts w:ascii="Book Antiqua" w:cs="Book Antiqua" w:eastAsia="Book Antiqua" w:hAnsi="Book Antiqua"/>
          <w:color w:val="000000"/>
          <w:sz w:val="40"/>
          <w:szCs w:val="40"/>
          <w:rtl w:val="0"/>
        </w:rPr>
        <w:t xml:space="preserve"> The Act requires personal data to be accurate and updated and not be kept in a form which identifies the data subject for any longer than necessary for the purposes for which it was collected.</w:t>
      </w:r>
    </w:p>
    <w:p w:rsidR="00000000" w:rsidDel="00000000" w:rsidP="00000000" w:rsidRDefault="00000000" w:rsidRPr="00000000" w14:paraId="00000151">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ee2a7b"/>
          <w:sz w:val="40"/>
          <w:szCs w:val="40"/>
          <w:u w:val="single"/>
          <w:rtl w:val="0"/>
        </w:rPr>
        <w:t xml:space="preserve">[</w:t>
      </w:r>
      <w:r w:rsidDel="00000000" w:rsidR="00000000" w:rsidRPr="00000000">
        <w:rPr>
          <w:rFonts w:ascii="Book Antiqua" w:cs="Book Antiqua" w:eastAsia="Book Antiqua" w:hAnsi="Book Antiqua"/>
          <w:color w:val="000000"/>
          <w:sz w:val="40"/>
          <w:szCs w:val="40"/>
          <w:rtl w:val="0"/>
        </w:rPr>
        <w:t xml:space="preserve">Finally, data controllers or processors are also required to ensure that personal data is accurate and updated.</w:t>
      </w:r>
      <w:r w:rsidDel="00000000" w:rsidR="00000000" w:rsidRPr="00000000">
        <w:rPr>
          <w:rFonts w:ascii="Book Antiqua" w:cs="Book Antiqua" w:eastAsia="Book Antiqua" w:hAnsi="Book Antiqua"/>
          <w:color w:val="ee2a7b"/>
          <w:sz w:val="40"/>
          <w:szCs w:val="40"/>
          <w:u w:val="single"/>
          <w:vertAlign w:val="superscript"/>
          <w:rtl w:val="0"/>
        </w:rPr>
        <w:t xml:space="preserve">[20]</w:t>
      </w:r>
      <w:r w:rsidDel="00000000" w:rsidR="00000000" w:rsidRPr="00000000">
        <w:rPr>
          <w:rtl w:val="0"/>
        </w:rPr>
      </w:r>
    </w:p>
    <w:p w:rsidR="00000000" w:rsidDel="00000000" w:rsidP="00000000" w:rsidRDefault="00000000" w:rsidRPr="00000000" w14:paraId="00000152">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5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Individual Rights</w:t>
      </w:r>
      <w:r w:rsidDel="00000000" w:rsidR="00000000" w:rsidRPr="00000000">
        <w:rPr>
          <w:rtl w:val="0"/>
        </w:rPr>
      </w:r>
    </w:p>
    <w:p w:rsidR="00000000" w:rsidDel="00000000" w:rsidP="00000000" w:rsidRDefault="00000000" w:rsidRPr="00000000" w14:paraId="00000154">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Data subjects enjoy a range of rights under the Act. Data subjects have the right to be informed of the use to which their data is put to</w:t>
      </w:r>
      <w:r w:rsidDel="00000000" w:rsidR="00000000" w:rsidRPr="00000000">
        <w:rPr>
          <w:rFonts w:ascii="Book Antiqua" w:cs="Book Antiqua" w:eastAsia="Book Antiqua" w:hAnsi="Book Antiqua"/>
          <w:color w:val="ee2a7b"/>
          <w:sz w:val="40"/>
          <w:szCs w:val="40"/>
          <w:u w:val="single"/>
          <w:rtl w:val="0"/>
        </w:rPr>
        <w:t xml:space="preserve"> </w:t>
      </w:r>
      <w:r w:rsidDel="00000000" w:rsidR="00000000" w:rsidRPr="00000000">
        <w:rPr>
          <w:rFonts w:ascii="Book Antiqua" w:cs="Book Antiqua" w:eastAsia="Book Antiqua" w:hAnsi="Book Antiqua"/>
          <w:color w:val="000000"/>
          <w:sz w:val="40"/>
          <w:szCs w:val="40"/>
          <w:rtl w:val="0"/>
        </w:rPr>
        <w:t xml:space="preserve">access their data that is in the custody of the data controller or processor, object to the processing of personal data</w:t>
      </w:r>
      <w:r w:rsidDel="00000000" w:rsidR="00000000" w:rsidRPr="00000000">
        <w:rPr>
          <w:rFonts w:ascii="Book Antiqua" w:cs="Book Antiqua" w:eastAsia="Book Antiqua" w:hAnsi="Book Antiqua"/>
          <w:color w:val="ee2a7b"/>
          <w:sz w:val="40"/>
          <w:szCs w:val="40"/>
          <w:u w:val="single"/>
          <w:rtl w:val="0"/>
        </w:rPr>
        <w:t xml:space="preserve"> </w:t>
      </w:r>
      <w:r w:rsidDel="00000000" w:rsidR="00000000" w:rsidRPr="00000000">
        <w:rPr>
          <w:rFonts w:ascii="Book Antiqua" w:cs="Book Antiqua" w:eastAsia="Book Antiqua" w:hAnsi="Book Antiqua"/>
          <w:color w:val="000000"/>
          <w:sz w:val="40"/>
          <w:szCs w:val="40"/>
          <w:rtl w:val="0"/>
        </w:rPr>
        <w:t xml:space="preserve">and correct</w:t>
      </w:r>
      <w:r w:rsidDel="00000000" w:rsidR="00000000" w:rsidRPr="00000000">
        <w:rPr>
          <w:rFonts w:ascii="Book Antiqua" w:cs="Book Antiqua" w:eastAsia="Book Antiqua" w:hAnsi="Book Antiqua"/>
          <w:color w:val="ee2a7b"/>
          <w:sz w:val="40"/>
          <w:szCs w:val="40"/>
          <w:u w:val="single"/>
          <w:rtl w:val="0"/>
        </w:rPr>
        <w:t xml:space="preserve">[]</w:t>
      </w:r>
      <w:r w:rsidDel="00000000" w:rsidR="00000000" w:rsidRPr="00000000">
        <w:rPr>
          <w:rFonts w:ascii="Book Antiqua" w:cs="Book Antiqua" w:eastAsia="Book Antiqua" w:hAnsi="Book Antiqua"/>
          <w:color w:val="000000"/>
          <w:sz w:val="40"/>
          <w:szCs w:val="40"/>
          <w:rtl w:val="0"/>
        </w:rPr>
        <w:t xml:space="preserve">or delete false or misleading data. Data subjects also enjoy the right to </w:t>
      </w:r>
      <w:r w:rsidDel="00000000" w:rsidR="00000000" w:rsidRPr="00000000">
        <w:rPr>
          <w:rFonts w:ascii="Book Antiqua" w:cs="Book Antiqua" w:eastAsia="Book Antiqua" w:hAnsi="Book Antiqua"/>
          <w:i w:val="1"/>
          <w:color w:val="000000"/>
          <w:sz w:val="40"/>
          <w:szCs w:val="40"/>
          <w:rtl w:val="0"/>
        </w:rPr>
        <w:t xml:space="preserve">request </w:t>
      </w:r>
      <w:r w:rsidDel="00000000" w:rsidR="00000000" w:rsidRPr="00000000">
        <w:rPr>
          <w:rFonts w:ascii="Book Antiqua" w:cs="Book Antiqua" w:eastAsia="Book Antiqua" w:hAnsi="Book Antiqua"/>
          <w:color w:val="000000"/>
          <w:sz w:val="40"/>
          <w:szCs w:val="40"/>
          <w:rtl w:val="0"/>
        </w:rPr>
        <w:t xml:space="preserve">a data controller or processor to rectify data that is inaccurate or misleading</w:t>
      </w:r>
      <w:hyperlink r:id="rId60">
        <w:r w:rsidDel="00000000" w:rsidR="00000000" w:rsidRPr="00000000">
          <w:rPr>
            <w:rFonts w:ascii="Book Antiqua" w:cs="Book Antiqua" w:eastAsia="Book Antiqua" w:hAnsi="Book Antiqua"/>
            <w:color w:val="ee2a7b"/>
            <w:sz w:val="40"/>
            <w:szCs w:val="40"/>
            <w:u w:val="single"/>
            <w:vertAlign w:val="superscript"/>
            <w:rtl w:val="0"/>
          </w:rPr>
          <w:t xml:space="preserve">[26]</w:t>
        </w:r>
      </w:hyperlink>
      <w:r w:rsidDel="00000000" w:rsidR="00000000" w:rsidRPr="00000000">
        <w:rPr>
          <w:rFonts w:ascii="Book Antiqua" w:cs="Book Antiqua" w:eastAsia="Book Antiqua" w:hAnsi="Book Antiqua"/>
          <w:color w:val="000000"/>
          <w:sz w:val="40"/>
          <w:szCs w:val="40"/>
          <w:rtl w:val="0"/>
        </w:rPr>
        <w:t xml:space="preserve"> and to delete data that has outlived its authorized use or was collected illegally.</w:t>
      </w:r>
      <w:hyperlink r:id="rId61">
        <w:r w:rsidDel="00000000" w:rsidR="00000000" w:rsidRPr="00000000">
          <w:rPr>
            <w:rFonts w:ascii="Book Antiqua" w:cs="Book Antiqua" w:eastAsia="Book Antiqua" w:hAnsi="Book Antiqua"/>
            <w:color w:val="ee2a7b"/>
            <w:sz w:val="40"/>
            <w:szCs w:val="40"/>
            <w:u w:val="single"/>
            <w:vertAlign w:val="superscript"/>
            <w:rtl w:val="0"/>
          </w:rPr>
          <w:t xml:space="preserve">[27]</w:t>
        </w:r>
      </w:hyperlink>
      <w:r w:rsidDel="00000000" w:rsidR="00000000" w:rsidRPr="00000000">
        <w:rPr>
          <w:rtl w:val="0"/>
        </w:rPr>
      </w:r>
    </w:p>
    <w:p w:rsidR="00000000" w:rsidDel="00000000" w:rsidP="00000000" w:rsidRDefault="00000000" w:rsidRPr="00000000" w14:paraId="00000155">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56">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Accountability Measures</w:t>
      </w:r>
      <w:r w:rsidDel="00000000" w:rsidR="00000000" w:rsidRPr="00000000">
        <w:rPr>
          <w:rtl w:val="0"/>
        </w:rPr>
      </w:r>
    </w:p>
    <w:p w:rsidR="00000000" w:rsidDel="00000000" w:rsidP="00000000" w:rsidRDefault="00000000" w:rsidRPr="00000000" w14:paraId="00000157">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Where a particular processing operation carries a high risk to the rights of the data subject, the data controller or processor is required to carry out a data protection impact assessment to aid the data commissioner in evaluating the viability of the operation. </w:t>
      </w:r>
    </w:p>
    <w:p w:rsidR="00000000" w:rsidDel="00000000" w:rsidP="00000000" w:rsidRDefault="00000000" w:rsidRPr="00000000" w14:paraId="00000158">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59">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also requires data controllers and processors to implement ‘data protection by design’ measures with the purpose of integrating data protection safeguards into the processing of data.</w:t>
      </w:r>
    </w:p>
    <w:p w:rsidR="00000000" w:rsidDel="00000000" w:rsidP="00000000" w:rsidRDefault="00000000" w:rsidRPr="00000000" w14:paraId="0000015A">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5B">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These measures account for the amount and accessibility of data collected, the period of its storage and extent of its processing. Some security safeguards are also provided for, such as the pseudonymisation and encryption of personal data.</w:t>
      </w:r>
    </w:p>
    <w:p w:rsidR="00000000" w:rsidDel="00000000" w:rsidP="00000000" w:rsidRDefault="00000000" w:rsidRPr="00000000" w14:paraId="0000015C">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5D">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While the Act allows for an audit of the processes and systems of data controllers and processors it neither makes such audit a periodic obligation nor provides any specific grounds for evaluating compliance under the Act. </w:t>
      </w:r>
    </w:p>
    <w:p w:rsidR="00000000" w:rsidDel="00000000" w:rsidP="00000000" w:rsidRDefault="00000000" w:rsidRPr="00000000" w14:paraId="0000015E">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5F">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Transfer of Personal Data Outside Kenya</w:t>
      </w:r>
      <w:r w:rsidDel="00000000" w:rsidR="00000000" w:rsidRPr="00000000">
        <w:rPr>
          <w:rtl w:val="0"/>
        </w:rPr>
      </w:r>
    </w:p>
    <w:p w:rsidR="00000000" w:rsidDel="00000000" w:rsidP="00000000" w:rsidRDefault="00000000" w:rsidRPr="00000000" w14:paraId="00000160">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Personal data cannot be transferred outside Kenya unless there is either consent from the data subject or proof of adequate data protection safeguards in the jurisdiction where such data is proposed to be transferred.</w:t>
      </w:r>
    </w:p>
    <w:p w:rsidR="00000000" w:rsidDel="00000000" w:rsidP="00000000" w:rsidRDefault="00000000" w:rsidRPr="00000000" w14:paraId="00000161">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62">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Such proof is required to be submitted by the data controller or processor to the Data CommissionerThere is a corresponding obligation imposed on the data controller or processor to inform the data subject of such transfer.</w:t>
      </w:r>
    </w:p>
    <w:p w:rsidR="00000000" w:rsidDel="00000000" w:rsidP="00000000" w:rsidRDefault="00000000" w:rsidRPr="00000000" w14:paraId="0000016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w:t>
      </w:r>
    </w:p>
    <w:p w:rsidR="00000000" w:rsidDel="00000000" w:rsidP="00000000" w:rsidRDefault="00000000" w:rsidRPr="00000000" w14:paraId="00000164">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We also note the differential treatment of personal data and sensitive personal data – for one, consent is a necessary pre-requisite for the transfer of sensitive personal data out of Kenya. In relation to personal data, the data controller or processor is required to submit proof of safeguards to protect such personal data and “commensurate data protection laws”. Moreover, transfer may also take place if it is ‘necessary’ for one of several conditions – performance of contract, exercise of a legal claim, protection of vital interests of the data subject, ‘compelling legitimate interests’ or, vitally, “any matter of public interest”. </w:t>
      </w:r>
    </w:p>
    <w:p w:rsidR="00000000" w:rsidDel="00000000" w:rsidP="00000000" w:rsidRDefault="00000000" w:rsidRPr="00000000" w14:paraId="00000165">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66">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In relation to the processing of sensitive personal data, such processing shall only take place after the additional condition of consent of the data subject is obtained. The Commissioner also appears to have the discretion to impose additional conditions – it is not yet clear what these conditions may be. </w:t>
      </w:r>
    </w:p>
    <w:p w:rsidR="00000000" w:rsidDel="00000000" w:rsidP="00000000" w:rsidRDefault="00000000" w:rsidRPr="00000000" w14:paraId="00000167">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68">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69">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Monitoring and Enforcement</w:t>
      </w:r>
      <w:r w:rsidDel="00000000" w:rsidR="00000000" w:rsidRPr="00000000">
        <w:rPr>
          <w:rtl w:val="0"/>
        </w:rPr>
      </w:r>
    </w:p>
    <w:p w:rsidR="00000000" w:rsidDel="00000000" w:rsidP="00000000" w:rsidRDefault="00000000" w:rsidRPr="00000000" w14:paraId="0000016A">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creates the office of the Data Protection Commissioner (the “</w:t>
      </w:r>
      <w:r w:rsidDel="00000000" w:rsidR="00000000" w:rsidRPr="00000000">
        <w:rPr>
          <w:rFonts w:ascii="Book Antiqua" w:cs="Book Antiqua" w:eastAsia="Book Antiqua" w:hAnsi="Book Antiqua"/>
          <w:b w:val="1"/>
          <w:color w:val="000000"/>
          <w:sz w:val="40"/>
          <w:szCs w:val="40"/>
          <w:rtl w:val="0"/>
        </w:rPr>
        <w:t xml:space="preserve">Commissioner</w:t>
      </w:r>
      <w:r w:rsidDel="00000000" w:rsidR="00000000" w:rsidRPr="00000000">
        <w:rPr>
          <w:rFonts w:ascii="Book Antiqua" w:cs="Book Antiqua" w:eastAsia="Book Antiqua" w:hAnsi="Book Antiqua"/>
          <w:color w:val="000000"/>
          <w:sz w:val="40"/>
          <w:szCs w:val="40"/>
          <w:rtl w:val="0"/>
        </w:rPr>
        <w:t xml:space="preserve">”). The Commissioner is responsible for:</w:t>
      </w:r>
    </w:p>
    <w:p w:rsidR="00000000" w:rsidDel="00000000" w:rsidP="00000000" w:rsidRDefault="00000000" w:rsidRPr="00000000" w14:paraId="0000016B">
      <w:pPr>
        <w:widowControl w:val="1"/>
        <w:numPr>
          <w:ilvl w:val="0"/>
          <w:numId w:val="10"/>
        </w:numPr>
        <w:shd w:fill="ffffff" w:val="clear"/>
        <w:ind w:left="300" w:hanging="360"/>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Registration of data controllers and data processors;</w:t>
      </w:r>
    </w:p>
    <w:p w:rsidR="00000000" w:rsidDel="00000000" w:rsidP="00000000" w:rsidRDefault="00000000" w:rsidRPr="00000000" w14:paraId="0000016C">
      <w:pPr>
        <w:widowControl w:val="1"/>
        <w:numPr>
          <w:ilvl w:val="0"/>
          <w:numId w:val="10"/>
        </w:numPr>
        <w:shd w:fill="ffffff" w:val="clear"/>
        <w:ind w:left="300" w:hanging="360"/>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Oversight on data processing operations;</w:t>
      </w:r>
    </w:p>
    <w:p w:rsidR="00000000" w:rsidDel="00000000" w:rsidP="00000000" w:rsidRDefault="00000000" w:rsidRPr="00000000" w14:paraId="0000016D">
      <w:pPr>
        <w:widowControl w:val="1"/>
        <w:numPr>
          <w:ilvl w:val="0"/>
          <w:numId w:val="10"/>
        </w:numPr>
        <w:shd w:fill="ffffff" w:val="clear"/>
        <w:ind w:left="300" w:hanging="360"/>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Assessing whether information is being processed in accordance with the Data Protection Act;</w:t>
      </w:r>
    </w:p>
    <w:p w:rsidR="00000000" w:rsidDel="00000000" w:rsidP="00000000" w:rsidRDefault="00000000" w:rsidRPr="00000000" w14:paraId="0000016E">
      <w:pPr>
        <w:widowControl w:val="1"/>
        <w:numPr>
          <w:ilvl w:val="0"/>
          <w:numId w:val="10"/>
        </w:numPr>
        <w:shd w:fill="ffffff" w:val="clear"/>
        <w:ind w:left="300" w:hanging="360"/>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Receiving and investigating complaints into alleged infringements of the Act;</w:t>
      </w:r>
    </w:p>
    <w:p w:rsidR="00000000" w:rsidDel="00000000" w:rsidP="00000000" w:rsidRDefault="00000000" w:rsidRPr="00000000" w14:paraId="0000016F">
      <w:pPr>
        <w:widowControl w:val="1"/>
        <w:numPr>
          <w:ilvl w:val="0"/>
          <w:numId w:val="10"/>
        </w:numPr>
        <w:shd w:fill="ffffff" w:val="clear"/>
        <w:ind w:left="300" w:hanging="360"/>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Promoting self-regulation among data controllers and data processors.</w:t>
      </w:r>
    </w:p>
    <w:p w:rsidR="00000000" w:rsidDel="00000000" w:rsidP="00000000" w:rsidRDefault="00000000" w:rsidRPr="00000000" w14:paraId="00000170">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1">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protects the independence of the office of the Commissioner. The Commissioner is appointed by the Public Service Commission, an independent Constitutional body, and can only be dismissed on the basis of a limited number of narrow grounds.</w:t>
      </w:r>
    </w:p>
    <w:p w:rsidR="00000000" w:rsidDel="00000000" w:rsidP="00000000" w:rsidRDefault="00000000" w:rsidRPr="00000000" w14:paraId="00000172">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The Commissioner also enjoys complete discretion to appoint members of her staff</w:t>
      </w:r>
    </w:p>
    <w:p w:rsidR="00000000" w:rsidDel="00000000" w:rsidP="00000000" w:rsidRDefault="00000000" w:rsidRPr="00000000" w14:paraId="00000174">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Commissioner has the powers to examine interested parties, and require the production of documents and statements in writing.</w:t>
      </w:r>
    </w:p>
    <w:p w:rsidR="00000000" w:rsidDel="00000000" w:rsidP="00000000" w:rsidRDefault="00000000" w:rsidRPr="00000000" w14:paraId="00000175">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6">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The Commissioner also has the powers to obtain a court warrant for search and entry in exercise of any powers under the Act The Commissioner should conclude complaints within 90 days. The office of the Commissioner appears to be endowed with the requisite powers and independence to ensure that it is an effective watchdog.</w:t>
      </w:r>
    </w:p>
    <w:p w:rsidR="00000000" w:rsidDel="00000000" w:rsidP="00000000" w:rsidRDefault="00000000" w:rsidRPr="00000000" w14:paraId="00000177">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78">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Penalties</w:t>
      </w:r>
      <w:r w:rsidDel="00000000" w:rsidR="00000000" w:rsidRPr="00000000">
        <w:rPr>
          <w:rtl w:val="0"/>
        </w:rPr>
      </w:r>
    </w:p>
    <w:p w:rsidR="00000000" w:rsidDel="00000000" w:rsidP="00000000" w:rsidRDefault="00000000" w:rsidRPr="00000000" w14:paraId="00000179">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provides for a combination of monetary fines and imprisonment depending on the nature of the offence. In cases where a person obstructs the work or refuses to cooperate with the Commissioner, the Act provides for a penalty not exceeding five million shillings (approximately USD 49,000) or imprisonment for a term not exceeding two years, or both.</w:t>
      </w:r>
    </w:p>
    <w:p w:rsidR="00000000" w:rsidDel="00000000" w:rsidP="00000000" w:rsidRDefault="00000000" w:rsidRPr="00000000" w14:paraId="0000017A">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B">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The Commissioner may issue a penalty notice on conclusion of an investigation. The criteria basis which a penalty notice may be issued are exhaustively laid down in the Act and include such factors as the gravity of the offence, intentional character of the action, mitigating actions, track record, categories of personal data affected by the action and whether the penalty would be “effective, proportionate and dissuasive”.\</w:t>
      </w:r>
    </w:p>
    <w:p w:rsidR="00000000" w:rsidDel="00000000" w:rsidP="00000000" w:rsidRDefault="00000000" w:rsidRPr="00000000" w14:paraId="0000017C">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D">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The maximum penalty that can be awarded for an offence under the Act is five million shillings or, in the case of a corporation, one per cent of annual turnover of the previous fiscal, whichever is lower. </w:t>
      </w:r>
    </w:p>
    <w:p w:rsidR="00000000" w:rsidDel="00000000" w:rsidP="00000000" w:rsidRDefault="00000000" w:rsidRPr="00000000" w14:paraId="0000017E">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7F">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0">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Separately, the Act also has a general penalty section which provides for a fine not exceeding three million shillings (approximately USD 29,000) or imprisonment not exceeding 10 years, or both. The Act also provides Courts with the power to order the forfeiture of any equipment used in connection with the offence in question. </w:t>
      </w:r>
    </w:p>
    <w:p w:rsidR="00000000" w:rsidDel="00000000" w:rsidP="00000000" w:rsidRDefault="00000000" w:rsidRPr="00000000" w14:paraId="00000181">
      <w:pPr>
        <w:widowControl w:val="1"/>
        <w:shd w:fill="ffffff" w:val="clear"/>
        <w:rPr>
          <w:rFonts w:ascii="Book Antiqua" w:cs="Book Antiqua" w:eastAsia="Book Antiqua" w:hAnsi="Book Antiqua"/>
          <w:b w:val="1"/>
          <w:i w:val="1"/>
          <w:color w:val="000000"/>
          <w:sz w:val="40"/>
          <w:szCs w:val="40"/>
        </w:rPr>
      </w:pPr>
      <w:r w:rsidDel="00000000" w:rsidR="00000000" w:rsidRPr="00000000">
        <w:rPr>
          <w:rtl w:val="0"/>
        </w:rPr>
      </w:r>
    </w:p>
    <w:p w:rsidR="00000000" w:rsidDel="00000000" w:rsidP="00000000" w:rsidRDefault="00000000" w:rsidRPr="00000000" w14:paraId="00000182">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b w:val="1"/>
          <w:i w:val="1"/>
          <w:color w:val="000000"/>
          <w:sz w:val="40"/>
          <w:szCs w:val="40"/>
          <w:rtl w:val="0"/>
        </w:rPr>
        <w:t xml:space="preserve">Exemptions</w:t>
      </w:r>
      <w:r w:rsidDel="00000000" w:rsidR="00000000" w:rsidRPr="00000000">
        <w:rPr>
          <w:rtl w:val="0"/>
        </w:rPr>
      </w:r>
    </w:p>
    <w:p w:rsidR="00000000" w:rsidDel="00000000" w:rsidP="00000000" w:rsidRDefault="00000000" w:rsidRPr="00000000" w14:paraId="00000183">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Processing of personal data is exempt if it relates to a personal or household activity, is in national security or public interest, or of disclosure is required by law. Similar exemptions exist where publication of such personal data is part of a literary or artistic material if of the data controller believes that compliance is incompatible with these special purposes.</w:t>
      </w:r>
    </w:p>
    <w:p w:rsidR="00000000" w:rsidDel="00000000" w:rsidP="00000000" w:rsidRDefault="00000000" w:rsidRPr="00000000" w14:paraId="00000184">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5">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Also, the Commissioner is required to prepare a code of practice to guide processing of data for purposes of journalism, literature or art. </w:t>
      </w:r>
    </w:p>
    <w:p w:rsidR="00000000" w:rsidDel="00000000" w:rsidP="00000000" w:rsidRDefault="00000000" w:rsidRPr="00000000" w14:paraId="00000186">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7">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Data controllers and processors are also exempt from seeking consent of data subjects in various circumstances including to protect the vital interests of the data subject or any other natural person, in public interest, compliance with a legal obligation or for the performance of any task carried out by a public authority.</w:t>
      </w:r>
    </w:p>
    <w:p w:rsidR="00000000" w:rsidDel="00000000" w:rsidP="00000000" w:rsidRDefault="00000000" w:rsidRPr="00000000" w14:paraId="00000188">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9">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In particular, concerns have been raised that government authorities will use the public authority exemption to circumvent the obligations of the Act.</w:t>
      </w:r>
    </w:p>
    <w:p w:rsidR="00000000" w:rsidDel="00000000" w:rsidP="00000000" w:rsidRDefault="00000000" w:rsidRPr="00000000" w14:paraId="0000018A">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The Act has been hailed as an important milestone in privacy and data protection rights in Africa. That the Act bears many similarities to the GDPR also underscores its consistency with international data protection safeguards. However, a few concerns have been raised. </w:t>
      </w:r>
    </w:p>
    <w:p w:rsidR="00000000" w:rsidDel="00000000" w:rsidP="00000000" w:rsidRDefault="00000000" w:rsidRPr="00000000" w14:paraId="0000018B">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C">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While the Act itself is applicable to both private and government entities, there remain concerns that the government would use statutory exemptions to prevent complying with the Act. There have also been calls to strengthen the independence of the office of the Data Commissioner to protect it from executive influence.</w:t>
      </w:r>
    </w:p>
    <w:p w:rsidR="00000000" w:rsidDel="00000000" w:rsidP="00000000" w:rsidRDefault="00000000" w:rsidRPr="00000000" w14:paraId="0000018D">
      <w:pPr>
        <w:widowControl w:val="1"/>
        <w:shd w:fill="ffffff" w:val="clear"/>
        <w:rPr>
          <w:rFonts w:ascii="Book Antiqua" w:cs="Book Antiqua" w:eastAsia="Book Antiqua" w:hAnsi="Book Antiqua"/>
          <w:color w:val="000000"/>
          <w:sz w:val="40"/>
          <w:szCs w:val="40"/>
        </w:rPr>
      </w:pPr>
      <w:r w:rsidDel="00000000" w:rsidR="00000000" w:rsidRPr="00000000">
        <w:rPr>
          <w:rtl w:val="0"/>
        </w:rPr>
      </w:r>
    </w:p>
    <w:p w:rsidR="00000000" w:rsidDel="00000000" w:rsidP="00000000" w:rsidRDefault="00000000" w:rsidRPr="00000000" w14:paraId="0000018E">
      <w:pPr>
        <w:widowControl w:val="1"/>
        <w:shd w:fill="ffffff" w:val="clear"/>
        <w:rPr>
          <w:rFonts w:ascii="Book Antiqua" w:cs="Book Antiqua" w:eastAsia="Book Antiqua" w:hAnsi="Book Antiqua"/>
          <w:color w:val="000000"/>
          <w:sz w:val="40"/>
          <w:szCs w:val="40"/>
        </w:rPr>
      </w:pPr>
      <w:r w:rsidDel="00000000" w:rsidR="00000000" w:rsidRPr="00000000">
        <w:rPr>
          <w:rFonts w:ascii="Book Antiqua" w:cs="Book Antiqua" w:eastAsia="Book Antiqua" w:hAnsi="Book Antiqua"/>
          <w:color w:val="000000"/>
          <w:sz w:val="40"/>
          <w:szCs w:val="40"/>
          <w:rtl w:val="0"/>
        </w:rPr>
        <w:t xml:space="preserve"> Currently, stakeholders are waiting for the Act to be implemented to better understand the functioning, mechanics and obligations of the various entities that it regulates.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 w:right="1032" w:firstLine="0"/>
        <w:jc w:val="both"/>
        <w:rPr>
          <w:rFonts w:ascii="Book Antiqua" w:cs="Book Antiqua" w:eastAsia="Book Antiqua" w:hAnsi="Book Antiqu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191">
      <w:pPr>
        <w:spacing w:line="360" w:lineRule="auto"/>
        <w:jc w:val="both"/>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192">
      <w:pPr>
        <w:spacing w:line="360" w:lineRule="auto"/>
        <w:jc w:val="both"/>
        <w:rPr>
          <w:rFonts w:ascii="Book Antiqua" w:cs="Book Antiqua" w:eastAsia="Book Antiqua" w:hAnsi="Book Antiqua"/>
          <w:sz w:val="40"/>
          <w:szCs w:val="40"/>
        </w:rPr>
        <w:sectPr>
          <w:type w:val="nextPage"/>
          <w:pgSz w:h="15840" w:w="12240" w:orient="portrait"/>
          <w:pgMar w:bottom="1220" w:top="1400" w:left="1320" w:right="1360" w:header="0" w:footer="1035"/>
        </w:sectPr>
      </w:pPr>
      <w:r w:rsidDel="00000000" w:rsidR="00000000" w:rsidRPr="00000000">
        <w:rPr>
          <w:rtl w:val="0"/>
        </w:rPr>
      </w:r>
    </w:p>
    <w:p w:rsidR="00000000" w:rsidDel="00000000" w:rsidP="00000000" w:rsidRDefault="00000000" w:rsidRPr="00000000" w14:paraId="00000193">
      <w:pPr>
        <w:spacing w:before="200" w:line="360" w:lineRule="auto"/>
        <w:ind w:right="1044"/>
        <w:jc w:val="both"/>
        <w:rPr>
          <w:rFonts w:ascii="Book Antiqua" w:cs="Book Antiqua" w:eastAsia="Book Antiqua" w:hAnsi="Book Antiqua"/>
          <w:sz w:val="40"/>
          <w:szCs w:val="40"/>
        </w:rPr>
      </w:pPr>
      <w:bookmarkStart w:colFirst="0" w:colLast="0" w:name="_heading=h.35nkun2" w:id="14"/>
      <w:bookmarkEnd w:id="14"/>
      <w:r w:rsidDel="00000000" w:rsidR="00000000" w:rsidRPr="00000000">
        <w:rPr>
          <w:rtl w:val="0"/>
        </w:rPr>
      </w:r>
    </w:p>
    <w:sectPr>
      <w:type w:val="nextPage"/>
      <w:pgSz w:h="15840" w:w="12240" w:orient="portrait"/>
      <w:pgMar w:bottom="1220" w:top="1420" w:left="1320" w:right="1360" w:header="0" w:footer="10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2946400</wp:posOffset>
              </wp:positionH>
              <wp:positionV relativeFrom="paragraph">
                <wp:posOffset>9245600</wp:posOffset>
              </wp:positionV>
              <wp:extent cx="156845" cy="193675"/>
              <wp:effectExtent b="0" l="0" r="0" t="0"/>
              <wp:wrapNone/>
              <wp:docPr id="54" name=""/>
              <a:graphic>
                <a:graphicData uri="http://schemas.microsoft.com/office/word/2010/wordprocessingShape">
                  <wps:wsp>
                    <wps:cNvSpPr/>
                    <wps:cNvPr id="26" name="Shape 26"/>
                    <wps:spPr>
                      <a:xfrm>
                        <a:off x="5272340" y="3687925"/>
                        <a:ext cx="147320"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2946400</wp:posOffset>
              </wp:positionH>
              <wp:positionV relativeFrom="paragraph">
                <wp:posOffset>9245600</wp:posOffset>
              </wp:positionV>
              <wp:extent cx="156845" cy="193675"/>
              <wp:effectExtent b="0" l="0" r="0" t="0"/>
              <wp:wrapNone/>
              <wp:docPr id="5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56845" cy="1936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2933700</wp:posOffset>
              </wp:positionH>
              <wp:positionV relativeFrom="paragraph">
                <wp:posOffset>9245600</wp:posOffset>
              </wp:positionV>
              <wp:extent cx="186690" cy="193675"/>
              <wp:effectExtent b="0" l="0" r="0" t="0"/>
              <wp:wrapNone/>
              <wp:docPr id="46" name=""/>
              <a:graphic>
                <a:graphicData uri="http://schemas.microsoft.com/office/word/2010/wordprocessingShape">
                  <wps:wsp>
                    <wps:cNvSpPr/>
                    <wps:cNvPr id="18" name="Shape 18"/>
                    <wps:spPr>
                      <a:xfrm>
                        <a:off x="5257418" y="3687925"/>
                        <a:ext cx="17716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 roman 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2933700</wp:posOffset>
              </wp:positionH>
              <wp:positionV relativeFrom="paragraph">
                <wp:posOffset>9245600</wp:posOffset>
              </wp:positionV>
              <wp:extent cx="186690" cy="193675"/>
              <wp:effectExtent b="0" l="0" r="0" t="0"/>
              <wp:wrapNone/>
              <wp:docPr id="4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6690" cy="1936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47" name=""/>
              <a:graphic>
                <a:graphicData uri="http://schemas.microsoft.com/office/word/2010/wordprocessingShape">
                  <wps:wsp>
                    <wps:cNvSpPr/>
                    <wps:cNvPr id="19" name="Shape 19"/>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4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26060" cy="19367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63500</wp:posOffset>
              </wp:positionH>
              <wp:positionV relativeFrom="paragraph">
                <wp:posOffset>7962900</wp:posOffset>
              </wp:positionV>
              <wp:extent cx="8890" cy="12700"/>
              <wp:effectExtent b="0" l="0" r="0" t="0"/>
              <wp:wrapNone/>
              <wp:docPr id="52" name=""/>
              <a:graphic>
                <a:graphicData uri="http://schemas.microsoft.com/office/word/2010/wordprocessingShape">
                  <wps:wsp>
                    <wps:cNvSpPr/>
                    <wps:cNvPr id="24" name="Shape 24"/>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7962900</wp:posOffset>
              </wp:positionV>
              <wp:extent cx="8890" cy="12700"/>
              <wp:effectExtent b="0" l="0" r="0" t="0"/>
              <wp:wrapNone/>
              <wp:docPr id="5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1336675" cy="188595"/>
              <wp:effectExtent b="0" l="0" r="0" t="0"/>
              <wp:wrapNone/>
              <wp:docPr id="58" name=""/>
              <a:graphic>
                <a:graphicData uri="http://schemas.microsoft.com/office/word/2010/wordprocessingShape">
                  <wps:wsp>
                    <wps:cNvSpPr/>
                    <wps:cNvPr id="30" name="Shape 30"/>
                    <wps:spPr>
                      <a:xfrm>
                        <a:off x="4682425" y="3690465"/>
                        <a:ext cx="1327150" cy="17907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23</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Supra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n5, ss 89 and 90.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1336675" cy="188595"/>
              <wp:effectExtent b="0" l="0" r="0" t="0"/>
              <wp:wrapNone/>
              <wp:docPr id="58"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33667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2946400</wp:posOffset>
              </wp:positionH>
              <wp:positionV relativeFrom="paragraph">
                <wp:posOffset>9245600</wp:posOffset>
              </wp:positionV>
              <wp:extent cx="156845" cy="193675"/>
              <wp:effectExtent b="0" l="0" r="0" t="0"/>
              <wp:wrapNone/>
              <wp:docPr id="36" name=""/>
              <a:graphic>
                <a:graphicData uri="http://schemas.microsoft.com/office/word/2010/wordprocessingShape">
                  <wps:wsp>
                    <wps:cNvSpPr/>
                    <wps:cNvPr id="8" name="Shape 8"/>
                    <wps:spPr>
                      <a:xfrm>
                        <a:off x="5272340" y="3687925"/>
                        <a:ext cx="147320"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2946400</wp:posOffset>
              </wp:positionH>
              <wp:positionV relativeFrom="paragraph">
                <wp:posOffset>9245600</wp:posOffset>
              </wp:positionV>
              <wp:extent cx="156845" cy="193675"/>
              <wp:effectExtent b="0" l="0" r="0" t="0"/>
              <wp:wrapNone/>
              <wp:docPr id="36"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56845" cy="19367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0" name=""/>
              <a:graphic>
                <a:graphicData uri="http://schemas.microsoft.com/office/word/2010/wordprocessingShape">
                  <wps:wsp>
                    <wps:cNvSpPr/>
                    <wps:cNvPr id="2" name="Shape 2"/>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6060" cy="19367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978535" cy="188595"/>
              <wp:effectExtent b="0" l="0" r="0" t="0"/>
              <wp:wrapNone/>
              <wp:docPr id="50" name=""/>
              <a:graphic>
                <a:graphicData uri="http://schemas.microsoft.com/office/word/2010/wordprocessingShape">
                  <wps:wsp>
                    <wps:cNvSpPr/>
                    <wps:cNvPr id="22" name="Shape 22"/>
                    <wps:spPr>
                      <a:xfrm>
                        <a:off x="4861495" y="3690465"/>
                        <a:ext cx="969010" cy="17907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36</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Supra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n31, s 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978535" cy="188595"/>
              <wp:effectExtent b="0" l="0" r="0" t="0"/>
              <wp:wrapNone/>
              <wp:docPr id="5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97853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4" name=""/>
              <a:graphic>
                <a:graphicData uri="http://schemas.microsoft.com/office/word/2010/wordprocessingShape">
                  <wps:wsp>
                    <wps:cNvSpPr/>
                    <wps:cNvPr id="6" name="Shape 6"/>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26060" cy="19367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63500</wp:posOffset>
              </wp:positionH>
              <wp:positionV relativeFrom="paragraph">
                <wp:posOffset>8178800</wp:posOffset>
              </wp:positionV>
              <wp:extent cx="8890" cy="12700"/>
              <wp:effectExtent b="0" l="0" r="0" t="0"/>
              <wp:wrapNone/>
              <wp:docPr id="44" name=""/>
              <a:graphic>
                <a:graphicData uri="http://schemas.microsoft.com/office/word/2010/wordprocessingShape">
                  <wps:wsp>
                    <wps:cNvSpPr/>
                    <wps:cNvPr id="16" name="Shape 16"/>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8178800</wp:posOffset>
              </wp:positionV>
              <wp:extent cx="8890" cy="12700"/>
              <wp:effectExtent b="0" l="0" r="0" t="0"/>
              <wp:wrapNone/>
              <wp:docPr id="4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658495" cy="188595"/>
              <wp:effectExtent b="0" l="0" r="0" t="0"/>
              <wp:wrapNone/>
              <wp:docPr id="43" name=""/>
              <a:graphic>
                <a:graphicData uri="http://schemas.microsoft.com/office/word/2010/wordprocessingShape">
                  <wps:wsp>
                    <wps:cNvSpPr/>
                    <wps:cNvPr id="15" name="Shape 15"/>
                    <wps:spPr>
                      <a:xfrm>
                        <a:off x="5021515" y="3690465"/>
                        <a:ext cx="648970" cy="17907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54</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Ibid</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s 47.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658495" cy="188595"/>
              <wp:effectExtent b="0" l="0" r="0" t="0"/>
              <wp:wrapNone/>
              <wp:docPr id="4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65849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55" name=""/>
              <a:graphic>
                <a:graphicData uri="http://schemas.microsoft.com/office/word/2010/wordprocessingShape">
                  <wps:wsp>
                    <wps:cNvSpPr/>
                    <wps:cNvPr id="27" name="Shape 27"/>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55" name="image26.png"/>
              <a:graphic>
                <a:graphicData uri="http://schemas.openxmlformats.org/drawingml/2006/picture">
                  <pic:pic>
                    <pic:nvPicPr>
                      <pic:cNvPr id="0" name="image26.png"/>
                      <pic:cNvPicPr preferRelativeResize="0"/>
                    </pic:nvPicPr>
                    <pic:blipFill>
                      <a:blip r:embed="rId3"/>
                      <a:srcRect/>
                      <a:stretch>
                        <a:fillRect/>
                      </a:stretch>
                    </pic:blipFill>
                    <pic:spPr>
                      <a:xfrm>
                        <a:off x="0" y="0"/>
                        <a:ext cx="226060" cy="19367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63500</wp:posOffset>
              </wp:positionH>
              <wp:positionV relativeFrom="paragraph">
                <wp:posOffset>8178800</wp:posOffset>
              </wp:positionV>
              <wp:extent cx="8890" cy="12700"/>
              <wp:effectExtent b="0" l="0" r="0" t="0"/>
              <wp:wrapNone/>
              <wp:docPr id="53" name=""/>
              <a:graphic>
                <a:graphicData uri="http://schemas.microsoft.com/office/word/2010/wordprocessingShape">
                  <wps:wsp>
                    <wps:cNvSpPr/>
                    <wps:cNvPr id="25" name="Shape 25"/>
                    <wps:spPr>
                      <a:xfrm>
                        <a:off x="4433188" y="3775555"/>
                        <a:ext cx="182562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8178800</wp:posOffset>
              </wp:positionV>
              <wp:extent cx="8890" cy="12700"/>
              <wp:effectExtent b="0" l="0" r="0" t="0"/>
              <wp:wrapNone/>
              <wp:docPr id="5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1127125" cy="188595"/>
              <wp:effectExtent b="0" l="0" r="0" t="0"/>
              <wp:wrapNone/>
              <wp:docPr id="48" name=""/>
              <a:graphic>
                <a:graphicData uri="http://schemas.microsoft.com/office/word/2010/wordprocessingShape">
                  <wps:wsp>
                    <wps:cNvSpPr/>
                    <wps:cNvPr id="20" name="Shape 20"/>
                    <wps:spPr>
                      <a:xfrm>
                        <a:off x="4787200" y="3690465"/>
                        <a:ext cx="1117600" cy="17907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51</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Supra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n47, s 18(2).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8890000</wp:posOffset>
              </wp:positionV>
              <wp:extent cx="1127125" cy="188595"/>
              <wp:effectExtent b="0" l="0" r="0" t="0"/>
              <wp:wrapNone/>
              <wp:docPr id="48"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2712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7" name=""/>
              <a:graphic>
                <a:graphicData uri="http://schemas.microsoft.com/office/word/2010/wordprocessingShape">
                  <wps:wsp>
                    <wps:cNvSpPr/>
                    <wps:cNvPr id="9" name="Shape 9"/>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37"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226060" cy="19367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45" name=""/>
              <a:graphic>
                <a:graphicData uri="http://schemas.microsoft.com/office/word/2010/wordprocessingShape">
                  <wps:wsp>
                    <wps:cNvSpPr/>
                    <wps:cNvPr id="17" name="Shape 17"/>
                    <wps:spPr>
                      <a:xfrm>
                        <a:off x="5237733" y="3687925"/>
                        <a:ext cx="216535" cy="18415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9245600</wp:posOffset>
              </wp:positionV>
              <wp:extent cx="226060" cy="193675"/>
              <wp:effectExtent b="0" l="0" r="0" t="0"/>
              <wp:wrapNone/>
              <wp:docPr id="4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26060"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478" w:hanging="364"/>
      </w:pPr>
      <w:rPr/>
    </w:lvl>
    <w:lvl w:ilvl="1">
      <w:start w:val="0"/>
      <w:numFmt w:val="decimal"/>
      <w:lvlText w:val="%1.%2"/>
      <w:lvlJc w:val="left"/>
      <w:pPr>
        <w:ind w:left="478" w:hanging="364"/>
      </w:pPr>
      <w:rPr>
        <w:rFonts w:ascii="Times New Roman" w:cs="Times New Roman" w:eastAsia="Times New Roman" w:hAnsi="Times New Roman"/>
        <w:b w:val="1"/>
        <w:sz w:val="24"/>
        <w:szCs w:val="24"/>
      </w:rPr>
    </w:lvl>
    <w:lvl w:ilvl="2">
      <w:start w:val="0"/>
      <w:numFmt w:val="bullet"/>
      <w:lvlText w:val="⊗"/>
      <w:lvlJc w:val="left"/>
      <w:pPr>
        <w:ind w:left="832" w:hanging="358.99999999999994"/>
      </w:pPr>
      <w:rPr>
        <w:rFonts w:ascii="Noto Sans Symbols" w:cs="Noto Sans Symbols" w:eastAsia="Noto Sans Symbols" w:hAnsi="Noto Sans Symbols"/>
        <w:sz w:val="24"/>
        <w:szCs w:val="24"/>
      </w:rPr>
    </w:lvl>
    <w:lvl w:ilvl="3">
      <w:start w:val="0"/>
      <w:numFmt w:val="bullet"/>
      <w:lvlText w:val="•"/>
      <w:lvlJc w:val="left"/>
      <w:pPr>
        <w:ind w:left="2777" w:hanging="359"/>
      </w:pPr>
      <w:rPr/>
    </w:lvl>
    <w:lvl w:ilvl="4">
      <w:start w:val="0"/>
      <w:numFmt w:val="bullet"/>
      <w:lvlText w:val="•"/>
      <w:lvlJc w:val="left"/>
      <w:pPr>
        <w:ind w:left="3746" w:hanging="358.99999999999955"/>
      </w:pPr>
      <w:rPr/>
    </w:lvl>
    <w:lvl w:ilvl="5">
      <w:start w:val="0"/>
      <w:numFmt w:val="bullet"/>
      <w:lvlText w:val="•"/>
      <w:lvlJc w:val="left"/>
      <w:pPr>
        <w:ind w:left="4715" w:hanging="359"/>
      </w:pPr>
      <w:rPr/>
    </w:lvl>
    <w:lvl w:ilvl="6">
      <w:start w:val="0"/>
      <w:numFmt w:val="bullet"/>
      <w:lvlText w:val="•"/>
      <w:lvlJc w:val="left"/>
      <w:pPr>
        <w:ind w:left="5684" w:hanging="359"/>
      </w:pPr>
      <w:rPr/>
    </w:lvl>
    <w:lvl w:ilvl="7">
      <w:start w:val="0"/>
      <w:numFmt w:val="bullet"/>
      <w:lvlText w:val="•"/>
      <w:lvlJc w:val="left"/>
      <w:pPr>
        <w:ind w:left="6653" w:hanging="359"/>
      </w:pPr>
      <w:rPr/>
    </w:lvl>
    <w:lvl w:ilvl="8">
      <w:start w:val="0"/>
      <w:numFmt w:val="bullet"/>
      <w:lvlText w:val="•"/>
      <w:lvlJc w:val="left"/>
      <w:pPr>
        <w:ind w:left="7622" w:hanging="358.9999999999991"/>
      </w:pPr>
      <w:rPr/>
    </w:lvl>
  </w:abstractNum>
  <w:abstractNum w:abstractNumId="2">
    <w:lvl w:ilvl="0">
      <w:start w:val="0"/>
      <w:numFmt w:val="bullet"/>
      <w:lvlText w:val="⊗"/>
      <w:lvlJc w:val="left"/>
      <w:pPr>
        <w:ind w:left="832" w:hanging="358.99999999999994"/>
      </w:pPr>
      <w:rPr>
        <w:rFonts w:ascii="Noto Sans Symbols" w:cs="Noto Sans Symbols" w:eastAsia="Noto Sans Symbols" w:hAnsi="Noto Sans Symbols"/>
        <w:sz w:val="24"/>
        <w:szCs w:val="24"/>
      </w:rPr>
    </w:lvl>
    <w:lvl w:ilvl="1">
      <w:start w:val="0"/>
      <w:numFmt w:val="bullet"/>
      <w:lvlText w:val="•"/>
      <w:lvlJc w:val="left"/>
      <w:pPr>
        <w:ind w:left="1712" w:hanging="359.0000000000002"/>
      </w:pPr>
      <w:rPr/>
    </w:lvl>
    <w:lvl w:ilvl="2">
      <w:start w:val="0"/>
      <w:numFmt w:val="bullet"/>
      <w:lvlText w:val="•"/>
      <w:lvlJc w:val="left"/>
      <w:pPr>
        <w:ind w:left="2584" w:hanging="359.00000000000045"/>
      </w:pPr>
      <w:rPr/>
    </w:lvl>
    <w:lvl w:ilvl="3">
      <w:start w:val="0"/>
      <w:numFmt w:val="bullet"/>
      <w:lvlText w:val="•"/>
      <w:lvlJc w:val="left"/>
      <w:pPr>
        <w:ind w:left="3456" w:hanging="358.99999999999955"/>
      </w:pPr>
      <w:rPr/>
    </w:lvl>
    <w:lvl w:ilvl="4">
      <w:start w:val="0"/>
      <w:numFmt w:val="bullet"/>
      <w:lvlText w:val="•"/>
      <w:lvlJc w:val="left"/>
      <w:pPr>
        <w:ind w:left="4328" w:hanging="358.99999999999955"/>
      </w:pPr>
      <w:rPr/>
    </w:lvl>
    <w:lvl w:ilvl="5">
      <w:start w:val="0"/>
      <w:numFmt w:val="bullet"/>
      <w:lvlText w:val="•"/>
      <w:lvlJc w:val="left"/>
      <w:pPr>
        <w:ind w:left="5200" w:hanging="359"/>
      </w:pPr>
      <w:rPr/>
    </w:lvl>
    <w:lvl w:ilvl="6">
      <w:start w:val="0"/>
      <w:numFmt w:val="bullet"/>
      <w:lvlText w:val="•"/>
      <w:lvlJc w:val="left"/>
      <w:pPr>
        <w:ind w:left="6072" w:hanging="358.9999999999991"/>
      </w:pPr>
      <w:rPr/>
    </w:lvl>
    <w:lvl w:ilvl="7">
      <w:start w:val="0"/>
      <w:numFmt w:val="bullet"/>
      <w:lvlText w:val="•"/>
      <w:lvlJc w:val="left"/>
      <w:pPr>
        <w:ind w:left="6944" w:hanging="359"/>
      </w:pPr>
      <w:rPr/>
    </w:lvl>
    <w:lvl w:ilvl="8">
      <w:start w:val="0"/>
      <w:numFmt w:val="bullet"/>
      <w:lvlText w:val="•"/>
      <w:lvlJc w:val="left"/>
      <w:pPr>
        <w:ind w:left="7816" w:hanging="359"/>
      </w:pPr>
      <w:rPr/>
    </w:lvl>
  </w:abstractNum>
  <w:abstractNum w:abstractNumId="3">
    <w:lvl w:ilvl="0">
      <w:start w:val="0"/>
      <w:numFmt w:val="bullet"/>
      <w:lvlText w:val="⊗"/>
      <w:lvlJc w:val="left"/>
      <w:pPr>
        <w:ind w:left="832" w:hanging="358.99999999999994"/>
      </w:pPr>
      <w:rPr>
        <w:rFonts w:ascii="Noto Sans Symbols" w:cs="Noto Sans Symbols" w:eastAsia="Noto Sans Symbols" w:hAnsi="Noto Sans Symbols"/>
        <w:sz w:val="24"/>
        <w:szCs w:val="24"/>
      </w:rPr>
    </w:lvl>
    <w:lvl w:ilvl="1">
      <w:start w:val="0"/>
      <w:numFmt w:val="bullet"/>
      <w:lvlText w:val="•"/>
      <w:lvlJc w:val="left"/>
      <w:pPr>
        <w:ind w:left="1712" w:hanging="359.0000000000002"/>
      </w:pPr>
      <w:rPr/>
    </w:lvl>
    <w:lvl w:ilvl="2">
      <w:start w:val="0"/>
      <w:numFmt w:val="bullet"/>
      <w:lvlText w:val="•"/>
      <w:lvlJc w:val="left"/>
      <w:pPr>
        <w:ind w:left="2584" w:hanging="359.00000000000045"/>
      </w:pPr>
      <w:rPr/>
    </w:lvl>
    <w:lvl w:ilvl="3">
      <w:start w:val="0"/>
      <w:numFmt w:val="bullet"/>
      <w:lvlText w:val="•"/>
      <w:lvlJc w:val="left"/>
      <w:pPr>
        <w:ind w:left="3456" w:hanging="358.99999999999955"/>
      </w:pPr>
      <w:rPr/>
    </w:lvl>
    <w:lvl w:ilvl="4">
      <w:start w:val="0"/>
      <w:numFmt w:val="bullet"/>
      <w:lvlText w:val="•"/>
      <w:lvlJc w:val="left"/>
      <w:pPr>
        <w:ind w:left="4328" w:hanging="358.99999999999955"/>
      </w:pPr>
      <w:rPr/>
    </w:lvl>
    <w:lvl w:ilvl="5">
      <w:start w:val="0"/>
      <w:numFmt w:val="bullet"/>
      <w:lvlText w:val="•"/>
      <w:lvlJc w:val="left"/>
      <w:pPr>
        <w:ind w:left="5200" w:hanging="359"/>
      </w:pPr>
      <w:rPr/>
    </w:lvl>
    <w:lvl w:ilvl="6">
      <w:start w:val="0"/>
      <w:numFmt w:val="bullet"/>
      <w:lvlText w:val="•"/>
      <w:lvlJc w:val="left"/>
      <w:pPr>
        <w:ind w:left="6072" w:hanging="358.9999999999991"/>
      </w:pPr>
      <w:rPr/>
    </w:lvl>
    <w:lvl w:ilvl="7">
      <w:start w:val="0"/>
      <w:numFmt w:val="bullet"/>
      <w:lvlText w:val="•"/>
      <w:lvlJc w:val="left"/>
      <w:pPr>
        <w:ind w:left="6944" w:hanging="359"/>
      </w:pPr>
      <w:rPr/>
    </w:lvl>
    <w:lvl w:ilvl="8">
      <w:start w:val="0"/>
      <w:numFmt w:val="bullet"/>
      <w:lvlText w:val="•"/>
      <w:lvlJc w:val="left"/>
      <w:pPr>
        <w:ind w:left="7816" w:hanging="359"/>
      </w:pPr>
      <w:rPr/>
    </w:lvl>
  </w:abstractNum>
  <w:abstractNum w:abstractNumId="4">
    <w:lvl w:ilvl="0">
      <w:start w:val="1"/>
      <w:numFmt w:val="decimal"/>
      <w:lvlText w:val="%1"/>
      <w:lvlJc w:val="left"/>
      <w:pPr>
        <w:ind w:left="478" w:hanging="364"/>
      </w:pPr>
      <w:rPr/>
    </w:lvl>
    <w:lvl w:ilvl="1">
      <w:start w:val="0"/>
      <w:numFmt w:val="decimal"/>
      <w:lvlText w:val="%1.%2"/>
      <w:lvlJc w:val="left"/>
      <w:pPr>
        <w:ind w:left="478" w:hanging="364"/>
      </w:pPr>
      <w:rPr>
        <w:rFonts w:ascii="Times New Roman" w:cs="Times New Roman" w:eastAsia="Times New Roman" w:hAnsi="Times New Roman"/>
        <w:b w:val="1"/>
        <w:sz w:val="24"/>
        <w:szCs w:val="24"/>
      </w:rPr>
    </w:lvl>
    <w:lvl w:ilvl="2">
      <w:start w:val="1"/>
      <w:numFmt w:val="decimal"/>
      <w:lvlText w:val="%1.%2.%3"/>
      <w:lvlJc w:val="left"/>
      <w:pPr>
        <w:ind w:left="655" w:hanging="541"/>
      </w:pPr>
      <w:rPr>
        <w:rFonts w:ascii="Times New Roman" w:cs="Times New Roman" w:eastAsia="Times New Roman" w:hAnsi="Times New Roman"/>
        <w:b w:val="1"/>
        <w:sz w:val="24"/>
        <w:szCs w:val="24"/>
      </w:rPr>
    </w:lvl>
    <w:lvl w:ilvl="3">
      <w:start w:val="0"/>
      <w:numFmt w:val="bullet"/>
      <w:lvlText w:val="⊗"/>
      <w:lvlJc w:val="left"/>
      <w:pPr>
        <w:ind w:left="832" w:hanging="358.99999999999994"/>
      </w:pPr>
      <w:rPr>
        <w:rFonts w:ascii="Noto Sans Symbols" w:cs="Noto Sans Symbols" w:eastAsia="Noto Sans Symbols" w:hAnsi="Noto Sans Symbols"/>
        <w:sz w:val="24"/>
        <w:szCs w:val="24"/>
      </w:rPr>
    </w:lvl>
    <w:lvl w:ilvl="4">
      <w:start w:val="0"/>
      <w:numFmt w:val="bullet"/>
      <w:lvlText w:val="•"/>
      <w:lvlJc w:val="left"/>
      <w:pPr>
        <w:ind w:left="3020" w:hanging="359"/>
      </w:pPr>
      <w:rPr/>
    </w:lvl>
    <w:lvl w:ilvl="5">
      <w:start w:val="0"/>
      <w:numFmt w:val="bullet"/>
      <w:lvlText w:val="•"/>
      <w:lvlJc w:val="left"/>
      <w:pPr>
        <w:ind w:left="4110" w:hanging="359"/>
      </w:pPr>
      <w:rPr/>
    </w:lvl>
    <w:lvl w:ilvl="6">
      <w:start w:val="0"/>
      <w:numFmt w:val="bullet"/>
      <w:lvlText w:val="•"/>
      <w:lvlJc w:val="left"/>
      <w:pPr>
        <w:ind w:left="5200" w:hanging="359"/>
      </w:pPr>
      <w:rPr/>
    </w:lvl>
    <w:lvl w:ilvl="7">
      <w:start w:val="0"/>
      <w:numFmt w:val="bullet"/>
      <w:lvlText w:val="•"/>
      <w:lvlJc w:val="left"/>
      <w:pPr>
        <w:ind w:left="6290" w:hanging="359"/>
      </w:pPr>
      <w:rPr/>
    </w:lvl>
    <w:lvl w:ilvl="8">
      <w:start w:val="0"/>
      <w:numFmt w:val="bullet"/>
      <w:lvlText w:val="•"/>
      <w:lvlJc w:val="left"/>
      <w:pPr>
        <w:ind w:left="7380" w:hanging="359"/>
      </w:pPr>
      <w:rPr/>
    </w:lvl>
  </w:abstractNum>
  <w:abstractNum w:abstractNumId="5">
    <w:lvl w:ilvl="0">
      <w:start w:val="1"/>
      <w:numFmt w:val="lowerLetter"/>
      <w:lvlText w:val="(%1)"/>
      <w:lvlJc w:val="left"/>
      <w:pPr>
        <w:ind w:left="115" w:hanging="360"/>
      </w:pPr>
      <w:rPr>
        <w:rFonts w:ascii="Times New Roman" w:cs="Times New Roman" w:eastAsia="Times New Roman" w:hAnsi="Times New Roman"/>
        <w:sz w:val="24"/>
        <w:szCs w:val="24"/>
      </w:rPr>
    </w:lvl>
    <w:lvl w:ilvl="1">
      <w:start w:val="0"/>
      <w:numFmt w:val="bullet"/>
      <w:lvlText w:val="•"/>
      <w:lvlJc w:val="left"/>
      <w:pPr>
        <w:ind w:left="1064" w:hanging="360"/>
      </w:pPr>
      <w:rPr/>
    </w:lvl>
    <w:lvl w:ilvl="2">
      <w:start w:val="0"/>
      <w:numFmt w:val="bullet"/>
      <w:lvlText w:val="•"/>
      <w:lvlJc w:val="left"/>
      <w:pPr>
        <w:ind w:left="2008" w:hanging="360"/>
      </w:pPr>
      <w:rPr/>
    </w:lvl>
    <w:lvl w:ilvl="3">
      <w:start w:val="0"/>
      <w:numFmt w:val="bullet"/>
      <w:lvlText w:val="•"/>
      <w:lvlJc w:val="left"/>
      <w:pPr>
        <w:ind w:left="2952" w:hanging="360"/>
      </w:pPr>
      <w:rPr/>
    </w:lvl>
    <w:lvl w:ilvl="4">
      <w:start w:val="0"/>
      <w:numFmt w:val="bullet"/>
      <w:lvlText w:val="•"/>
      <w:lvlJc w:val="left"/>
      <w:pPr>
        <w:ind w:left="3896" w:hanging="360"/>
      </w:pPr>
      <w:rPr/>
    </w:lvl>
    <w:lvl w:ilvl="5">
      <w:start w:val="0"/>
      <w:numFmt w:val="bullet"/>
      <w:lvlText w:val="•"/>
      <w:lvlJc w:val="left"/>
      <w:pPr>
        <w:ind w:left="4840" w:hanging="360"/>
      </w:pPr>
      <w:rPr/>
    </w:lvl>
    <w:lvl w:ilvl="6">
      <w:start w:val="0"/>
      <w:numFmt w:val="bullet"/>
      <w:lvlText w:val="•"/>
      <w:lvlJc w:val="left"/>
      <w:pPr>
        <w:ind w:left="5784" w:hanging="360"/>
      </w:pPr>
      <w:rPr/>
    </w:lvl>
    <w:lvl w:ilvl="7">
      <w:start w:val="0"/>
      <w:numFmt w:val="bullet"/>
      <w:lvlText w:val="•"/>
      <w:lvlJc w:val="left"/>
      <w:pPr>
        <w:ind w:left="6728" w:hanging="360"/>
      </w:pPr>
      <w:rPr/>
    </w:lvl>
    <w:lvl w:ilvl="8">
      <w:start w:val="0"/>
      <w:numFmt w:val="bullet"/>
      <w:lvlText w:val="•"/>
      <w:lvlJc w:val="left"/>
      <w:pPr>
        <w:ind w:left="7672" w:hanging="360"/>
      </w:pPr>
      <w:rPr/>
    </w:lvl>
  </w:abstractNum>
  <w:abstractNum w:abstractNumId="6">
    <w:lvl w:ilvl="0">
      <w:start w:val="2"/>
      <w:numFmt w:val="decimal"/>
      <w:lvlText w:val="%1"/>
      <w:lvlJc w:val="left"/>
      <w:pPr>
        <w:ind w:left="450" w:hanging="336"/>
      </w:pPr>
      <w:rPr/>
    </w:lvl>
    <w:lvl w:ilvl="1">
      <w:start w:val="0"/>
      <w:numFmt w:val="decimal"/>
      <w:lvlText w:val="%1.%2"/>
      <w:lvlJc w:val="left"/>
      <w:pPr>
        <w:ind w:left="450" w:hanging="336"/>
      </w:pPr>
      <w:rPr>
        <w:rFonts w:ascii="Times New Roman" w:cs="Times New Roman" w:eastAsia="Times New Roman" w:hAnsi="Times New Roman"/>
        <w:sz w:val="22"/>
        <w:szCs w:val="22"/>
      </w:rPr>
    </w:lvl>
    <w:lvl w:ilvl="2">
      <w:start w:val="1"/>
      <w:numFmt w:val="decimal"/>
      <w:lvlText w:val="%1.%2.%3"/>
      <w:lvlJc w:val="left"/>
      <w:pPr>
        <w:ind w:left="608" w:hanging="494"/>
      </w:pPr>
      <w:rPr/>
    </w:lvl>
    <w:lvl w:ilvl="3">
      <w:start w:val="0"/>
      <w:numFmt w:val="bullet"/>
      <w:lvlText w:val="•"/>
      <w:lvlJc w:val="left"/>
      <w:pPr>
        <w:ind w:left="2591" w:hanging="494"/>
      </w:pPr>
      <w:rPr/>
    </w:lvl>
    <w:lvl w:ilvl="4">
      <w:start w:val="0"/>
      <w:numFmt w:val="bullet"/>
      <w:lvlText w:val="•"/>
      <w:lvlJc w:val="left"/>
      <w:pPr>
        <w:ind w:left="3586" w:hanging="493.99999999999955"/>
      </w:pPr>
      <w:rPr/>
    </w:lvl>
    <w:lvl w:ilvl="5">
      <w:start w:val="0"/>
      <w:numFmt w:val="bullet"/>
      <w:lvlText w:val="•"/>
      <w:lvlJc w:val="left"/>
      <w:pPr>
        <w:ind w:left="4582" w:hanging="494"/>
      </w:pPr>
      <w:rPr/>
    </w:lvl>
    <w:lvl w:ilvl="6">
      <w:start w:val="0"/>
      <w:numFmt w:val="bullet"/>
      <w:lvlText w:val="•"/>
      <w:lvlJc w:val="left"/>
      <w:pPr>
        <w:ind w:left="5577" w:hanging="493.9999999999991"/>
      </w:pPr>
      <w:rPr/>
    </w:lvl>
    <w:lvl w:ilvl="7">
      <w:start w:val="0"/>
      <w:numFmt w:val="bullet"/>
      <w:lvlText w:val="•"/>
      <w:lvlJc w:val="left"/>
      <w:pPr>
        <w:ind w:left="6573" w:hanging="494"/>
      </w:pPr>
      <w:rPr/>
    </w:lvl>
    <w:lvl w:ilvl="8">
      <w:start w:val="0"/>
      <w:numFmt w:val="bullet"/>
      <w:lvlText w:val="•"/>
      <w:lvlJc w:val="left"/>
      <w:pPr>
        <w:ind w:left="7568" w:hanging="494"/>
      </w:pPr>
      <w:rPr/>
    </w:lvl>
  </w:abstractNum>
  <w:abstractNum w:abstractNumId="7">
    <w:lvl w:ilvl="0">
      <w:start w:val="0"/>
      <w:numFmt w:val="bullet"/>
      <w:lvlText w:val="⊗"/>
      <w:lvlJc w:val="left"/>
      <w:pPr>
        <w:ind w:left="832" w:hanging="358.99999999999994"/>
      </w:pPr>
      <w:rPr>
        <w:rFonts w:ascii="Noto Sans Symbols" w:cs="Noto Sans Symbols" w:eastAsia="Noto Sans Symbols" w:hAnsi="Noto Sans Symbols"/>
        <w:sz w:val="24"/>
        <w:szCs w:val="24"/>
      </w:rPr>
    </w:lvl>
    <w:lvl w:ilvl="1">
      <w:start w:val="0"/>
      <w:numFmt w:val="bullet"/>
      <w:lvlText w:val="•"/>
      <w:lvlJc w:val="left"/>
      <w:pPr>
        <w:ind w:left="1712" w:hanging="359.0000000000002"/>
      </w:pPr>
      <w:rPr/>
    </w:lvl>
    <w:lvl w:ilvl="2">
      <w:start w:val="0"/>
      <w:numFmt w:val="bullet"/>
      <w:lvlText w:val="•"/>
      <w:lvlJc w:val="left"/>
      <w:pPr>
        <w:ind w:left="2584" w:hanging="359.00000000000045"/>
      </w:pPr>
      <w:rPr/>
    </w:lvl>
    <w:lvl w:ilvl="3">
      <w:start w:val="0"/>
      <w:numFmt w:val="bullet"/>
      <w:lvlText w:val="•"/>
      <w:lvlJc w:val="left"/>
      <w:pPr>
        <w:ind w:left="3456" w:hanging="358.99999999999955"/>
      </w:pPr>
      <w:rPr/>
    </w:lvl>
    <w:lvl w:ilvl="4">
      <w:start w:val="0"/>
      <w:numFmt w:val="bullet"/>
      <w:lvlText w:val="•"/>
      <w:lvlJc w:val="left"/>
      <w:pPr>
        <w:ind w:left="4328" w:hanging="358.99999999999955"/>
      </w:pPr>
      <w:rPr/>
    </w:lvl>
    <w:lvl w:ilvl="5">
      <w:start w:val="0"/>
      <w:numFmt w:val="bullet"/>
      <w:lvlText w:val="•"/>
      <w:lvlJc w:val="left"/>
      <w:pPr>
        <w:ind w:left="5200" w:hanging="359"/>
      </w:pPr>
      <w:rPr/>
    </w:lvl>
    <w:lvl w:ilvl="6">
      <w:start w:val="0"/>
      <w:numFmt w:val="bullet"/>
      <w:lvlText w:val="•"/>
      <w:lvlJc w:val="left"/>
      <w:pPr>
        <w:ind w:left="6072" w:hanging="358.9999999999991"/>
      </w:pPr>
      <w:rPr/>
    </w:lvl>
    <w:lvl w:ilvl="7">
      <w:start w:val="0"/>
      <w:numFmt w:val="bullet"/>
      <w:lvlText w:val="•"/>
      <w:lvlJc w:val="left"/>
      <w:pPr>
        <w:ind w:left="6944" w:hanging="359"/>
      </w:pPr>
      <w:rPr/>
    </w:lvl>
    <w:lvl w:ilvl="8">
      <w:start w:val="0"/>
      <w:numFmt w:val="bullet"/>
      <w:lvlText w:val="•"/>
      <w:lvlJc w:val="left"/>
      <w:pPr>
        <w:ind w:left="7816" w:hanging="359"/>
      </w:pPr>
      <w:rPr/>
    </w:lvl>
  </w:abstractNum>
  <w:abstractNum w:abstractNumId="8">
    <w:lvl w:ilvl="0">
      <w:start w:val="1"/>
      <w:numFmt w:val="decimal"/>
      <w:lvlText w:val="%1"/>
      <w:lvlJc w:val="left"/>
      <w:pPr>
        <w:ind w:left="450" w:hanging="336"/>
      </w:pPr>
      <w:rPr/>
    </w:lvl>
    <w:lvl w:ilvl="1">
      <w:start w:val="0"/>
      <w:numFmt w:val="decimal"/>
      <w:lvlText w:val="%1.%2"/>
      <w:lvlJc w:val="left"/>
      <w:pPr>
        <w:ind w:left="450" w:hanging="336"/>
      </w:pPr>
      <w:rPr>
        <w:rFonts w:ascii="Times New Roman" w:cs="Times New Roman" w:eastAsia="Times New Roman" w:hAnsi="Times New Roman"/>
        <w:sz w:val="22"/>
        <w:szCs w:val="22"/>
      </w:rPr>
    </w:lvl>
    <w:lvl w:ilvl="2">
      <w:start w:val="1"/>
      <w:numFmt w:val="decimal"/>
      <w:lvlText w:val="%1.%2.%3"/>
      <w:lvlJc w:val="left"/>
      <w:pPr>
        <w:ind w:left="613" w:hanging="499"/>
      </w:pPr>
      <w:rPr>
        <w:rFonts w:ascii="Times New Roman" w:cs="Times New Roman" w:eastAsia="Times New Roman" w:hAnsi="Times New Roman"/>
        <w:sz w:val="22"/>
        <w:szCs w:val="22"/>
      </w:rPr>
    </w:lvl>
    <w:lvl w:ilvl="3">
      <w:start w:val="0"/>
      <w:numFmt w:val="bullet"/>
      <w:lvlText w:val="•"/>
      <w:lvlJc w:val="left"/>
      <w:pPr>
        <w:ind w:left="2606" w:hanging="499"/>
      </w:pPr>
      <w:rPr/>
    </w:lvl>
    <w:lvl w:ilvl="4">
      <w:start w:val="0"/>
      <w:numFmt w:val="bullet"/>
      <w:lvlText w:val="•"/>
      <w:lvlJc w:val="left"/>
      <w:pPr>
        <w:ind w:left="3600" w:hanging="499"/>
      </w:pPr>
      <w:rPr/>
    </w:lvl>
    <w:lvl w:ilvl="5">
      <w:start w:val="0"/>
      <w:numFmt w:val="bullet"/>
      <w:lvlText w:val="•"/>
      <w:lvlJc w:val="left"/>
      <w:pPr>
        <w:ind w:left="4593" w:hanging="498.99999999999955"/>
      </w:pPr>
      <w:rPr/>
    </w:lvl>
    <w:lvl w:ilvl="6">
      <w:start w:val="0"/>
      <w:numFmt w:val="bullet"/>
      <w:lvlText w:val="•"/>
      <w:lvlJc w:val="left"/>
      <w:pPr>
        <w:ind w:left="5586" w:hanging="499"/>
      </w:pPr>
      <w:rPr/>
    </w:lvl>
    <w:lvl w:ilvl="7">
      <w:start w:val="0"/>
      <w:numFmt w:val="bullet"/>
      <w:lvlText w:val="•"/>
      <w:lvlJc w:val="left"/>
      <w:pPr>
        <w:ind w:left="6580" w:hanging="499"/>
      </w:pPr>
      <w:rPr/>
    </w:lvl>
    <w:lvl w:ilvl="8">
      <w:start w:val="0"/>
      <w:numFmt w:val="bullet"/>
      <w:lvlText w:val="•"/>
      <w:lvlJc w:val="left"/>
      <w:pPr>
        <w:ind w:left="7573" w:hanging="499"/>
      </w:pPr>
      <w:rPr/>
    </w:lvl>
  </w:abstractNum>
  <w:abstractNum w:abstractNumId="9">
    <w:lvl w:ilvl="0">
      <w:start w:val="1"/>
      <w:numFmt w:val="decimal"/>
      <w:lvlText w:val="(%1)"/>
      <w:lvlJc w:val="left"/>
      <w:pPr>
        <w:ind w:left="402" w:hanging="288"/>
      </w:pPr>
      <w:rPr>
        <w:rFonts w:ascii="Times New Roman" w:cs="Times New Roman" w:eastAsia="Times New Roman" w:hAnsi="Times New Roman"/>
        <w:sz w:val="20"/>
        <w:szCs w:val="20"/>
      </w:rPr>
    </w:lvl>
    <w:lvl w:ilvl="1">
      <w:start w:val="1"/>
      <w:numFmt w:val="lowerLetter"/>
      <w:lvlText w:val="(%2)"/>
      <w:lvlJc w:val="left"/>
      <w:pPr>
        <w:ind w:left="402" w:hanging="288"/>
      </w:pPr>
      <w:rPr>
        <w:rFonts w:ascii="Times New Roman" w:cs="Times New Roman" w:eastAsia="Times New Roman" w:hAnsi="Times New Roman"/>
        <w:sz w:val="20"/>
        <w:szCs w:val="20"/>
      </w:rPr>
    </w:lvl>
    <w:lvl w:ilvl="2">
      <w:start w:val="0"/>
      <w:numFmt w:val="bullet"/>
      <w:lvlText w:val="•"/>
      <w:lvlJc w:val="left"/>
      <w:pPr>
        <w:ind w:left="2232" w:hanging="288.0000000000002"/>
      </w:pPr>
      <w:rPr/>
    </w:lvl>
    <w:lvl w:ilvl="3">
      <w:start w:val="0"/>
      <w:numFmt w:val="bullet"/>
      <w:lvlText w:val="•"/>
      <w:lvlJc w:val="left"/>
      <w:pPr>
        <w:ind w:left="3148" w:hanging="288"/>
      </w:pPr>
      <w:rPr/>
    </w:lvl>
    <w:lvl w:ilvl="4">
      <w:start w:val="0"/>
      <w:numFmt w:val="bullet"/>
      <w:lvlText w:val="•"/>
      <w:lvlJc w:val="left"/>
      <w:pPr>
        <w:ind w:left="4064" w:hanging="288.00000000000045"/>
      </w:pPr>
      <w:rPr/>
    </w:lvl>
    <w:lvl w:ilvl="5">
      <w:start w:val="0"/>
      <w:numFmt w:val="bullet"/>
      <w:lvlText w:val="•"/>
      <w:lvlJc w:val="left"/>
      <w:pPr>
        <w:ind w:left="4980" w:hanging="288"/>
      </w:pPr>
      <w:rPr/>
    </w:lvl>
    <w:lvl w:ilvl="6">
      <w:start w:val="0"/>
      <w:numFmt w:val="bullet"/>
      <w:lvlText w:val="•"/>
      <w:lvlJc w:val="left"/>
      <w:pPr>
        <w:ind w:left="5896" w:hanging="287.9999999999991"/>
      </w:pPr>
      <w:rPr/>
    </w:lvl>
    <w:lvl w:ilvl="7">
      <w:start w:val="0"/>
      <w:numFmt w:val="bullet"/>
      <w:lvlText w:val="•"/>
      <w:lvlJc w:val="left"/>
      <w:pPr>
        <w:ind w:left="6812" w:hanging="287.9999999999991"/>
      </w:pPr>
      <w:rPr/>
    </w:lvl>
    <w:lvl w:ilvl="8">
      <w:start w:val="0"/>
      <w:numFmt w:val="bullet"/>
      <w:lvlText w:val="•"/>
      <w:lvlJc w:val="left"/>
      <w:pPr>
        <w:ind w:left="7728" w:hanging="288"/>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832" w:hanging="358.99999999999994"/>
      </w:pPr>
      <w:rPr>
        <w:rFonts w:ascii="Noto Sans Symbols" w:cs="Noto Sans Symbols" w:eastAsia="Noto Sans Symbols" w:hAnsi="Noto Sans Symbols"/>
        <w:sz w:val="24"/>
        <w:szCs w:val="24"/>
      </w:rPr>
    </w:lvl>
    <w:lvl w:ilvl="1">
      <w:start w:val="0"/>
      <w:numFmt w:val="bullet"/>
      <w:lvlText w:val="•"/>
      <w:lvlJc w:val="left"/>
      <w:pPr>
        <w:ind w:left="1712" w:hanging="359.0000000000002"/>
      </w:pPr>
      <w:rPr/>
    </w:lvl>
    <w:lvl w:ilvl="2">
      <w:start w:val="0"/>
      <w:numFmt w:val="bullet"/>
      <w:lvlText w:val="•"/>
      <w:lvlJc w:val="left"/>
      <w:pPr>
        <w:ind w:left="2584" w:hanging="359.00000000000045"/>
      </w:pPr>
      <w:rPr/>
    </w:lvl>
    <w:lvl w:ilvl="3">
      <w:start w:val="0"/>
      <w:numFmt w:val="bullet"/>
      <w:lvlText w:val="•"/>
      <w:lvlJc w:val="left"/>
      <w:pPr>
        <w:ind w:left="3456" w:hanging="358.99999999999955"/>
      </w:pPr>
      <w:rPr/>
    </w:lvl>
    <w:lvl w:ilvl="4">
      <w:start w:val="0"/>
      <w:numFmt w:val="bullet"/>
      <w:lvlText w:val="•"/>
      <w:lvlJc w:val="left"/>
      <w:pPr>
        <w:ind w:left="4328" w:hanging="358.99999999999955"/>
      </w:pPr>
      <w:rPr/>
    </w:lvl>
    <w:lvl w:ilvl="5">
      <w:start w:val="0"/>
      <w:numFmt w:val="bullet"/>
      <w:lvlText w:val="•"/>
      <w:lvlJc w:val="left"/>
      <w:pPr>
        <w:ind w:left="5200" w:hanging="359"/>
      </w:pPr>
      <w:rPr/>
    </w:lvl>
    <w:lvl w:ilvl="6">
      <w:start w:val="0"/>
      <w:numFmt w:val="bullet"/>
      <w:lvlText w:val="•"/>
      <w:lvlJc w:val="left"/>
      <w:pPr>
        <w:ind w:left="6072" w:hanging="358.9999999999991"/>
      </w:pPr>
      <w:rPr/>
    </w:lvl>
    <w:lvl w:ilvl="7">
      <w:start w:val="0"/>
      <w:numFmt w:val="bullet"/>
      <w:lvlText w:val="•"/>
      <w:lvlJc w:val="left"/>
      <w:pPr>
        <w:ind w:left="6944" w:hanging="359"/>
      </w:pPr>
      <w:rPr/>
    </w:lvl>
    <w:lvl w:ilvl="8">
      <w:start w:val="0"/>
      <w:numFmt w:val="bullet"/>
      <w:lvlText w:val="•"/>
      <w:lvlJc w:val="left"/>
      <w:pPr>
        <w:ind w:left="7816" w:hanging="359"/>
      </w:pPr>
      <w:rPr/>
    </w:lvl>
  </w:abstractNum>
  <w:abstractNum w:abstractNumId="12">
    <w:lvl w:ilvl="0">
      <w:start w:val="2"/>
      <w:numFmt w:val="decimal"/>
      <w:lvlText w:val="%1"/>
      <w:lvlJc w:val="left"/>
      <w:pPr>
        <w:ind w:left="656" w:hanging="542.0000000000001"/>
      </w:pPr>
      <w:rPr/>
    </w:lvl>
    <w:lvl w:ilvl="1">
      <w:start w:val="3"/>
      <w:numFmt w:val="decimal"/>
      <w:lvlText w:val="%1.%2"/>
      <w:lvlJc w:val="left"/>
      <w:pPr>
        <w:ind w:left="656" w:hanging="542.0000000000001"/>
      </w:pPr>
      <w:rPr/>
    </w:lvl>
    <w:lvl w:ilvl="2">
      <w:start w:val="1"/>
      <w:numFmt w:val="decimal"/>
      <w:lvlText w:val="%1.%2.%3"/>
      <w:lvlJc w:val="left"/>
      <w:pPr>
        <w:ind w:left="656" w:hanging="542.0000000000001"/>
      </w:pPr>
      <w:rPr>
        <w:rFonts w:ascii="Times New Roman" w:cs="Times New Roman" w:eastAsia="Times New Roman" w:hAnsi="Times New Roman"/>
        <w:b w:val="1"/>
        <w:sz w:val="24"/>
        <w:szCs w:val="24"/>
      </w:rPr>
    </w:lvl>
    <w:lvl w:ilvl="3">
      <w:start w:val="0"/>
      <w:numFmt w:val="bullet"/>
      <w:lvlText w:val="⊗"/>
      <w:lvlJc w:val="left"/>
      <w:pPr>
        <w:ind w:left="832" w:hanging="358.99999999999994"/>
      </w:pPr>
      <w:rPr>
        <w:rFonts w:ascii="Noto Sans Symbols" w:cs="Noto Sans Symbols" w:eastAsia="Noto Sans Symbols" w:hAnsi="Noto Sans Symbols"/>
        <w:sz w:val="24"/>
        <w:szCs w:val="24"/>
      </w:rPr>
    </w:lvl>
    <w:lvl w:ilvl="4">
      <w:start w:val="0"/>
      <w:numFmt w:val="bullet"/>
      <w:lvlText w:val="•"/>
      <w:lvlJc w:val="left"/>
      <w:pPr>
        <w:ind w:left="3746" w:hanging="358.99999999999955"/>
      </w:pPr>
      <w:rPr/>
    </w:lvl>
    <w:lvl w:ilvl="5">
      <w:start w:val="0"/>
      <w:numFmt w:val="bullet"/>
      <w:lvlText w:val="•"/>
      <w:lvlJc w:val="left"/>
      <w:pPr>
        <w:ind w:left="4715" w:hanging="359"/>
      </w:pPr>
      <w:rPr/>
    </w:lvl>
    <w:lvl w:ilvl="6">
      <w:start w:val="0"/>
      <w:numFmt w:val="bullet"/>
      <w:lvlText w:val="•"/>
      <w:lvlJc w:val="left"/>
      <w:pPr>
        <w:ind w:left="5684" w:hanging="359"/>
      </w:pPr>
      <w:rPr/>
    </w:lvl>
    <w:lvl w:ilvl="7">
      <w:start w:val="0"/>
      <w:numFmt w:val="bullet"/>
      <w:lvlText w:val="•"/>
      <w:lvlJc w:val="left"/>
      <w:pPr>
        <w:ind w:left="6653" w:hanging="359"/>
      </w:pPr>
      <w:rPr/>
    </w:lvl>
    <w:lvl w:ilvl="8">
      <w:start w:val="0"/>
      <w:numFmt w:val="bullet"/>
      <w:lvlText w:val="•"/>
      <w:lvlJc w:val="left"/>
      <w:pPr>
        <w:ind w:left="7622" w:hanging="358.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832" w:hanging="359"/>
      <w:jc w:val="both"/>
    </w:pPr>
    <w:rPr>
      <w:b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4" w:lineRule="auto"/>
      <w:ind w:left="568" w:right="571"/>
      <w:jc w:val="center"/>
    </w:pPr>
    <w:rPr>
      <w:b w:val="1"/>
      <w:sz w:val="36"/>
      <w:szCs w:val="36"/>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832" w:hanging="359"/>
      <w:jc w:val="both"/>
      <w:outlineLvl w:val="0"/>
    </w:pPr>
    <w:rPr>
      <w:b w:val="1"/>
      <w:bCs w:val="1"/>
      <w:sz w:val="24"/>
      <w:szCs w:val="24"/>
    </w:rPr>
  </w:style>
  <w:style w:type="paragraph" w:styleId="Heading2">
    <w:name w:val="heading 2"/>
    <w:basedOn w:val="Normal"/>
    <w:next w:val="Normal"/>
    <w:link w:val="Heading2Char"/>
    <w:uiPriority w:val="9"/>
    <w:semiHidden w:val="1"/>
    <w:unhideWhenUsed w:val="1"/>
    <w:qFormat w:val="1"/>
    <w:rsid w:val="00AF464E"/>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7"/>
      <w:ind w:left="115" w:hanging="542"/>
    </w:pPr>
    <w:rPr>
      <w:sz w:val="24"/>
      <w:szCs w:val="24"/>
    </w:rPr>
  </w:style>
  <w:style w:type="paragraph" w:styleId="TOC2">
    <w:name w:val="toc 2"/>
    <w:basedOn w:val="Normal"/>
    <w:uiPriority w:val="1"/>
    <w:qFormat w:val="1"/>
    <w:pPr>
      <w:spacing w:before="137"/>
      <w:ind w:left="445" w:hanging="331"/>
    </w:pPr>
  </w:style>
  <w:style w:type="paragraph" w:styleId="BodyText">
    <w:name w:val="Body Text"/>
    <w:basedOn w:val="Normal"/>
    <w:uiPriority w:val="1"/>
    <w:qFormat w:val="1"/>
    <w:rPr>
      <w:sz w:val="24"/>
      <w:szCs w:val="24"/>
    </w:rPr>
  </w:style>
  <w:style w:type="paragraph" w:styleId="Title">
    <w:name w:val="Title"/>
    <w:basedOn w:val="Normal"/>
    <w:uiPriority w:val="1"/>
    <w:qFormat w:val="1"/>
    <w:pPr>
      <w:spacing w:before="84"/>
      <w:ind w:left="568" w:right="571"/>
      <w:jc w:val="center"/>
    </w:pPr>
    <w:rPr>
      <w:b w:val="1"/>
      <w:bCs w:val="1"/>
      <w:sz w:val="36"/>
      <w:szCs w:val="36"/>
    </w:rPr>
  </w:style>
  <w:style w:type="paragraph" w:styleId="ListParagraph">
    <w:name w:val="List Paragraph"/>
    <w:basedOn w:val="Normal"/>
    <w:uiPriority w:val="1"/>
    <w:qFormat w:val="1"/>
    <w:pPr>
      <w:ind w:left="832" w:hanging="359"/>
      <w:jc w:val="both"/>
    </w:pPr>
  </w:style>
  <w:style w:type="paragraph" w:styleId="TableParagraph" w:customStyle="1">
    <w:name w:val="Table Paragraph"/>
    <w:basedOn w:val="Normal"/>
    <w:uiPriority w:val="1"/>
    <w:qFormat w:val="1"/>
  </w:style>
  <w:style w:type="character" w:styleId="Heading2Char" w:customStyle="1">
    <w:name w:val="Heading 2 Char"/>
    <w:basedOn w:val="DefaultParagraphFont"/>
    <w:link w:val="Heading2"/>
    <w:uiPriority w:val="9"/>
    <w:semiHidden w:val="1"/>
    <w:rsid w:val="00AF464E"/>
    <w:rPr>
      <w:rFonts w:asciiTheme="majorHAnsi" w:cstheme="majorBidi" w:eastAsiaTheme="majorEastAsia" w:hAnsiTheme="majorHAnsi"/>
      <w:color w:val="365f91" w:themeColor="accent1" w:themeShade="0000BF"/>
      <w:sz w:val="26"/>
      <w:szCs w:val="26"/>
    </w:rPr>
  </w:style>
  <w:style w:type="paragraph" w:styleId="BalloonText">
    <w:name w:val="Balloon Text"/>
    <w:basedOn w:val="Normal"/>
    <w:link w:val="BalloonTextChar"/>
    <w:uiPriority w:val="99"/>
    <w:semiHidden w:val="1"/>
    <w:unhideWhenUsed w:val="1"/>
    <w:rsid w:val="00144F0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44F02"/>
    <w:rPr>
      <w:rFonts w:ascii="Segoe UI" w:cs="Segoe UI"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7.xml"/><Relationship Id="rId42" Type="http://schemas.openxmlformats.org/officeDocument/2006/relationships/image" Target="media/image11.png"/><Relationship Id="rId41" Type="http://schemas.openxmlformats.org/officeDocument/2006/relationships/footer" Target="footer9.xml"/><Relationship Id="rId44" Type="http://schemas.openxmlformats.org/officeDocument/2006/relationships/hyperlink" Target="https://www.ikigailaw.com/kenyas-huduma-namba-ambition-fraught-with-risk/" TargetMode="External"/><Relationship Id="rId43" Type="http://schemas.openxmlformats.org/officeDocument/2006/relationships/hyperlink" Target="https://www.ikigailaw.com/kenyas-data-protection-act-an-overview/" TargetMode="External"/><Relationship Id="rId46" Type="http://schemas.openxmlformats.org/officeDocument/2006/relationships/hyperlink" Target="https://www.ikigailaw.com/kenyas-data-protection-act-an-overview/#_ftn4" TargetMode="External"/><Relationship Id="rId45" Type="http://schemas.openxmlformats.org/officeDocument/2006/relationships/hyperlink" Target="https://www.ikigailaw.com/kenyas-data-protection-act-an-overview/#_ftn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sdkenya.org/insights/11-02-28_FSDinsights_consumer_protection_issue_03.pdf" TargetMode="External"/><Relationship Id="rId48" Type="http://schemas.openxmlformats.org/officeDocument/2006/relationships/hyperlink" Target="https://www.ikigailaw.com/kenyas-data-protection-act-an-overview/#_ftn6" TargetMode="External"/><Relationship Id="rId47" Type="http://schemas.openxmlformats.org/officeDocument/2006/relationships/hyperlink" Target="https://www.ikigailaw.com/kenyas-data-protection-act-an-overview/#_ftn5" TargetMode="External"/><Relationship Id="rId49" Type="http://schemas.openxmlformats.org/officeDocument/2006/relationships/hyperlink" Target="https://www.ikigailaw.com/kenyas-data-protection-act-an-overview/#_ftn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image" Target="media/image4.png"/><Relationship Id="rId31" Type="http://schemas.openxmlformats.org/officeDocument/2006/relationships/hyperlink" Target="http://www.standarmedia.co.ke/" TargetMode="External"/><Relationship Id="rId30" Type="http://schemas.openxmlformats.org/officeDocument/2006/relationships/image" Target="media/image6.png"/><Relationship Id="rId33" Type="http://schemas.openxmlformats.org/officeDocument/2006/relationships/footer" Target="footer6.xml"/><Relationship Id="rId32" Type="http://schemas.openxmlformats.org/officeDocument/2006/relationships/hyperlink" Target="http://www.standarmedia.co.ke/" TargetMode="External"/><Relationship Id="rId35" Type="http://schemas.openxmlformats.org/officeDocument/2006/relationships/image" Target="media/image12.png"/><Relationship Id="rId34" Type="http://schemas.openxmlformats.org/officeDocument/2006/relationships/image" Target="media/image2.png"/><Relationship Id="rId37" Type="http://schemas.openxmlformats.org/officeDocument/2006/relationships/footer" Target="footer5.xml"/><Relationship Id="rId36" Type="http://schemas.openxmlformats.org/officeDocument/2006/relationships/image" Target="media/image3.png"/><Relationship Id="rId39" Type="http://schemas.openxmlformats.org/officeDocument/2006/relationships/footer" Target="footer8.xml"/><Relationship Id="rId38" Type="http://schemas.openxmlformats.org/officeDocument/2006/relationships/image" Target="media/image13.png"/><Relationship Id="rId61" Type="http://schemas.openxmlformats.org/officeDocument/2006/relationships/hyperlink" Target="https://www.ikigailaw.com/kenyas-data-protection-act-an-overview/#_ftn27" TargetMode="External"/><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image" Target="media/image27.png"/><Relationship Id="rId24" Type="http://schemas.openxmlformats.org/officeDocument/2006/relationships/footer" Target="footer4.xml"/><Relationship Id="rId23" Type="http://schemas.openxmlformats.org/officeDocument/2006/relationships/image" Target="media/image22.png"/><Relationship Id="rId60" Type="http://schemas.openxmlformats.org/officeDocument/2006/relationships/hyperlink" Target="https://www.ikigailaw.com/kenyas-data-protection-act-an-overview/#_ftn26" TargetMode="External"/><Relationship Id="rId26" Type="http://schemas.openxmlformats.org/officeDocument/2006/relationships/hyperlink" Target="http://www.businessdailyafrica.com/New-law-widens-door-for-consumer-right" TargetMode="External"/><Relationship Id="rId25" Type="http://schemas.openxmlformats.org/officeDocument/2006/relationships/hyperlink" Target="http://www.businessdailyafrica.com/New-law-widens-door-for-consumer-right" TargetMode="External"/><Relationship Id="rId28" Type="http://schemas.openxmlformats.org/officeDocument/2006/relationships/footer" Target="footer3.xml"/><Relationship Id="rId27" Type="http://schemas.openxmlformats.org/officeDocument/2006/relationships/image" Target="media/image28.png"/><Relationship Id="rId29" Type="http://schemas.openxmlformats.org/officeDocument/2006/relationships/image" Target="media/image10.png"/><Relationship Id="rId51" Type="http://schemas.openxmlformats.org/officeDocument/2006/relationships/hyperlink" Target="https://www.ikigailaw.com/kenyas-data-protection-act-an-overview/#_ftn9" TargetMode="External"/><Relationship Id="rId50" Type="http://schemas.openxmlformats.org/officeDocument/2006/relationships/hyperlink" Target="https://www.ikigailaw.com/kenyas-data-protection-act-an-overview/#_ftn8" TargetMode="External"/><Relationship Id="rId53" Type="http://schemas.openxmlformats.org/officeDocument/2006/relationships/hyperlink" Target="https://www.ikigailaw.com/kenyas-data-protection-act-an-overview/#_ftn11" TargetMode="External"/><Relationship Id="rId52" Type="http://schemas.openxmlformats.org/officeDocument/2006/relationships/hyperlink" Target="https://www.ikigailaw.com/kenyas-data-protection-act-an-overview/#_ftn10" TargetMode="External"/><Relationship Id="rId11" Type="http://schemas.openxmlformats.org/officeDocument/2006/relationships/hyperlink" Target="http://www.partnership-africa.org/content/kenya-vision-2030-a" TargetMode="External"/><Relationship Id="rId55" Type="http://schemas.openxmlformats.org/officeDocument/2006/relationships/hyperlink" Target="https://www.ikigailaw.com/kenyas-data-protection-act-an-overview/#_ftn13" TargetMode="External"/><Relationship Id="rId10" Type="http://schemas.openxmlformats.org/officeDocument/2006/relationships/hyperlink" Target="http://www.fsdkenya.org/insights/11-02-28_FSDinsights_consumer_protection_issue_03.pdf" TargetMode="External"/><Relationship Id="rId54" Type="http://schemas.openxmlformats.org/officeDocument/2006/relationships/hyperlink" Target="https://www.ikigailaw.com/kenyas-data-protection-act-an-overview/#_ftn12" TargetMode="External"/><Relationship Id="rId13" Type="http://schemas.openxmlformats.org/officeDocument/2006/relationships/hyperlink" Target="http://www.partnership-africa.org/content/kenya-vision-2030-a" TargetMode="External"/><Relationship Id="rId57" Type="http://schemas.openxmlformats.org/officeDocument/2006/relationships/hyperlink" Target="https://www.ikigailaw.com/kenyas-data-protection-act-an-overview/#_ftn15" TargetMode="External"/><Relationship Id="rId12" Type="http://schemas.openxmlformats.org/officeDocument/2006/relationships/hyperlink" Target="http://www.partnership-africa.org/content/kenya-vision-2030-a" TargetMode="External"/><Relationship Id="rId56" Type="http://schemas.openxmlformats.org/officeDocument/2006/relationships/hyperlink" Target="https://www.ikigailaw.com/kenyas-data-protection-act-an-overview/#_ftn14" TargetMode="External"/><Relationship Id="rId15" Type="http://schemas.openxmlformats.org/officeDocument/2006/relationships/hyperlink" Target="http://www.partnership-africa.org/content/kenya-vision-2030-a" TargetMode="External"/><Relationship Id="rId59" Type="http://schemas.openxmlformats.org/officeDocument/2006/relationships/hyperlink" Target="https://www.ikigailaw.com/kenyas-data-protection-act-an-overview/#_ftn17" TargetMode="External"/><Relationship Id="rId14" Type="http://schemas.openxmlformats.org/officeDocument/2006/relationships/hyperlink" Target="http://www.partnership-africa.org/content/kenya-vision-2030-a" TargetMode="External"/><Relationship Id="rId58" Type="http://schemas.openxmlformats.org/officeDocument/2006/relationships/hyperlink" Target="https://www.ikigailaw.com/kenyas-data-protection-act-an-overview/#_ftn16" TargetMode="External"/><Relationship Id="rId17" Type="http://schemas.openxmlformats.org/officeDocument/2006/relationships/hyperlink" Target="http://www.partnership-africa.org/content/kenya-vision-2030-a" TargetMode="External"/><Relationship Id="rId16" Type="http://schemas.openxmlformats.org/officeDocument/2006/relationships/hyperlink" Target="http://www.partnership-africa.org/content/kenya-vision-2030-a" TargetMode="External"/><Relationship Id="rId19" Type="http://schemas.openxmlformats.org/officeDocument/2006/relationships/footer" Target="footer1.xml"/><Relationship Id="rId18" Type="http://schemas.openxmlformats.org/officeDocument/2006/relationships/hyperlink" Target="http://www.partnership-africa.org/content/kenya-vision-203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9.png"/><Relationship Id="rId3"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4.png"/><Relationship Id="rId3" Type="http://schemas.openxmlformats.org/officeDocument/2006/relationships/image" Target="media/image26.png"/></Relationships>
</file>

<file path=word/_rels/footer8.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19.png"/><Relationship Id="rId3" Type="http://schemas.openxmlformats.org/officeDocument/2006/relationships/image" Target="media/image8.png"/></Relationships>
</file>

<file path=word/_rels/foot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ph2a/wPAHwmhAAC8rkjlZ1QnPw==">CgMxLjAyCGguZ2pkZ3hzMgloLjMwajB6bGwyCWguMWZvYjl0ZTIJaC4zem55c2g3MgloLjJldDkycDAyCGgudHlqY3d0MgloLjNkeTZ2a20yCWguMXQzaDVzZjIJaC40ZDM0b2c4MgloLjJzOGV5bzEyCWguMTdkcDh2dTIJaC4zcmRjcmpuMgloLjI2aW4xcmcyCGgubG54Yno5MgloLjM1bmt1bjI4AHIhMUJJUWxXemJiclRYeTV6YmxOaWYtU2VpYkJFcXlzd0Vl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2022-04-20T05:54:00Z</dcterms:created>
  <dc:creator>George Mbaye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2014-06-05T00:00:00Z</vt:filetime>
  </property>
  <property fmtid="{D5CDD505-2E9C-101B-9397-08002B2CF9AE}" pid="3" name="Creator">
    <vt:lpwstr>vspdflib (www.visagesoft.com)</vt:lpwstr>
  </property>
  <property fmtid="{D5CDD505-2E9C-101B-9397-08002B2CF9AE}" pid="4" name="LastSaved">
    <vt:filetime>2022-04-19T00:00:00Z</vt:filetime>
  </property>
</Properties>
</file>