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7959508"/>
        <w:docPartObj>
          <w:docPartGallery w:val="Cover Pages"/>
          <w:docPartUnique/>
        </w:docPartObj>
      </w:sdtPr>
      <w:sdtContent>
        <w:p w14:paraId="6354E7C5" w14:textId="71152A1D" w:rsidR="003C1A23" w:rsidRDefault="003C1A23">
          <w:r>
            <w:rPr>
              <w:noProof/>
            </w:rPr>
            <w:drawing>
              <wp:anchor distT="0" distB="0" distL="114300" distR="114300" simplePos="0" relativeHeight="251658240" behindDoc="0" locked="0" layoutInCell="1" allowOverlap="1" wp14:anchorId="489A20A4" wp14:editId="29462954">
                <wp:simplePos x="0" y="0"/>
                <wp:positionH relativeFrom="margin">
                  <wp:align>center</wp:align>
                </wp:positionH>
                <wp:positionV relativeFrom="paragraph">
                  <wp:posOffset>0</wp:posOffset>
                </wp:positionV>
                <wp:extent cx="3095625" cy="3449320"/>
                <wp:effectExtent l="0" t="0" r="9525" b="0"/>
                <wp:wrapSquare wrapText="bothSides"/>
                <wp:docPr id="7151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5625" cy="3449320"/>
                        </a:xfrm>
                        <a:prstGeom prst="rect">
                          <a:avLst/>
                        </a:prstGeom>
                        <a:noFill/>
                      </pic:spPr>
                    </pic:pic>
                  </a:graphicData>
                </a:graphic>
                <wp14:sizeRelH relativeFrom="page">
                  <wp14:pctWidth>0</wp14:pctWidth>
                </wp14:sizeRelH>
                <wp14:sizeRelV relativeFrom="page">
                  <wp14:pctHeight>0</wp14:pctHeight>
                </wp14:sizeRelV>
              </wp:anchor>
            </w:drawing>
          </w:r>
        </w:p>
        <w:p w14:paraId="492E252F" w14:textId="59F300B3" w:rsidR="003C1A23" w:rsidRDefault="003C1A23"/>
        <w:p w14:paraId="095A4654" w14:textId="77777777" w:rsidR="003C1A23" w:rsidRDefault="003C1A23"/>
        <w:p w14:paraId="697FD732" w14:textId="4EBDEAD2" w:rsidR="003C1A23" w:rsidRDefault="003C1A23"/>
        <w:p w14:paraId="488ABEFD" w14:textId="3CCF2041" w:rsidR="00913248" w:rsidRDefault="00913248"/>
        <w:p w14:paraId="78762CC5" w14:textId="77777777" w:rsidR="003C1A23" w:rsidRDefault="003C1A23"/>
        <w:p w14:paraId="7076F61F" w14:textId="77777777" w:rsidR="003C1A23" w:rsidRDefault="003C1A23"/>
        <w:p w14:paraId="382AB380" w14:textId="77777777" w:rsidR="003C1A23" w:rsidRDefault="003C1A23"/>
        <w:p w14:paraId="632FF30F" w14:textId="77777777" w:rsidR="003C1A23" w:rsidRDefault="003C1A23"/>
        <w:p w14:paraId="46DFE8CC" w14:textId="77777777" w:rsidR="003C1A23" w:rsidRDefault="003C1A23"/>
        <w:p w14:paraId="78196102" w14:textId="77777777" w:rsidR="003C1A23" w:rsidRDefault="003C1A23"/>
        <w:p w14:paraId="4C424A63" w14:textId="77777777" w:rsidR="003C1A23" w:rsidRDefault="003C1A23"/>
        <w:p w14:paraId="185AF808" w14:textId="77777777" w:rsidR="003C1A23" w:rsidRDefault="003C1A23"/>
        <w:p w14:paraId="7E1481A3" w14:textId="0838E6FC" w:rsidR="003C1A23" w:rsidRPr="00F575A4" w:rsidRDefault="003C1A23" w:rsidP="003C1A23">
          <w:pPr>
            <w:jc w:val="center"/>
            <w:rPr>
              <w:rFonts w:ascii="Book Antiqua" w:hAnsi="Book Antiqua"/>
              <w:b/>
              <w:bCs/>
              <w:sz w:val="40"/>
              <w:szCs w:val="40"/>
            </w:rPr>
          </w:pPr>
          <w:r w:rsidRPr="00F575A4">
            <w:rPr>
              <w:rFonts w:ascii="Book Antiqua" w:hAnsi="Book Antiqua"/>
              <w:b/>
              <w:bCs/>
              <w:sz w:val="40"/>
              <w:szCs w:val="40"/>
            </w:rPr>
            <w:t>ATP 10</w:t>
          </w:r>
          <w:r w:rsidR="00EB5492">
            <w:rPr>
              <w:rFonts w:ascii="Book Antiqua" w:hAnsi="Book Antiqua"/>
              <w:b/>
              <w:bCs/>
              <w:sz w:val="40"/>
              <w:szCs w:val="40"/>
            </w:rPr>
            <w:t>7</w:t>
          </w:r>
          <w:r w:rsidRPr="00F575A4">
            <w:rPr>
              <w:rFonts w:ascii="Book Antiqua" w:hAnsi="Book Antiqua"/>
              <w:b/>
              <w:bCs/>
              <w:sz w:val="40"/>
              <w:szCs w:val="40"/>
            </w:rPr>
            <w:t xml:space="preserve">: </w:t>
          </w:r>
          <w:r w:rsidR="00EB5492">
            <w:rPr>
              <w:rFonts w:ascii="Book Antiqua" w:hAnsi="Book Antiqua"/>
              <w:b/>
              <w:bCs/>
              <w:sz w:val="40"/>
              <w:szCs w:val="40"/>
            </w:rPr>
            <w:t>Conveyancing Law</w:t>
          </w:r>
        </w:p>
        <w:p w14:paraId="09C0620B" w14:textId="4CCB8EE8" w:rsidR="003C1A23" w:rsidRPr="00F575A4" w:rsidRDefault="003C1A23" w:rsidP="003C1A23">
          <w:pPr>
            <w:jc w:val="center"/>
            <w:rPr>
              <w:rFonts w:ascii="Book Antiqua" w:hAnsi="Book Antiqua"/>
              <w:b/>
              <w:bCs/>
              <w:sz w:val="40"/>
              <w:szCs w:val="40"/>
            </w:rPr>
          </w:pPr>
          <w:r w:rsidRPr="00F575A4">
            <w:rPr>
              <w:rFonts w:ascii="Book Antiqua" w:hAnsi="Book Antiqua"/>
              <w:b/>
              <w:bCs/>
              <w:sz w:val="40"/>
              <w:szCs w:val="40"/>
            </w:rPr>
            <w:t xml:space="preserve">Assignment 1: </w:t>
          </w:r>
          <w:r w:rsidR="00EB5492">
            <w:rPr>
              <w:rFonts w:ascii="Book Antiqua" w:hAnsi="Book Antiqua"/>
              <w:b/>
              <w:bCs/>
              <w:sz w:val="40"/>
              <w:szCs w:val="40"/>
            </w:rPr>
            <w:t>Historical Development of Conveyancing Law</w:t>
          </w:r>
        </w:p>
        <w:p w14:paraId="65647399" w14:textId="3F7C93FD" w:rsidR="003C1A23" w:rsidRPr="003C1A23" w:rsidRDefault="003C1A23" w:rsidP="003C1A23">
          <w:pPr>
            <w:jc w:val="center"/>
            <w:rPr>
              <w:rFonts w:ascii="Book Antiqua" w:hAnsi="Book Antiqua"/>
              <w:b/>
              <w:bCs/>
              <w:sz w:val="24"/>
              <w:szCs w:val="24"/>
              <w:u w:val="single"/>
            </w:rPr>
          </w:pPr>
          <w:r w:rsidRPr="003C1A23">
            <w:rPr>
              <w:rFonts w:ascii="Book Antiqua" w:hAnsi="Book Antiqua"/>
              <w:b/>
              <w:bCs/>
              <w:sz w:val="24"/>
              <w:szCs w:val="24"/>
              <w:u w:val="single"/>
            </w:rPr>
            <w:t>Firm</w:t>
          </w:r>
          <w:r>
            <w:rPr>
              <w:rFonts w:ascii="Book Antiqua" w:hAnsi="Book Antiqua"/>
              <w:b/>
              <w:bCs/>
              <w:sz w:val="24"/>
              <w:szCs w:val="24"/>
              <w:u w:val="single"/>
            </w:rPr>
            <w:t xml:space="preserve"> 1</w:t>
          </w:r>
          <w:r w:rsidRPr="003C1A23">
            <w:rPr>
              <w:rFonts w:ascii="Book Antiqua" w:hAnsi="Book Antiqua"/>
              <w:b/>
              <w:bCs/>
              <w:sz w:val="24"/>
              <w:szCs w:val="24"/>
              <w:u w:val="single"/>
            </w:rPr>
            <w:t xml:space="preserve"> Members:</w:t>
          </w:r>
        </w:p>
        <w:p w14:paraId="4BDFFCB1" w14:textId="7DAEB51C" w:rsidR="003C1A23" w:rsidRPr="003C1A23" w:rsidRDefault="003C1A23" w:rsidP="003C1A23">
          <w:pPr>
            <w:jc w:val="center"/>
            <w:rPr>
              <w:rFonts w:ascii="Book Antiqua" w:hAnsi="Book Antiqua"/>
              <w:sz w:val="24"/>
              <w:szCs w:val="24"/>
            </w:rPr>
          </w:pPr>
          <w:r w:rsidRPr="003C1A23">
            <w:rPr>
              <w:rFonts w:ascii="Book Antiqua" w:hAnsi="Book Antiqua"/>
              <w:sz w:val="24"/>
              <w:szCs w:val="24"/>
            </w:rPr>
            <w:t>Larry Chula</w:t>
          </w:r>
          <w:r w:rsidR="00DD010F">
            <w:rPr>
              <w:rFonts w:ascii="Book Antiqua" w:hAnsi="Book Antiqua"/>
              <w:sz w:val="24"/>
              <w:szCs w:val="24"/>
            </w:rPr>
            <w:t xml:space="preserve"> - 20240059</w:t>
          </w:r>
        </w:p>
        <w:p w14:paraId="7246619C" w14:textId="51D3967F" w:rsidR="003C1A23" w:rsidRPr="003C1A23" w:rsidRDefault="003C1A23" w:rsidP="003C1A23">
          <w:pPr>
            <w:jc w:val="center"/>
            <w:rPr>
              <w:rFonts w:ascii="Book Antiqua" w:hAnsi="Book Antiqua"/>
              <w:sz w:val="24"/>
              <w:szCs w:val="24"/>
            </w:rPr>
          </w:pPr>
          <w:r w:rsidRPr="003C1A23">
            <w:rPr>
              <w:rFonts w:ascii="Book Antiqua" w:hAnsi="Book Antiqua"/>
              <w:sz w:val="24"/>
              <w:szCs w:val="24"/>
            </w:rPr>
            <w:t>Patience Mwangi</w:t>
          </w:r>
          <w:r w:rsidR="00DD010F">
            <w:rPr>
              <w:rFonts w:ascii="Book Antiqua" w:hAnsi="Book Antiqua"/>
              <w:sz w:val="24"/>
              <w:szCs w:val="24"/>
            </w:rPr>
            <w:t xml:space="preserve"> - 20240811</w:t>
          </w:r>
        </w:p>
        <w:p w14:paraId="3AB72534" w14:textId="13892870" w:rsidR="003C1A23" w:rsidRPr="003C1A23" w:rsidRDefault="003C1A23" w:rsidP="003C1A23">
          <w:pPr>
            <w:jc w:val="center"/>
            <w:rPr>
              <w:rFonts w:ascii="Book Antiqua" w:hAnsi="Book Antiqua"/>
              <w:sz w:val="24"/>
              <w:szCs w:val="24"/>
            </w:rPr>
          </w:pPr>
          <w:r w:rsidRPr="003C1A23">
            <w:rPr>
              <w:rFonts w:ascii="Book Antiqua" w:hAnsi="Book Antiqua"/>
              <w:sz w:val="24"/>
              <w:szCs w:val="24"/>
            </w:rPr>
            <w:t>Joan Ndichu</w:t>
          </w:r>
          <w:r w:rsidR="00DD010F">
            <w:rPr>
              <w:rFonts w:ascii="Book Antiqua" w:hAnsi="Book Antiqua"/>
              <w:sz w:val="24"/>
              <w:szCs w:val="24"/>
            </w:rPr>
            <w:t xml:space="preserve"> - 20240004</w:t>
          </w:r>
        </w:p>
        <w:p w14:paraId="3952C714" w14:textId="66C3B72E" w:rsidR="003C1A23" w:rsidRPr="003C1A23" w:rsidRDefault="003C1A23" w:rsidP="003C1A23">
          <w:pPr>
            <w:jc w:val="center"/>
            <w:rPr>
              <w:rFonts w:ascii="Book Antiqua" w:hAnsi="Book Antiqua"/>
              <w:sz w:val="24"/>
              <w:szCs w:val="24"/>
            </w:rPr>
          </w:pPr>
          <w:r w:rsidRPr="003C1A23">
            <w:rPr>
              <w:rFonts w:ascii="Book Antiqua" w:hAnsi="Book Antiqua"/>
              <w:sz w:val="24"/>
              <w:szCs w:val="24"/>
            </w:rPr>
            <w:t>Otieno Luke</w:t>
          </w:r>
          <w:r w:rsidR="00DD010F">
            <w:rPr>
              <w:rFonts w:ascii="Book Antiqua" w:hAnsi="Book Antiqua"/>
              <w:sz w:val="24"/>
              <w:szCs w:val="24"/>
            </w:rPr>
            <w:t xml:space="preserve"> - 20240023</w:t>
          </w:r>
        </w:p>
        <w:p w14:paraId="4DCC0278" w14:textId="6E3C63AA" w:rsidR="003C1A23" w:rsidRPr="003C1A23" w:rsidRDefault="003C1A23" w:rsidP="003C1A23">
          <w:pPr>
            <w:jc w:val="center"/>
            <w:rPr>
              <w:rFonts w:ascii="Book Antiqua" w:hAnsi="Book Antiqua"/>
              <w:sz w:val="24"/>
              <w:szCs w:val="24"/>
            </w:rPr>
          </w:pPr>
          <w:r w:rsidRPr="003C1A23">
            <w:rPr>
              <w:rFonts w:ascii="Book Antiqua" w:hAnsi="Book Antiqua"/>
              <w:sz w:val="24"/>
              <w:szCs w:val="24"/>
            </w:rPr>
            <w:t>Nafula Charity</w:t>
          </w:r>
          <w:r w:rsidR="00DD010F">
            <w:rPr>
              <w:rFonts w:ascii="Book Antiqua" w:hAnsi="Book Antiqua"/>
              <w:sz w:val="24"/>
              <w:szCs w:val="24"/>
            </w:rPr>
            <w:t xml:space="preserve"> - 20240009</w:t>
          </w:r>
        </w:p>
        <w:p w14:paraId="15AE1CA6" w14:textId="53FD456F" w:rsidR="003C1A23" w:rsidRPr="003C1A23" w:rsidRDefault="003C1A23" w:rsidP="003C1A23">
          <w:pPr>
            <w:jc w:val="center"/>
            <w:rPr>
              <w:rFonts w:ascii="Book Antiqua" w:hAnsi="Book Antiqua"/>
              <w:sz w:val="24"/>
              <w:szCs w:val="24"/>
            </w:rPr>
          </w:pPr>
          <w:r w:rsidRPr="003C1A23">
            <w:rPr>
              <w:rFonts w:ascii="Book Antiqua" w:hAnsi="Book Antiqua"/>
              <w:sz w:val="24"/>
              <w:szCs w:val="24"/>
            </w:rPr>
            <w:t>Ismail Ibrahim</w:t>
          </w:r>
          <w:r w:rsidR="00DD010F">
            <w:rPr>
              <w:rFonts w:ascii="Book Antiqua" w:hAnsi="Book Antiqua"/>
              <w:sz w:val="24"/>
              <w:szCs w:val="24"/>
            </w:rPr>
            <w:t xml:space="preserve"> - 20240022</w:t>
          </w:r>
        </w:p>
        <w:p w14:paraId="2A4E0CDA" w14:textId="07483F6F" w:rsidR="003C1A23" w:rsidRPr="003C1A23" w:rsidRDefault="003C1A23" w:rsidP="003C1A23">
          <w:pPr>
            <w:jc w:val="center"/>
            <w:rPr>
              <w:rFonts w:ascii="Book Antiqua" w:hAnsi="Book Antiqua"/>
              <w:sz w:val="24"/>
              <w:szCs w:val="24"/>
            </w:rPr>
          </w:pPr>
          <w:r w:rsidRPr="003C1A23">
            <w:rPr>
              <w:rFonts w:ascii="Book Antiqua" w:hAnsi="Book Antiqua"/>
              <w:sz w:val="24"/>
              <w:szCs w:val="24"/>
            </w:rPr>
            <w:t>Maingi Brianlee</w:t>
          </w:r>
          <w:r w:rsidR="00DD010F">
            <w:rPr>
              <w:rFonts w:ascii="Book Antiqua" w:hAnsi="Book Antiqua"/>
              <w:sz w:val="24"/>
              <w:szCs w:val="24"/>
            </w:rPr>
            <w:t xml:space="preserve"> - 20240006</w:t>
          </w:r>
        </w:p>
        <w:p w14:paraId="161AA9D1" w14:textId="39BBD928" w:rsidR="003C1A23" w:rsidRPr="003C1A23" w:rsidRDefault="003C1A23" w:rsidP="003C1A23">
          <w:pPr>
            <w:jc w:val="center"/>
            <w:rPr>
              <w:rFonts w:ascii="Book Antiqua" w:hAnsi="Book Antiqua"/>
              <w:sz w:val="24"/>
              <w:szCs w:val="24"/>
            </w:rPr>
          </w:pPr>
          <w:r w:rsidRPr="003C1A23">
            <w:rPr>
              <w:rFonts w:ascii="Book Antiqua" w:hAnsi="Book Antiqua"/>
              <w:sz w:val="24"/>
              <w:szCs w:val="24"/>
            </w:rPr>
            <w:t>Tanzila Yakub</w:t>
          </w:r>
          <w:r w:rsidR="00DD010F">
            <w:rPr>
              <w:rFonts w:ascii="Book Antiqua" w:hAnsi="Book Antiqua"/>
              <w:sz w:val="24"/>
              <w:szCs w:val="24"/>
            </w:rPr>
            <w:t xml:space="preserve"> - 20240007</w:t>
          </w:r>
        </w:p>
        <w:p w14:paraId="3E4E9B22" w14:textId="64B4A8BF" w:rsidR="003C1A23" w:rsidRPr="003C1A23" w:rsidRDefault="003C1A23" w:rsidP="003C1A23">
          <w:pPr>
            <w:jc w:val="center"/>
            <w:rPr>
              <w:rFonts w:ascii="Book Antiqua" w:hAnsi="Book Antiqua"/>
              <w:sz w:val="24"/>
              <w:szCs w:val="24"/>
            </w:rPr>
          </w:pPr>
          <w:r w:rsidRPr="003C1A23">
            <w:rPr>
              <w:rFonts w:ascii="Book Antiqua" w:hAnsi="Book Antiqua"/>
              <w:sz w:val="24"/>
              <w:szCs w:val="24"/>
            </w:rPr>
            <w:t>Loraine Koskei</w:t>
          </w:r>
          <w:r w:rsidR="00DD010F">
            <w:rPr>
              <w:rFonts w:ascii="Book Antiqua" w:hAnsi="Book Antiqua"/>
              <w:sz w:val="24"/>
              <w:szCs w:val="24"/>
            </w:rPr>
            <w:t xml:space="preserve"> - 20240056</w:t>
          </w:r>
        </w:p>
        <w:p w14:paraId="39DA3CE5" w14:textId="0E51414F" w:rsidR="00913248" w:rsidRDefault="003C1A23" w:rsidP="003C1A23">
          <w:pPr>
            <w:jc w:val="center"/>
          </w:pPr>
          <w:r w:rsidRPr="003C1A23">
            <w:rPr>
              <w:rFonts w:ascii="Book Antiqua" w:hAnsi="Book Antiqua"/>
              <w:sz w:val="24"/>
              <w:szCs w:val="24"/>
            </w:rPr>
            <w:t>Criticos Juma</w:t>
          </w:r>
          <w:r w:rsidR="00DD010F">
            <w:rPr>
              <w:rFonts w:ascii="Book Antiqua" w:hAnsi="Book Antiqua"/>
              <w:sz w:val="24"/>
              <w:szCs w:val="24"/>
            </w:rPr>
            <w:t xml:space="preserve"> - 20241512</w:t>
          </w:r>
          <w:r w:rsidR="00913248">
            <w:br w:type="page"/>
          </w:r>
        </w:p>
      </w:sdtContent>
    </w:sdt>
    <w:p w14:paraId="10DDE57B" w14:textId="7168CBD0" w:rsidR="00610D1F" w:rsidRPr="00357125" w:rsidRDefault="00330CF3" w:rsidP="00357125">
      <w:pPr>
        <w:rPr>
          <w:rFonts w:ascii="Times New Roman" w:hAnsi="Times New Roman" w:cs="Times New Roman"/>
          <w:b/>
          <w:bCs/>
          <w:sz w:val="26"/>
          <w:szCs w:val="26"/>
        </w:rPr>
      </w:pPr>
      <w:r>
        <w:rPr>
          <w:rFonts w:ascii="Times New Roman" w:hAnsi="Times New Roman" w:cs="Times New Roman"/>
          <w:b/>
          <w:bCs/>
          <w:sz w:val="26"/>
          <w:szCs w:val="26"/>
        </w:rPr>
        <w:lastRenderedPageBreak/>
        <w:t>1</w:t>
      </w:r>
      <w:r w:rsidR="00070328" w:rsidRPr="00357125">
        <w:rPr>
          <w:rFonts w:ascii="Times New Roman" w:hAnsi="Times New Roman" w:cs="Times New Roman"/>
          <w:b/>
          <w:bCs/>
          <w:sz w:val="26"/>
          <w:szCs w:val="26"/>
        </w:rPr>
        <w:t xml:space="preserve">.0 </w:t>
      </w:r>
      <w:r w:rsidR="00357125" w:rsidRPr="00357125">
        <w:rPr>
          <w:rFonts w:ascii="Times New Roman" w:hAnsi="Times New Roman" w:cs="Times New Roman"/>
          <w:b/>
          <w:bCs/>
          <w:sz w:val="26"/>
          <w:szCs w:val="26"/>
        </w:rPr>
        <w:t>Early roots of conveyancing law in the UK</w:t>
      </w:r>
    </w:p>
    <w:p w14:paraId="124E7331" w14:textId="77777777" w:rsidR="00357125" w:rsidRPr="00357125" w:rsidRDefault="00357125" w:rsidP="00357125">
      <w:pPr>
        <w:spacing w:line="360" w:lineRule="auto"/>
        <w:jc w:val="both"/>
        <w:rPr>
          <w:rFonts w:ascii="Times New Roman" w:eastAsia="Calibri" w:hAnsi="Times New Roman" w:cs="Times New Roman"/>
          <w:kern w:val="0"/>
          <w:sz w:val="24"/>
          <w:szCs w:val="24"/>
          <w14:ligatures w14:val="none"/>
        </w:rPr>
      </w:pPr>
      <w:r w:rsidRPr="00357125">
        <w:rPr>
          <w:rFonts w:ascii="Times New Roman" w:eastAsia="Calibri" w:hAnsi="Times New Roman" w:cs="Times New Roman"/>
          <w:kern w:val="0"/>
          <w:sz w:val="24"/>
          <w:szCs w:val="24"/>
          <w14:ligatures w14:val="none"/>
        </w:rPr>
        <w:t>In early modern Europe, land was not only the primary source of wealth but also a wellspring of social standing, political influence, and extensive legal rights. As such, property in the UK was surrendered to feudal lords, who subsequently handed it to nominees without any procedures or documents, marking the beginning of the growth of conveyancing in the UK until 1535.</w:t>
      </w:r>
      <w:r w:rsidRPr="00357125">
        <w:rPr>
          <w:rFonts w:ascii="Times New Roman" w:eastAsia="Calibri" w:hAnsi="Times New Roman" w:cs="Times New Roman"/>
          <w:kern w:val="0"/>
          <w:sz w:val="24"/>
          <w:szCs w:val="24"/>
          <w:vertAlign w:val="superscript"/>
          <w14:ligatures w14:val="none"/>
        </w:rPr>
        <w:footnoteReference w:id="1"/>
      </w:r>
      <w:r w:rsidRPr="00357125">
        <w:rPr>
          <w:rFonts w:ascii="Times New Roman" w:eastAsia="Calibri" w:hAnsi="Times New Roman" w:cs="Times New Roman"/>
          <w:kern w:val="0"/>
          <w:sz w:val="24"/>
          <w:szCs w:val="24"/>
          <w14:ligatures w14:val="none"/>
        </w:rPr>
        <w:t xml:space="preserve"> A significant change came about in 1535 with the creation of the ‘feoffment’, a type of assurance letter that declared the transferor's surrender of ownership rights.</w:t>
      </w:r>
      <w:r w:rsidRPr="00357125">
        <w:rPr>
          <w:rFonts w:ascii="Times New Roman" w:eastAsia="Calibri" w:hAnsi="Times New Roman" w:cs="Times New Roman"/>
          <w:kern w:val="0"/>
          <w:sz w:val="24"/>
          <w:szCs w:val="24"/>
          <w:vertAlign w:val="superscript"/>
          <w14:ligatures w14:val="none"/>
        </w:rPr>
        <w:footnoteReference w:id="2"/>
      </w:r>
      <w:r w:rsidRPr="00357125">
        <w:rPr>
          <w:rFonts w:ascii="Times New Roman" w:eastAsia="Calibri" w:hAnsi="Times New Roman" w:cs="Times New Roman"/>
          <w:kern w:val="0"/>
          <w:sz w:val="24"/>
          <w:szCs w:val="24"/>
          <w14:ligatures w14:val="none"/>
        </w:rPr>
        <w:t xml:space="preserve"> This guarantee was accompanied by a ritual called the ‘livery of seisin’, which was the official public transfer of ownership in front of feudal lords acting as witnesses.</w:t>
      </w:r>
    </w:p>
    <w:p w14:paraId="66A5E694" w14:textId="77777777" w:rsidR="00357125" w:rsidRPr="00357125" w:rsidRDefault="00357125" w:rsidP="00357125">
      <w:pPr>
        <w:spacing w:line="360" w:lineRule="auto"/>
        <w:jc w:val="both"/>
        <w:rPr>
          <w:rFonts w:ascii="Times New Roman" w:eastAsia="Calibri" w:hAnsi="Times New Roman" w:cs="Times New Roman"/>
          <w:kern w:val="0"/>
          <w:sz w:val="24"/>
          <w:szCs w:val="24"/>
          <w14:ligatures w14:val="none"/>
        </w:rPr>
      </w:pPr>
      <w:r w:rsidRPr="00357125">
        <w:rPr>
          <w:rFonts w:ascii="Times New Roman" w:eastAsia="Calibri" w:hAnsi="Times New Roman" w:cs="Times New Roman"/>
          <w:kern w:val="0"/>
          <w:sz w:val="24"/>
          <w:szCs w:val="24"/>
          <w14:ligatures w14:val="none"/>
        </w:rPr>
        <w:t>Post 1535, conveyancing was significantly impacted by Henry VIII's Statute of Uses. It attempted to make up for losses the Crown suffered when property transactions by feudal lords took place.</w:t>
      </w:r>
      <w:r w:rsidRPr="00357125">
        <w:rPr>
          <w:rFonts w:ascii="Times New Roman" w:eastAsia="Calibri" w:hAnsi="Times New Roman" w:cs="Times New Roman"/>
          <w:kern w:val="0"/>
          <w:sz w:val="24"/>
          <w:szCs w:val="24"/>
          <w:vertAlign w:val="superscript"/>
          <w14:ligatures w14:val="none"/>
        </w:rPr>
        <w:footnoteReference w:id="3"/>
      </w:r>
      <w:r w:rsidRPr="00357125">
        <w:rPr>
          <w:rFonts w:ascii="Times New Roman" w:eastAsia="Calibri" w:hAnsi="Times New Roman" w:cs="Times New Roman"/>
          <w:kern w:val="0"/>
          <w:sz w:val="24"/>
          <w:szCs w:val="24"/>
          <w14:ligatures w14:val="none"/>
        </w:rPr>
        <w:t xml:space="preserve"> Property would be transferred "unto the use of the transferee and subject to the right of the crown," according to the legislation, which required the transfer paperwork to be specifically drawn. To uphold the feudal system, the Statute of Enrolment was passed in 1536 and mandated that conveyances be sealed by the Crown and enrolled with the Chief Lords within six months.</w:t>
      </w:r>
    </w:p>
    <w:p w14:paraId="058BBC6C" w14:textId="77777777" w:rsidR="00357125" w:rsidRPr="00357125" w:rsidRDefault="00357125" w:rsidP="00357125">
      <w:pPr>
        <w:spacing w:line="360" w:lineRule="auto"/>
        <w:jc w:val="both"/>
        <w:rPr>
          <w:rFonts w:ascii="Times New Roman" w:eastAsia="Calibri" w:hAnsi="Times New Roman" w:cs="Times New Roman"/>
          <w:kern w:val="0"/>
          <w:sz w:val="24"/>
          <w:szCs w:val="24"/>
          <w14:ligatures w14:val="none"/>
        </w:rPr>
      </w:pPr>
      <w:r w:rsidRPr="00357125">
        <w:rPr>
          <w:rFonts w:ascii="Times New Roman" w:eastAsia="Calibri" w:hAnsi="Times New Roman" w:cs="Times New Roman"/>
          <w:kern w:val="0"/>
          <w:sz w:val="24"/>
          <w:szCs w:val="24"/>
          <w14:ligatures w14:val="none"/>
        </w:rPr>
        <w:t>The 1677 Statute of Frauds, which required all conveyancing papers to be in the form of a deed, in writing, and sealed by the transferring party in front of three or more credible witnesses, significantly altered the conveyancing environment. This requirement is still in place today. Regulations governing the use of specified forms for property transfers were created by the Real Property Act of 1845 and the Vendor &amp; Purchasers Act of 1874.</w:t>
      </w:r>
    </w:p>
    <w:p w14:paraId="5CC829FD" w14:textId="77777777" w:rsidR="00357125" w:rsidRPr="00357125" w:rsidRDefault="00357125" w:rsidP="00357125">
      <w:pPr>
        <w:spacing w:line="360" w:lineRule="auto"/>
        <w:jc w:val="both"/>
        <w:rPr>
          <w:rFonts w:ascii="Times New Roman" w:eastAsia="Calibri" w:hAnsi="Times New Roman" w:cs="Times New Roman"/>
          <w:kern w:val="0"/>
          <w:sz w:val="24"/>
          <w:szCs w:val="24"/>
          <w14:ligatures w14:val="none"/>
        </w:rPr>
      </w:pPr>
      <w:r w:rsidRPr="00357125">
        <w:rPr>
          <w:rFonts w:ascii="Times New Roman" w:eastAsia="Calibri" w:hAnsi="Times New Roman" w:cs="Times New Roman"/>
          <w:kern w:val="0"/>
          <w:sz w:val="24"/>
          <w:szCs w:val="24"/>
          <w14:ligatures w14:val="none"/>
        </w:rPr>
        <w:t>In the early 20</w:t>
      </w:r>
      <w:r w:rsidRPr="00357125">
        <w:rPr>
          <w:rFonts w:ascii="Times New Roman" w:eastAsia="Calibri" w:hAnsi="Times New Roman" w:cs="Times New Roman"/>
          <w:kern w:val="0"/>
          <w:sz w:val="24"/>
          <w:szCs w:val="24"/>
          <w:vertAlign w:val="superscript"/>
          <w14:ligatures w14:val="none"/>
        </w:rPr>
        <w:t>th</w:t>
      </w:r>
      <w:r w:rsidRPr="00357125">
        <w:rPr>
          <w:rFonts w:ascii="Times New Roman" w:eastAsia="Calibri" w:hAnsi="Times New Roman" w:cs="Times New Roman"/>
          <w:kern w:val="0"/>
          <w:sz w:val="24"/>
          <w:szCs w:val="24"/>
          <w14:ligatures w14:val="none"/>
        </w:rPr>
        <w:t xml:space="preserve"> century, there was growing pressure to eliminate the landed aristocracy's privileges, hence the enactment of the Land Registration Act of 1925 and the Law of Property Act of 1925. While the Land Registration Act, later amended in 2002, mandated that any transaction involving property be registered, the Law of Property Act aimed to simplify the transfer of land interests and reduce the number of legal estates to two.</w:t>
      </w:r>
    </w:p>
    <w:p w14:paraId="05FFB5F1" w14:textId="77777777" w:rsidR="00357125" w:rsidRPr="00357125" w:rsidRDefault="00357125" w:rsidP="00357125">
      <w:pPr>
        <w:spacing w:line="360" w:lineRule="auto"/>
        <w:jc w:val="both"/>
        <w:rPr>
          <w:rFonts w:ascii="Times New Roman" w:eastAsia="Calibri" w:hAnsi="Times New Roman" w:cs="Times New Roman"/>
          <w:kern w:val="0"/>
          <w:sz w:val="24"/>
          <w:szCs w:val="24"/>
          <w14:ligatures w14:val="none"/>
        </w:rPr>
      </w:pPr>
      <w:r w:rsidRPr="00357125">
        <w:rPr>
          <w:rFonts w:ascii="Times New Roman" w:eastAsia="Calibri" w:hAnsi="Times New Roman" w:cs="Times New Roman"/>
          <w:kern w:val="0"/>
          <w:sz w:val="24"/>
          <w:szCs w:val="24"/>
          <w14:ligatures w14:val="none"/>
        </w:rPr>
        <w:lastRenderedPageBreak/>
        <w:t>The Law of Property Act was a revolutionary step forward that made land transactions and conveyancing easier. It eliminated some modes of conveyancing and replaced them with simpler models. Only freehold and leasehold estates were left after the statute removed other types of property holdings and estates. All land transactions have to follow the directive that they must be made through grants. This historical development is indicative of the UK conveyancing process's progressive formalization, regulation, and simplicity.</w:t>
      </w:r>
      <w:r w:rsidRPr="00357125">
        <w:rPr>
          <w:rFonts w:ascii="Times New Roman" w:eastAsia="Calibri" w:hAnsi="Times New Roman" w:cs="Times New Roman"/>
          <w:kern w:val="0"/>
          <w:sz w:val="24"/>
          <w:szCs w:val="24"/>
          <w:vertAlign w:val="superscript"/>
          <w14:ligatures w14:val="none"/>
        </w:rPr>
        <w:footnoteReference w:id="4"/>
      </w:r>
    </w:p>
    <w:p w14:paraId="6E90CDBA" w14:textId="33911B82" w:rsidR="003B40B4" w:rsidRPr="003B40B4" w:rsidRDefault="00330CF3" w:rsidP="003B40B4">
      <w:pPr>
        <w:spacing w:line="360" w:lineRule="auto"/>
        <w:jc w:val="both"/>
        <w:rPr>
          <w:rFonts w:ascii="Times New Roman" w:eastAsia="Calibri" w:hAnsi="Times New Roman" w:cs="Times New Roman"/>
          <w:b/>
          <w:kern w:val="0"/>
          <w:sz w:val="26"/>
          <w:szCs w:val="26"/>
          <w14:ligatures w14:val="none"/>
        </w:rPr>
      </w:pPr>
      <w:r>
        <w:rPr>
          <w:rFonts w:ascii="Times New Roman" w:eastAsia="Calibri" w:hAnsi="Times New Roman" w:cs="Times New Roman"/>
          <w:b/>
          <w:kern w:val="0"/>
          <w:sz w:val="26"/>
          <w:szCs w:val="26"/>
          <w14:ligatures w14:val="none"/>
        </w:rPr>
        <w:t>2</w:t>
      </w:r>
      <w:r w:rsidR="003B40B4">
        <w:rPr>
          <w:rFonts w:ascii="Times New Roman" w:eastAsia="Calibri" w:hAnsi="Times New Roman" w:cs="Times New Roman"/>
          <w:b/>
          <w:kern w:val="0"/>
          <w:sz w:val="26"/>
          <w:szCs w:val="26"/>
          <w14:ligatures w14:val="none"/>
        </w:rPr>
        <w:t xml:space="preserve">.0 </w:t>
      </w:r>
      <w:r w:rsidR="003B40B4" w:rsidRPr="003B40B4">
        <w:rPr>
          <w:rFonts w:ascii="Times New Roman" w:eastAsia="Calibri" w:hAnsi="Times New Roman" w:cs="Times New Roman"/>
          <w:b/>
          <w:kern w:val="0"/>
          <w:sz w:val="26"/>
          <w:szCs w:val="26"/>
          <w14:ligatures w14:val="none"/>
        </w:rPr>
        <w:t>Conveyancing Legislation in Kenya</w:t>
      </w:r>
      <w:r w:rsidR="003B40B4">
        <w:rPr>
          <w:rFonts w:ascii="Times New Roman" w:eastAsia="Calibri" w:hAnsi="Times New Roman" w:cs="Times New Roman"/>
          <w:b/>
          <w:kern w:val="0"/>
          <w:sz w:val="26"/>
          <w:szCs w:val="26"/>
          <w14:ligatures w14:val="none"/>
        </w:rPr>
        <w:t>: 1897 - 2010</w:t>
      </w:r>
    </w:p>
    <w:p w14:paraId="44313FF9" w14:textId="51077840" w:rsidR="003B40B4" w:rsidRPr="003B40B4" w:rsidRDefault="00330CF3" w:rsidP="003B40B4">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t>2</w:t>
      </w:r>
      <w:r w:rsidR="003B40B4" w:rsidRPr="003B40B4">
        <w:rPr>
          <w:rFonts w:ascii="Times New Roman" w:eastAsia="Calibri" w:hAnsi="Times New Roman" w:cs="Times New Roman"/>
          <w:b/>
          <w:kern w:val="0"/>
          <w:sz w:val="24"/>
          <w:szCs w:val="24"/>
          <w14:ligatures w14:val="none"/>
        </w:rPr>
        <w:t>.1 Registration of Documents Act</w:t>
      </w:r>
      <w:r w:rsidR="003B40B4" w:rsidRPr="003B40B4">
        <w:rPr>
          <w:rFonts w:ascii="Times New Roman" w:eastAsia="Calibri" w:hAnsi="Times New Roman" w:cs="Times New Roman"/>
          <w:b/>
          <w:kern w:val="0"/>
          <w:sz w:val="24"/>
          <w:szCs w:val="24"/>
          <w:vertAlign w:val="superscript"/>
          <w14:ligatures w14:val="none"/>
        </w:rPr>
        <w:footnoteReference w:id="5"/>
      </w:r>
      <w:r w:rsidR="003B40B4" w:rsidRPr="003B40B4">
        <w:rPr>
          <w:rFonts w:ascii="Times New Roman" w:eastAsia="Calibri" w:hAnsi="Times New Roman" w:cs="Times New Roman"/>
          <w:kern w:val="0"/>
          <w:sz w:val="24"/>
          <w:szCs w:val="24"/>
          <w14:ligatures w14:val="none"/>
        </w:rPr>
        <w:t xml:space="preserve"> </w:t>
      </w:r>
    </w:p>
    <w:p w14:paraId="30700069" w14:textId="77777777" w:rsidR="003B40B4" w:rsidRPr="003B40B4" w:rsidRDefault="003B40B4" w:rsidP="003B40B4">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It was enacted alongside the Crown Ordinance Act.</w:t>
      </w:r>
      <w:r w:rsidRPr="003B40B4">
        <w:rPr>
          <w:rFonts w:ascii="Times New Roman" w:eastAsia="Calibri" w:hAnsi="Times New Roman" w:cs="Times New Roman"/>
          <w:kern w:val="0"/>
          <w:sz w:val="24"/>
          <w:szCs w:val="24"/>
          <w:vertAlign w:val="superscript"/>
          <w14:ligatures w14:val="none"/>
        </w:rPr>
        <w:footnoteReference w:id="6"/>
      </w:r>
      <w:r w:rsidRPr="003B40B4">
        <w:rPr>
          <w:rFonts w:ascii="Times New Roman" w:eastAsia="Calibri" w:hAnsi="Times New Roman" w:cs="Times New Roman"/>
          <w:kern w:val="0"/>
          <w:sz w:val="24"/>
          <w:szCs w:val="24"/>
          <w14:ligatures w14:val="none"/>
        </w:rPr>
        <w:t xml:space="preserve"> It was the first registration statute in Kenya. It set up Registries in Nairobi, Mombasa and Malindi. It dictated that any document transferring an interest in land had to be registered within one month of transferring it. It did not grant any title to land and no forms were prescribed.</w:t>
      </w:r>
    </w:p>
    <w:p w14:paraId="53CC8486" w14:textId="7307D6CA" w:rsidR="003B40B4" w:rsidRPr="003B40B4" w:rsidRDefault="00330CF3" w:rsidP="003B40B4">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t>2</w:t>
      </w:r>
      <w:r w:rsidR="003B40B4" w:rsidRPr="003B40B4">
        <w:rPr>
          <w:rFonts w:ascii="Times New Roman" w:eastAsia="Calibri" w:hAnsi="Times New Roman" w:cs="Times New Roman"/>
          <w:b/>
          <w:kern w:val="0"/>
          <w:sz w:val="24"/>
          <w:szCs w:val="24"/>
          <w14:ligatures w14:val="none"/>
        </w:rPr>
        <w:t>.2 Land Titles Act 1908</w:t>
      </w:r>
      <w:r w:rsidR="003B40B4" w:rsidRPr="003B40B4">
        <w:rPr>
          <w:rFonts w:ascii="Times New Roman" w:eastAsia="Calibri" w:hAnsi="Times New Roman" w:cs="Times New Roman"/>
          <w:b/>
          <w:kern w:val="0"/>
          <w:sz w:val="24"/>
          <w:szCs w:val="24"/>
          <w:vertAlign w:val="superscript"/>
          <w14:ligatures w14:val="none"/>
        </w:rPr>
        <w:footnoteReference w:id="7"/>
      </w:r>
      <w:r w:rsidR="003B40B4" w:rsidRPr="003B40B4">
        <w:rPr>
          <w:rFonts w:ascii="Times New Roman" w:eastAsia="Calibri" w:hAnsi="Times New Roman" w:cs="Times New Roman"/>
          <w:kern w:val="0"/>
          <w:sz w:val="24"/>
          <w:szCs w:val="24"/>
          <w14:ligatures w14:val="none"/>
        </w:rPr>
        <w:t xml:space="preserve"> </w:t>
      </w:r>
    </w:p>
    <w:p w14:paraId="6804F459" w14:textId="77777777" w:rsidR="003B40B4" w:rsidRPr="003B40B4" w:rsidRDefault="003B40B4" w:rsidP="003B40B4">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It was intended to apply to the coastal area. It produced the concept of adjudication. The natives at the coast had begun conflicts over land and the adjudication process was meant to resolve conflicts and record with the recorder of titles who the owner was. The titles issued under the LTA did not create new rights, they only confirmed existing rights and did not pertain to Government grants.</w:t>
      </w:r>
      <w:r w:rsidRPr="003B40B4">
        <w:rPr>
          <w:rFonts w:ascii="Times New Roman" w:eastAsia="Calibri" w:hAnsi="Times New Roman" w:cs="Times New Roman"/>
          <w:kern w:val="0"/>
          <w:sz w:val="24"/>
          <w:szCs w:val="24"/>
          <w:vertAlign w:val="superscript"/>
          <w14:ligatures w14:val="none"/>
        </w:rPr>
        <w:footnoteReference w:id="8"/>
      </w:r>
    </w:p>
    <w:p w14:paraId="211EFB36" w14:textId="29558DCA" w:rsidR="003B40B4" w:rsidRPr="003B40B4" w:rsidRDefault="00330CF3" w:rsidP="003B40B4">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t>2</w:t>
      </w:r>
      <w:r w:rsidR="003B40B4" w:rsidRPr="003B40B4">
        <w:rPr>
          <w:rFonts w:ascii="Times New Roman" w:eastAsia="Calibri" w:hAnsi="Times New Roman" w:cs="Times New Roman"/>
          <w:b/>
          <w:kern w:val="0"/>
          <w:sz w:val="24"/>
          <w:szCs w:val="24"/>
          <w14:ligatures w14:val="none"/>
        </w:rPr>
        <w:t>.3 Government Lands Act</w:t>
      </w:r>
      <w:r w:rsidR="003B40B4" w:rsidRPr="003B40B4">
        <w:rPr>
          <w:rFonts w:ascii="Times New Roman" w:eastAsia="Calibri" w:hAnsi="Times New Roman" w:cs="Times New Roman"/>
          <w:b/>
          <w:kern w:val="0"/>
          <w:sz w:val="24"/>
          <w:szCs w:val="24"/>
          <w:vertAlign w:val="superscript"/>
          <w14:ligatures w14:val="none"/>
        </w:rPr>
        <w:footnoteReference w:id="9"/>
      </w:r>
      <w:r w:rsidR="003B40B4" w:rsidRPr="003B40B4">
        <w:rPr>
          <w:rFonts w:ascii="Times New Roman" w:eastAsia="Calibri" w:hAnsi="Times New Roman" w:cs="Times New Roman"/>
          <w:kern w:val="0"/>
          <w:sz w:val="24"/>
          <w:szCs w:val="24"/>
          <w14:ligatures w14:val="none"/>
        </w:rPr>
        <w:t xml:space="preserve"> </w:t>
      </w:r>
    </w:p>
    <w:p w14:paraId="3C980A47" w14:textId="1282FD3F" w:rsidR="003B40B4" w:rsidRDefault="003B40B4" w:rsidP="003B40B4">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It was meant to control the interior hinterland. It introduced the deed plan. It also introduced a systematic approach to registering ownership in land. If the</w:t>
      </w:r>
      <w:r w:rsidR="00735813">
        <w:rPr>
          <w:rFonts w:ascii="Times New Roman" w:eastAsia="Calibri" w:hAnsi="Times New Roman" w:cs="Times New Roman"/>
          <w:kern w:val="0"/>
          <w:sz w:val="24"/>
          <w:szCs w:val="24"/>
          <w14:ligatures w14:val="none"/>
        </w:rPr>
        <w:t xml:space="preserve"> </w:t>
      </w:r>
      <w:r w:rsidRPr="003B40B4">
        <w:rPr>
          <w:rFonts w:ascii="Times New Roman" w:eastAsia="Calibri" w:hAnsi="Times New Roman" w:cs="Times New Roman"/>
          <w:kern w:val="0"/>
          <w:sz w:val="24"/>
          <w:szCs w:val="24"/>
          <w14:ligatures w14:val="none"/>
        </w:rPr>
        <w:t>government alienated land and gave someone it would be by way of grant or indenture of lease and would be registered.</w:t>
      </w:r>
    </w:p>
    <w:p w14:paraId="5F3CF861" w14:textId="77777777" w:rsidR="00330CF3" w:rsidRDefault="00330CF3" w:rsidP="00735813">
      <w:pPr>
        <w:spacing w:after="0" w:line="360" w:lineRule="auto"/>
        <w:jc w:val="both"/>
        <w:rPr>
          <w:rFonts w:ascii="Times New Roman" w:eastAsia="Calibri" w:hAnsi="Times New Roman" w:cs="Times New Roman"/>
          <w:kern w:val="0"/>
          <w:sz w:val="24"/>
          <w:szCs w:val="24"/>
          <w14:ligatures w14:val="none"/>
        </w:rPr>
      </w:pPr>
    </w:p>
    <w:p w14:paraId="5A20D81B" w14:textId="77777777" w:rsidR="00330CF3" w:rsidRDefault="00330CF3" w:rsidP="00735813">
      <w:pPr>
        <w:spacing w:after="0" w:line="360" w:lineRule="auto"/>
        <w:jc w:val="both"/>
        <w:rPr>
          <w:rFonts w:ascii="Times New Roman" w:eastAsia="Calibri" w:hAnsi="Times New Roman" w:cs="Times New Roman"/>
          <w:kern w:val="0"/>
          <w:sz w:val="24"/>
          <w:szCs w:val="24"/>
          <w14:ligatures w14:val="none"/>
        </w:rPr>
      </w:pPr>
    </w:p>
    <w:p w14:paraId="1CF8C172" w14:textId="77777777" w:rsidR="00330CF3" w:rsidRDefault="00330CF3" w:rsidP="00735813">
      <w:pPr>
        <w:spacing w:after="0" w:line="360" w:lineRule="auto"/>
        <w:jc w:val="both"/>
        <w:rPr>
          <w:rFonts w:ascii="Times New Roman" w:eastAsia="Calibri" w:hAnsi="Times New Roman" w:cs="Times New Roman"/>
          <w:kern w:val="0"/>
          <w:sz w:val="24"/>
          <w:szCs w:val="24"/>
          <w14:ligatures w14:val="none"/>
        </w:rPr>
      </w:pPr>
    </w:p>
    <w:p w14:paraId="2FCF2075" w14:textId="390F59E7" w:rsidR="003B40B4" w:rsidRPr="003B40B4" w:rsidRDefault="00330CF3" w:rsidP="00735813">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lastRenderedPageBreak/>
        <w:t>2</w:t>
      </w:r>
      <w:r w:rsidR="00735813" w:rsidRPr="00735813">
        <w:rPr>
          <w:rFonts w:ascii="Times New Roman" w:eastAsia="Calibri" w:hAnsi="Times New Roman" w:cs="Times New Roman"/>
          <w:b/>
          <w:kern w:val="0"/>
          <w:sz w:val="24"/>
          <w:szCs w:val="24"/>
          <w14:ligatures w14:val="none"/>
        </w:rPr>
        <w:t>.4 I</w:t>
      </w:r>
      <w:r w:rsidR="003B40B4" w:rsidRPr="003B40B4">
        <w:rPr>
          <w:rFonts w:ascii="Times New Roman" w:eastAsia="Calibri" w:hAnsi="Times New Roman" w:cs="Times New Roman"/>
          <w:b/>
          <w:kern w:val="0"/>
          <w:sz w:val="24"/>
          <w:szCs w:val="24"/>
          <w14:ligatures w14:val="none"/>
        </w:rPr>
        <w:t>ndian Transfer of Property Act of 1882</w:t>
      </w:r>
      <w:r w:rsidR="00735813">
        <w:rPr>
          <w:rFonts w:ascii="Times New Roman" w:eastAsia="Calibri" w:hAnsi="Times New Roman" w:cs="Times New Roman"/>
          <w:b/>
          <w:kern w:val="0"/>
          <w:sz w:val="24"/>
          <w:szCs w:val="24"/>
          <w14:ligatures w14:val="none"/>
        </w:rPr>
        <w:t xml:space="preserve"> </w:t>
      </w:r>
      <w:r w:rsidR="003B40B4" w:rsidRPr="003B40B4">
        <w:rPr>
          <w:rFonts w:ascii="Times New Roman" w:eastAsia="Calibri" w:hAnsi="Times New Roman" w:cs="Times New Roman"/>
          <w:b/>
          <w:kern w:val="0"/>
          <w:sz w:val="24"/>
          <w:szCs w:val="24"/>
          <w:vertAlign w:val="superscript"/>
          <w14:ligatures w14:val="none"/>
        </w:rPr>
        <w:footnoteReference w:id="10"/>
      </w:r>
      <w:r w:rsidR="003B40B4" w:rsidRPr="003B40B4">
        <w:rPr>
          <w:rFonts w:ascii="Palatino Linotype" w:eastAsia="Calibri" w:hAnsi="Palatino Linotype" w:cs="Century Gothic"/>
          <w:kern w:val="0"/>
          <w:sz w:val="20"/>
          <w:szCs w:val="20"/>
          <w14:ligatures w14:val="none"/>
        </w:rPr>
        <w:t xml:space="preserve"> </w:t>
      </w:r>
    </w:p>
    <w:p w14:paraId="381CFA1A" w14:textId="4016DCD0" w:rsidR="003B40B4" w:rsidRPr="003B40B4" w:rsidRDefault="003B40B4" w:rsidP="00735813">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It came in as, there was no general substantive law governing the conduct of proprietary transactions or conveyancing. It was applied in Kenya as a substantive law, principally for the purpose of catering for the interests of European Settlers</w:t>
      </w:r>
      <w:r w:rsidRPr="003B40B4">
        <w:rPr>
          <w:rFonts w:ascii="Calibri" w:eastAsia="Calibri" w:hAnsi="Calibri" w:cs="Times New Roman"/>
          <w:kern w:val="0"/>
          <w14:ligatures w14:val="none"/>
        </w:rPr>
        <w:t>.</w:t>
      </w:r>
    </w:p>
    <w:p w14:paraId="4AB389DE" w14:textId="478E15B4" w:rsidR="003B40B4" w:rsidRPr="003B40B4" w:rsidRDefault="00330CF3" w:rsidP="00735813">
      <w:pPr>
        <w:spacing w:after="0" w:line="360" w:lineRule="auto"/>
        <w:jc w:val="both"/>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2</w:t>
      </w:r>
      <w:r w:rsidR="00735813" w:rsidRPr="00735813">
        <w:rPr>
          <w:rFonts w:ascii="Times New Roman" w:eastAsia="Calibri" w:hAnsi="Times New Roman" w:cs="Times New Roman"/>
          <w:b/>
          <w:bCs/>
          <w:kern w:val="0"/>
          <w:sz w:val="24"/>
          <w:szCs w:val="24"/>
          <w14:ligatures w14:val="none"/>
        </w:rPr>
        <w:t xml:space="preserve">.5 </w:t>
      </w:r>
      <w:r w:rsidR="003B40B4" w:rsidRPr="003B40B4">
        <w:rPr>
          <w:rFonts w:ascii="Times New Roman" w:eastAsia="Calibri" w:hAnsi="Times New Roman" w:cs="Times New Roman"/>
          <w:b/>
          <w:bCs/>
          <w:kern w:val="0"/>
          <w:sz w:val="24"/>
          <w:szCs w:val="24"/>
          <w14:ligatures w14:val="none"/>
        </w:rPr>
        <w:t>Registration of Titles Act of 1920</w:t>
      </w:r>
      <w:r w:rsidR="00735813">
        <w:rPr>
          <w:rFonts w:ascii="Times New Roman" w:eastAsia="Calibri" w:hAnsi="Times New Roman" w:cs="Times New Roman"/>
          <w:b/>
          <w:bCs/>
          <w:kern w:val="0"/>
          <w:sz w:val="24"/>
          <w:szCs w:val="24"/>
          <w14:ligatures w14:val="none"/>
        </w:rPr>
        <w:t xml:space="preserve"> </w:t>
      </w:r>
      <w:r w:rsidR="003B40B4" w:rsidRPr="003B40B4">
        <w:rPr>
          <w:rFonts w:ascii="Times New Roman" w:eastAsia="Calibri" w:hAnsi="Times New Roman" w:cs="Times New Roman"/>
          <w:b/>
          <w:bCs/>
          <w:kern w:val="0"/>
          <w:sz w:val="24"/>
          <w:szCs w:val="24"/>
          <w:vertAlign w:val="superscript"/>
          <w14:ligatures w14:val="none"/>
        </w:rPr>
        <w:footnoteReference w:id="11"/>
      </w:r>
      <w:r w:rsidR="003B40B4" w:rsidRPr="003B40B4">
        <w:rPr>
          <w:rFonts w:ascii="Times New Roman" w:eastAsia="Calibri" w:hAnsi="Times New Roman" w:cs="Times New Roman"/>
          <w:b/>
          <w:bCs/>
          <w:kern w:val="0"/>
          <w:sz w:val="24"/>
          <w:szCs w:val="24"/>
          <w14:ligatures w14:val="none"/>
        </w:rPr>
        <w:t xml:space="preserve">  </w:t>
      </w:r>
    </w:p>
    <w:p w14:paraId="64BCDBFE" w14:textId="7D910808" w:rsidR="003B40B4" w:rsidRPr="003B40B4" w:rsidRDefault="003B40B4" w:rsidP="00735813">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 xml:space="preserve">It intended to get rid of the previous Acts as all successfully claimed plots were registered under it. It was based on the System and emphasized proper systematic registration of title and proof of registration of title. It guaranteed registered title &amp; prescribed statutory forms </w:t>
      </w:r>
      <w:r w:rsidR="00735813">
        <w:rPr>
          <w:rFonts w:ascii="Times New Roman" w:eastAsia="Calibri" w:hAnsi="Times New Roman" w:cs="Times New Roman"/>
          <w:kern w:val="0"/>
          <w:sz w:val="24"/>
          <w:szCs w:val="24"/>
          <w14:ligatures w14:val="none"/>
        </w:rPr>
        <w:t xml:space="preserve">for the first time </w:t>
      </w:r>
      <w:r w:rsidRPr="003B40B4">
        <w:rPr>
          <w:rFonts w:ascii="Times New Roman" w:eastAsia="Calibri" w:hAnsi="Times New Roman" w:cs="Times New Roman"/>
          <w:kern w:val="0"/>
          <w:sz w:val="24"/>
          <w:szCs w:val="24"/>
          <w14:ligatures w14:val="none"/>
        </w:rPr>
        <w:t>to be used in conveyancing. Title documents are a Certificate of Title or a Grant.</w:t>
      </w:r>
    </w:p>
    <w:p w14:paraId="3C509104" w14:textId="22367E5D" w:rsidR="003B40B4" w:rsidRPr="003B40B4" w:rsidRDefault="00330CF3" w:rsidP="00735813">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b/>
          <w:kern w:val="0"/>
          <w:sz w:val="24"/>
          <w:szCs w:val="24"/>
          <w14:ligatures w14:val="none"/>
        </w:rPr>
        <w:t>2</w:t>
      </w:r>
      <w:r w:rsidR="00735813" w:rsidRPr="00735813">
        <w:rPr>
          <w:rFonts w:ascii="Times New Roman" w:eastAsia="Calibri" w:hAnsi="Times New Roman" w:cs="Times New Roman"/>
          <w:b/>
          <w:kern w:val="0"/>
          <w:sz w:val="24"/>
          <w:szCs w:val="24"/>
          <w14:ligatures w14:val="none"/>
        </w:rPr>
        <w:t xml:space="preserve">.6 </w:t>
      </w:r>
      <w:r w:rsidR="003B40B4" w:rsidRPr="003B40B4">
        <w:rPr>
          <w:rFonts w:ascii="Times New Roman" w:eastAsia="Calibri" w:hAnsi="Times New Roman" w:cs="Times New Roman"/>
          <w:b/>
          <w:kern w:val="0"/>
          <w:sz w:val="24"/>
          <w:szCs w:val="24"/>
          <w14:ligatures w14:val="none"/>
        </w:rPr>
        <w:t>Registered Lands Act</w:t>
      </w:r>
      <w:r w:rsidR="003B40B4" w:rsidRPr="003B40B4">
        <w:rPr>
          <w:rFonts w:ascii="Times New Roman" w:eastAsia="Calibri" w:hAnsi="Times New Roman" w:cs="Times New Roman"/>
          <w:b/>
          <w:kern w:val="0"/>
          <w:sz w:val="24"/>
          <w:szCs w:val="24"/>
          <w:vertAlign w:val="superscript"/>
          <w14:ligatures w14:val="none"/>
        </w:rPr>
        <w:footnoteReference w:id="12"/>
      </w:r>
      <w:r w:rsidR="003B40B4" w:rsidRPr="003B40B4">
        <w:rPr>
          <w:rFonts w:ascii="Times New Roman" w:eastAsia="Calibri" w:hAnsi="Times New Roman" w:cs="Times New Roman"/>
          <w:kern w:val="0"/>
          <w:sz w:val="24"/>
          <w:szCs w:val="24"/>
          <w14:ligatures w14:val="none"/>
        </w:rPr>
        <w:t xml:space="preserve"> </w:t>
      </w:r>
    </w:p>
    <w:p w14:paraId="79D815F3" w14:textId="77777777" w:rsidR="003B40B4" w:rsidRPr="003B40B4" w:rsidRDefault="003B40B4" w:rsidP="00735813">
      <w:pPr>
        <w:spacing w:after="0"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It provided for mandatory statutory forms to be used in conveyancing.</w:t>
      </w:r>
      <w:r w:rsidRPr="003B40B4">
        <w:rPr>
          <w:rFonts w:ascii="Calibri" w:eastAsia="Calibri" w:hAnsi="Calibri" w:cs="Times New Roman"/>
          <w:kern w:val="0"/>
          <w14:ligatures w14:val="none"/>
        </w:rPr>
        <w:t xml:space="preserve"> </w:t>
      </w:r>
      <w:r w:rsidRPr="003B40B4">
        <w:rPr>
          <w:rFonts w:ascii="Times New Roman" w:eastAsia="Calibri" w:hAnsi="Times New Roman" w:cs="Times New Roman"/>
          <w:kern w:val="0"/>
          <w:sz w:val="24"/>
          <w:szCs w:val="24"/>
          <w14:ligatures w14:val="none"/>
        </w:rPr>
        <w:t>It sought to enable land by Africans to be registered under the law and it simplified conveyancing. Title documents issued under RLA include a Certificate of Lease, a Title Deed and a Land Certificate. The RLA had clauses which made title indefeasible notwithstanding even proof of fraud to protect colonialists who were remaining behind after independence.</w:t>
      </w:r>
    </w:p>
    <w:p w14:paraId="2D5D31DA" w14:textId="06094FDF" w:rsidR="003B40B4" w:rsidRPr="003B40B4" w:rsidRDefault="00330CF3" w:rsidP="000C249F">
      <w:pPr>
        <w:spacing w:line="360" w:lineRule="auto"/>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t>2</w:t>
      </w:r>
      <w:r w:rsidR="00D44D6D" w:rsidRPr="00D44D6D">
        <w:rPr>
          <w:rFonts w:ascii="Times New Roman" w:eastAsia="Calibri" w:hAnsi="Times New Roman" w:cs="Times New Roman"/>
          <w:b/>
          <w:kern w:val="0"/>
          <w:sz w:val="24"/>
          <w:szCs w:val="24"/>
          <w14:ligatures w14:val="none"/>
        </w:rPr>
        <w:t>.7 Revised</w:t>
      </w:r>
      <w:r w:rsidR="003B40B4" w:rsidRPr="003B40B4">
        <w:rPr>
          <w:rFonts w:ascii="Times New Roman" w:eastAsia="Calibri" w:hAnsi="Times New Roman" w:cs="Times New Roman"/>
          <w:b/>
          <w:kern w:val="0"/>
          <w:sz w:val="24"/>
          <w:szCs w:val="24"/>
          <w14:ligatures w14:val="none"/>
        </w:rPr>
        <w:t xml:space="preserve"> L</w:t>
      </w:r>
      <w:r w:rsidR="00D44D6D" w:rsidRPr="00D44D6D">
        <w:rPr>
          <w:rFonts w:ascii="Times New Roman" w:eastAsia="Calibri" w:hAnsi="Times New Roman" w:cs="Times New Roman"/>
          <w:b/>
          <w:kern w:val="0"/>
          <w:sz w:val="24"/>
          <w:szCs w:val="24"/>
          <w14:ligatures w14:val="none"/>
        </w:rPr>
        <w:t xml:space="preserve">and </w:t>
      </w:r>
      <w:r w:rsidR="003B40B4" w:rsidRPr="003B40B4">
        <w:rPr>
          <w:rFonts w:ascii="Times New Roman" w:eastAsia="Calibri" w:hAnsi="Times New Roman" w:cs="Times New Roman"/>
          <w:b/>
          <w:kern w:val="0"/>
          <w:sz w:val="24"/>
          <w:szCs w:val="24"/>
          <w14:ligatures w14:val="none"/>
        </w:rPr>
        <w:t>L</w:t>
      </w:r>
      <w:r w:rsidR="00D44D6D" w:rsidRPr="00D44D6D">
        <w:rPr>
          <w:rFonts w:ascii="Times New Roman" w:eastAsia="Calibri" w:hAnsi="Times New Roman" w:cs="Times New Roman"/>
          <w:b/>
          <w:kern w:val="0"/>
          <w:sz w:val="24"/>
          <w:szCs w:val="24"/>
          <w14:ligatures w14:val="none"/>
        </w:rPr>
        <w:t>aws</w:t>
      </w:r>
      <w:r w:rsidR="00230F43">
        <w:rPr>
          <w:rFonts w:ascii="Times New Roman" w:eastAsia="Calibri" w:hAnsi="Times New Roman" w:cs="Times New Roman"/>
          <w:b/>
          <w:kern w:val="0"/>
          <w:sz w:val="24"/>
          <w:szCs w:val="24"/>
          <w14:ligatures w14:val="none"/>
        </w:rPr>
        <w:t>: Post 2010</w:t>
      </w:r>
    </w:p>
    <w:p w14:paraId="47494764" w14:textId="7D94D389" w:rsidR="003B40B4" w:rsidRPr="003B40B4" w:rsidRDefault="003B40B4" w:rsidP="000C249F">
      <w:pPr>
        <w:spacing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 xml:space="preserve">Chapter 5 of the </w:t>
      </w:r>
      <w:r w:rsidR="00D44D6D">
        <w:rPr>
          <w:rFonts w:ascii="Times New Roman" w:eastAsia="Calibri" w:hAnsi="Times New Roman" w:cs="Times New Roman"/>
          <w:kern w:val="0"/>
          <w:sz w:val="24"/>
          <w:szCs w:val="24"/>
          <w14:ligatures w14:val="none"/>
        </w:rPr>
        <w:t xml:space="preserve">2010 </w:t>
      </w:r>
      <w:r w:rsidRPr="003B40B4">
        <w:rPr>
          <w:rFonts w:ascii="Times New Roman" w:eastAsia="Calibri" w:hAnsi="Times New Roman" w:cs="Times New Roman"/>
          <w:kern w:val="0"/>
          <w:sz w:val="24"/>
          <w:szCs w:val="24"/>
          <w14:ligatures w14:val="none"/>
        </w:rPr>
        <w:t>Constitution</w:t>
      </w:r>
      <w:r w:rsidR="00D44D6D">
        <w:rPr>
          <w:rFonts w:ascii="Times New Roman" w:eastAsia="Calibri" w:hAnsi="Times New Roman" w:cs="Times New Roman"/>
          <w:kern w:val="0"/>
          <w:sz w:val="24"/>
          <w:szCs w:val="24"/>
          <w14:ligatures w14:val="none"/>
        </w:rPr>
        <w:t xml:space="preserve"> of Kenya</w:t>
      </w:r>
      <w:r w:rsidRPr="003B40B4">
        <w:rPr>
          <w:rFonts w:ascii="Times New Roman" w:eastAsia="Calibri" w:hAnsi="Times New Roman" w:cs="Times New Roman"/>
          <w:kern w:val="0"/>
          <w:sz w:val="24"/>
          <w:szCs w:val="24"/>
          <w14:ligatures w14:val="none"/>
        </w:rPr>
        <w:t xml:space="preserve"> </w:t>
      </w:r>
      <w:r w:rsidR="00D44D6D">
        <w:rPr>
          <w:rFonts w:ascii="Times New Roman" w:eastAsia="Calibri" w:hAnsi="Times New Roman" w:cs="Times New Roman"/>
          <w:kern w:val="0"/>
          <w:sz w:val="24"/>
          <w:szCs w:val="24"/>
          <w14:ligatures w14:val="none"/>
        </w:rPr>
        <w:t>underpins the</w:t>
      </w:r>
      <w:r w:rsidRPr="003B40B4">
        <w:rPr>
          <w:rFonts w:ascii="Times New Roman" w:eastAsia="Calibri" w:hAnsi="Times New Roman" w:cs="Times New Roman"/>
          <w:kern w:val="0"/>
          <w:sz w:val="24"/>
          <w:szCs w:val="24"/>
          <w14:ligatures w14:val="none"/>
        </w:rPr>
        <w:t xml:space="preserve"> basis under which land laws and policies should be enacted. The principles of land policy highlighted under Article 60 emphasise that land in Kenya should be used, held, and managed in ways that: promote equitable access to land, ensure there is security of land rights, and enhance transparent administration of land while promoting sustainable development and conservation of the environment.</w:t>
      </w:r>
      <w:r w:rsidR="00D44D6D">
        <w:rPr>
          <w:rFonts w:ascii="Times New Roman" w:eastAsia="Calibri" w:hAnsi="Times New Roman" w:cs="Times New Roman"/>
          <w:kern w:val="0"/>
          <w:sz w:val="24"/>
          <w:szCs w:val="24"/>
          <w14:ligatures w14:val="none"/>
        </w:rPr>
        <w:t xml:space="preserve"> The Constitution in Chapter 5</w:t>
      </w:r>
      <w:r w:rsidRPr="003B40B4">
        <w:rPr>
          <w:rFonts w:ascii="Times New Roman" w:eastAsia="Calibri" w:hAnsi="Times New Roman" w:cs="Times New Roman"/>
          <w:kern w:val="0"/>
          <w:sz w:val="24"/>
          <w:szCs w:val="24"/>
          <w14:ligatures w14:val="none"/>
        </w:rPr>
        <w:t xml:space="preserve"> classif</w:t>
      </w:r>
      <w:r w:rsidR="00D44D6D">
        <w:rPr>
          <w:rFonts w:ascii="Times New Roman" w:eastAsia="Calibri" w:hAnsi="Times New Roman" w:cs="Times New Roman"/>
          <w:kern w:val="0"/>
          <w:sz w:val="24"/>
          <w:szCs w:val="24"/>
          <w14:ligatures w14:val="none"/>
        </w:rPr>
        <w:t>ies</w:t>
      </w:r>
      <w:r w:rsidRPr="003B40B4">
        <w:rPr>
          <w:rFonts w:ascii="Times New Roman" w:eastAsia="Calibri" w:hAnsi="Times New Roman" w:cs="Times New Roman"/>
          <w:kern w:val="0"/>
          <w:sz w:val="24"/>
          <w:szCs w:val="24"/>
          <w14:ligatures w14:val="none"/>
        </w:rPr>
        <w:t xml:space="preserve"> land under private, public or community land</w:t>
      </w:r>
      <w:r w:rsidR="00D44D6D">
        <w:rPr>
          <w:rFonts w:ascii="Times New Roman" w:eastAsia="Calibri" w:hAnsi="Times New Roman" w:cs="Times New Roman"/>
          <w:kern w:val="0"/>
          <w:sz w:val="24"/>
          <w:szCs w:val="24"/>
          <w14:ligatures w14:val="none"/>
        </w:rPr>
        <w:t>.</w:t>
      </w:r>
      <w:r w:rsidR="00D44D6D">
        <w:rPr>
          <w:rStyle w:val="FootnoteReference"/>
          <w:rFonts w:ascii="Times New Roman" w:eastAsia="Calibri" w:hAnsi="Times New Roman" w:cs="Times New Roman"/>
          <w:kern w:val="0"/>
          <w:sz w:val="24"/>
          <w:szCs w:val="24"/>
          <w14:ligatures w14:val="none"/>
        </w:rPr>
        <w:footnoteReference w:id="13"/>
      </w:r>
    </w:p>
    <w:p w14:paraId="5C0FDD51" w14:textId="77777777" w:rsidR="0046627D" w:rsidRDefault="003B40B4" w:rsidP="000C249F">
      <w:pPr>
        <w:spacing w:line="360" w:lineRule="auto"/>
        <w:jc w:val="both"/>
        <w:rPr>
          <w:rFonts w:ascii="Times New Roman" w:eastAsia="Calibri" w:hAnsi="Times New Roman" w:cs="Times New Roman"/>
          <w:kern w:val="0"/>
          <w:sz w:val="24"/>
          <w:szCs w:val="24"/>
          <w14:ligatures w14:val="none"/>
        </w:rPr>
      </w:pPr>
      <w:r w:rsidRPr="003B40B4">
        <w:rPr>
          <w:rFonts w:ascii="Times New Roman" w:eastAsia="Calibri" w:hAnsi="Times New Roman" w:cs="Times New Roman"/>
          <w:kern w:val="0"/>
          <w:sz w:val="24"/>
          <w:szCs w:val="24"/>
          <w14:ligatures w14:val="none"/>
        </w:rPr>
        <w:t xml:space="preserve">With the promulgation of a new Constitution in Kenya, it was paramount that new statutes to give effect to Chapter 5 of the Constitution were enacted. This led to </w:t>
      </w:r>
      <w:r w:rsidRPr="003B40B4">
        <w:rPr>
          <w:rFonts w:ascii="Times New Roman" w:eastAsia="Calibri" w:hAnsi="Times New Roman" w:cs="Times New Roman"/>
          <w:i/>
          <w:iCs/>
          <w:kern w:val="0"/>
          <w:sz w:val="24"/>
          <w:szCs w:val="24"/>
          <w14:ligatures w14:val="none"/>
        </w:rPr>
        <w:t>the Land Act</w:t>
      </w:r>
      <w:r w:rsidRPr="003B40B4">
        <w:rPr>
          <w:rFonts w:ascii="Times New Roman" w:eastAsia="Calibri" w:hAnsi="Times New Roman" w:cs="Times New Roman"/>
          <w:kern w:val="0"/>
          <w:sz w:val="24"/>
          <w:szCs w:val="24"/>
          <w:vertAlign w:val="superscript"/>
          <w14:ligatures w14:val="none"/>
        </w:rPr>
        <w:footnoteReference w:id="14"/>
      </w:r>
      <w:r w:rsidR="00D44D6D">
        <w:rPr>
          <w:rFonts w:ascii="Times New Roman" w:eastAsia="Calibri" w:hAnsi="Times New Roman" w:cs="Times New Roman"/>
          <w:kern w:val="0"/>
          <w:sz w:val="24"/>
          <w:szCs w:val="24"/>
          <w14:ligatures w14:val="none"/>
        </w:rPr>
        <w:t xml:space="preserve"> being ratified as it </w:t>
      </w:r>
      <w:r w:rsidRPr="003B40B4">
        <w:rPr>
          <w:rFonts w:ascii="Times New Roman" w:eastAsia="Calibri" w:hAnsi="Times New Roman" w:cs="Times New Roman"/>
          <w:kern w:val="0"/>
          <w:sz w:val="24"/>
          <w:szCs w:val="24"/>
          <w14:ligatures w14:val="none"/>
        </w:rPr>
        <w:t>revised</w:t>
      </w:r>
      <w:r w:rsidR="00D44D6D">
        <w:rPr>
          <w:rFonts w:ascii="Times New Roman" w:eastAsia="Calibri" w:hAnsi="Times New Roman" w:cs="Times New Roman"/>
          <w:kern w:val="0"/>
          <w:sz w:val="24"/>
          <w:szCs w:val="24"/>
          <w14:ligatures w14:val="none"/>
        </w:rPr>
        <w:t xml:space="preserve"> and consolidated</w:t>
      </w:r>
      <w:r w:rsidRPr="003B40B4">
        <w:rPr>
          <w:rFonts w:ascii="Times New Roman" w:eastAsia="Calibri" w:hAnsi="Times New Roman" w:cs="Times New Roman"/>
          <w:kern w:val="0"/>
          <w:sz w:val="24"/>
          <w:szCs w:val="24"/>
          <w14:ligatures w14:val="none"/>
        </w:rPr>
        <w:t xml:space="preserve"> existing land laws, and championed for </w:t>
      </w:r>
      <w:r w:rsidR="00D44D6D">
        <w:rPr>
          <w:rFonts w:ascii="Times New Roman" w:eastAsia="Calibri" w:hAnsi="Times New Roman" w:cs="Times New Roman"/>
          <w:kern w:val="0"/>
          <w:sz w:val="24"/>
          <w:szCs w:val="24"/>
          <w14:ligatures w14:val="none"/>
        </w:rPr>
        <w:t xml:space="preserve">adherence of </w:t>
      </w:r>
      <w:r w:rsidR="00D44D6D" w:rsidRPr="00D44D6D">
        <w:rPr>
          <w:rFonts w:ascii="Times New Roman" w:eastAsia="Calibri" w:hAnsi="Times New Roman" w:cs="Times New Roman"/>
          <w:kern w:val="0"/>
          <w:sz w:val="24"/>
          <w:szCs w:val="24"/>
          <w14:ligatures w14:val="none"/>
        </w:rPr>
        <w:t xml:space="preserve">due process before, </w:t>
      </w:r>
      <w:r w:rsidR="00D44D6D" w:rsidRPr="00D44D6D">
        <w:rPr>
          <w:rFonts w:ascii="Times New Roman" w:eastAsia="Calibri" w:hAnsi="Times New Roman" w:cs="Times New Roman"/>
          <w:kern w:val="0"/>
          <w:sz w:val="24"/>
          <w:szCs w:val="24"/>
          <w14:ligatures w14:val="none"/>
        </w:rPr>
        <w:lastRenderedPageBreak/>
        <w:t>during and after acquisition</w:t>
      </w:r>
      <w:r w:rsidR="00D44D6D">
        <w:rPr>
          <w:rFonts w:ascii="Times New Roman" w:eastAsia="Calibri" w:hAnsi="Times New Roman" w:cs="Times New Roman"/>
          <w:kern w:val="0"/>
          <w:sz w:val="24"/>
          <w:szCs w:val="24"/>
          <w14:ligatures w14:val="none"/>
        </w:rPr>
        <w:t xml:space="preserve"> of land.</w:t>
      </w:r>
      <w:r w:rsidRPr="003B40B4">
        <w:rPr>
          <w:rFonts w:ascii="Times New Roman" w:eastAsia="Calibri" w:hAnsi="Times New Roman" w:cs="Times New Roman"/>
          <w:kern w:val="0"/>
          <w:sz w:val="24"/>
          <w:szCs w:val="24"/>
          <w:vertAlign w:val="superscript"/>
          <w14:ligatures w14:val="none"/>
        </w:rPr>
        <w:footnoteReference w:id="15"/>
      </w:r>
      <w:r w:rsidR="00735813">
        <w:rPr>
          <w:rFonts w:ascii="Times New Roman" w:eastAsia="Calibri" w:hAnsi="Times New Roman" w:cs="Times New Roman"/>
          <w:kern w:val="0"/>
          <w:sz w:val="24"/>
          <w:szCs w:val="24"/>
          <w14:ligatures w14:val="none"/>
        </w:rPr>
        <w:t xml:space="preserve"> </w:t>
      </w:r>
      <w:r w:rsidR="00D44D6D">
        <w:rPr>
          <w:rFonts w:ascii="Times New Roman" w:eastAsia="Calibri" w:hAnsi="Times New Roman" w:cs="Times New Roman"/>
          <w:kern w:val="0"/>
          <w:sz w:val="24"/>
          <w:szCs w:val="24"/>
          <w14:ligatures w14:val="none"/>
        </w:rPr>
        <w:t xml:space="preserve">Similarly, the </w:t>
      </w:r>
      <w:r w:rsidR="000C249F" w:rsidRPr="000C249F">
        <w:rPr>
          <w:rFonts w:ascii="Times New Roman" w:eastAsia="Calibri" w:hAnsi="Times New Roman" w:cs="Times New Roman"/>
          <w:i/>
          <w:iCs/>
          <w:kern w:val="0"/>
          <w:sz w:val="24"/>
          <w:szCs w:val="24"/>
          <w14:ligatures w14:val="none"/>
        </w:rPr>
        <w:t>Land Registration Act</w:t>
      </w:r>
      <w:r w:rsidRPr="003B40B4">
        <w:rPr>
          <w:rFonts w:ascii="Times New Roman" w:eastAsia="Calibri" w:hAnsi="Times New Roman" w:cs="Times New Roman"/>
          <w:kern w:val="0"/>
          <w:sz w:val="24"/>
          <w:szCs w:val="24"/>
          <w:vertAlign w:val="superscript"/>
          <w14:ligatures w14:val="none"/>
        </w:rPr>
        <w:footnoteReference w:id="16"/>
      </w:r>
      <w:r w:rsidRPr="003B40B4">
        <w:rPr>
          <w:rFonts w:ascii="Times New Roman" w:eastAsia="Calibri" w:hAnsi="Times New Roman" w:cs="Times New Roman"/>
          <w:kern w:val="0"/>
          <w:sz w:val="24"/>
          <w:szCs w:val="24"/>
          <w14:ligatures w14:val="none"/>
        </w:rPr>
        <w:t xml:space="preserve"> </w:t>
      </w:r>
      <w:r w:rsidR="000C249F">
        <w:rPr>
          <w:rFonts w:ascii="Times New Roman" w:eastAsia="Calibri" w:hAnsi="Times New Roman" w:cs="Times New Roman"/>
          <w:kern w:val="0"/>
          <w:sz w:val="24"/>
          <w:szCs w:val="24"/>
          <w14:ligatures w14:val="none"/>
        </w:rPr>
        <w:t xml:space="preserve">decentralised land registration through </w:t>
      </w:r>
      <w:r w:rsidRPr="003B40B4">
        <w:rPr>
          <w:rFonts w:ascii="Times New Roman" w:eastAsia="Calibri" w:hAnsi="Times New Roman" w:cs="Times New Roman"/>
          <w:kern w:val="0"/>
          <w:sz w:val="24"/>
          <w:szCs w:val="24"/>
          <w14:ligatures w14:val="none"/>
        </w:rPr>
        <w:t>the principle of devolution</w:t>
      </w:r>
      <w:r w:rsidR="000C249F">
        <w:rPr>
          <w:rFonts w:ascii="Times New Roman" w:eastAsia="Calibri" w:hAnsi="Times New Roman" w:cs="Times New Roman"/>
          <w:kern w:val="0"/>
          <w:sz w:val="24"/>
          <w:szCs w:val="24"/>
          <w14:ligatures w14:val="none"/>
        </w:rPr>
        <w:t xml:space="preserve"> allowing </w:t>
      </w:r>
      <w:r w:rsidRPr="003B40B4">
        <w:rPr>
          <w:rFonts w:ascii="Times New Roman" w:eastAsia="Calibri" w:hAnsi="Times New Roman" w:cs="Times New Roman"/>
          <w:kern w:val="0"/>
          <w:sz w:val="24"/>
          <w:szCs w:val="24"/>
          <w14:ligatures w14:val="none"/>
        </w:rPr>
        <w:t>the registration of various interests in land</w:t>
      </w:r>
      <w:r w:rsidR="000C249F">
        <w:rPr>
          <w:rFonts w:ascii="Times New Roman" w:eastAsia="Calibri" w:hAnsi="Times New Roman" w:cs="Times New Roman"/>
          <w:kern w:val="0"/>
          <w:sz w:val="24"/>
          <w:szCs w:val="24"/>
          <w14:ligatures w14:val="none"/>
        </w:rPr>
        <w:t>.</w:t>
      </w:r>
    </w:p>
    <w:p w14:paraId="66345ECD" w14:textId="1F6218F7" w:rsidR="003B40B4" w:rsidRPr="003B40B4" w:rsidRDefault="0046627D" w:rsidP="000C249F">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 xml:space="preserve">Further, the enactment of The Sectional Properties Act  brought a different perspective to how land was viewed in Kenya. It has introduced the ability to own property, whether on leasehold or freehold, on land that the owner of a sectional unit does not hold any interest </w:t>
      </w:r>
      <w:r w:rsidR="00D3770C" w:rsidRPr="0046627D">
        <w:rPr>
          <w:rFonts w:ascii="Times New Roman" w:eastAsia="Calibri" w:hAnsi="Times New Roman" w:cs="Times New Roman"/>
          <w:kern w:val="0"/>
          <w:sz w:val="24"/>
          <w:szCs w:val="24"/>
          <w14:ligatures w14:val="none"/>
        </w:rPr>
        <w:t>in.</w:t>
      </w:r>
      <w:r w:rsidRPr="0046627D">
        <w:rPr>
          <w:rFonts w:ascii="Times New Roman" w:eastAsia="Calibri" w:hAnsi="Times New Roman" w:cs="Times New Roman"/>
          <w:kern w:val="0"/>
          <w:sz w:val="24"/>
          <w:szCs w:val="24"/>
          <w14:ligatures w14:val="none"/>
        </w:rPr>
        <w:t xml:space="preserve"> This is done through the issuance of a share certificate by the Land Registrar which shall include the share in the common property on a title deed for sectional property for that particular unit. Through this Act, a proprietor can apply with approval from the county government,  for subdivision or consolidation of his unit by presenting a sectional plan which will include any modifications to be done, including those that will affect any existing easements  on the original sectional plan. </w:t>
      </w:r>
      <w:r w:rsidR="000C249F">
        <w:rPr>
          <w:rFonts w:ascii="Times New Roman" w:eastAsia="Calibri" w:hAnsi="Times New Roman" w:cs="Times New Roman"/>
          <w:kern w:val="0"/>
          <w:sz w:val="24"/>
          <w:szCs w:val="24"/>
          <w14:ligatures w14:val="none"/>
        </w:rPr>
        <w:t xml:space="preserve"> </w:t>
      </w:r>
    </w:p>
    <w:p w14:paraId="1283C75F" w14:textId="61EDAEF5" w:rsidR="0046627D" w:rsidRDefault="00330CF3" w:rsidP="0046627D">
      <w:pPr>
        <w:spacing w:after="0" w:line="360" w:lineRule="auto"/>
        <w:jc w:val="both"/>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3</w:t>
      </w:r>
      <w:r w:rsidR="0046627D">
        <w:rPr>
          <w:rFonts w:ascii="Times New Roman" w:eastAsia="Calibri" w:hAnsi="Times New Roman" w:cs="Times New Roman"/>
          <w:b/>
          <w:bCs/>
          <w:kern w:val="0"/>
          <w:sz w:val="24"/>
          <w:szCs w:val="24"/>
          <w14:ligatures w14:val="none"/>
        </w:rPr>
        <w:t>.0 Modern Conveyancing Procedures</w:t>
      </w:r>
    </w:p>
    <w:p w14:paraId="0E9A5DD1" w14:textId="37E2CA9D" w:rsidR="0046627D" w:rsidRPr="0046627D" w:rsidRDefault="0046627D" w:rsidP="0046627D">
      <w:pPr>
        <w:spacing w:after="0"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There are generally two operative systems of land registration. These are (a) the registration of deeds or documents and (b) the registration of titles.</w:t>
      </w:r>
    </w:p>
    <w:p w14:paraId="530DC449" w14:textId="5C4DFFE5" w:rsidR="0046627D" w:rsidRPr="00330CF3" w:rsidRDefault="0046627D" w:rsidP="00330CF3">
      <w:pPr>
        <w:pStyle w:val="ListParagraph"/>
        <w:numPr>
          <w:ilvl w:val="1"/>
          <w:numId w:val="10"/>
        </w:numPr>
        <w:jc w:val="both"/>
        <w:rPr>
          <w:rFonts w:ascii="Times New Roman" w:eastAsia="Calibri" w:hAnsi="Times New Roman" w:cs="Times New Roman"/>
          <w:b/>
          <w:bCs/>
          <w:kern w:val="0"/>
          <w:sz w:val="24"/>
          <w:szCs w:val="24"/>
          <w14:ligatures w14:val="none"/>
        </w:rPr>
      </w:pPr>
      <w:r w:rsidRPr="00330CF3">
        <w:rPr>
          <w:rFonts w:ascii="Times New Roman" w:eastAsia="Calibri" w:hAnsi="Times New Roman" w:cs="Times New Roman"/>
          <w:b/>
          <w:bCs/>
          <w:kern w:val="0"/>
          <w:sz w:val="24"/>
          <w:szCs w:val="24"/>
          <w14:ligatures w14:val="none"/>
        </w:rPr>
        <w:t>Registration of deeds or documents.</w:t>
      </w:r>
    </w:p>
    <w:p w14:paraId="5230088C"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 xml:space="preserve">The registration of deed system entails maintenance of a public register in which documents affecting interests in a particular registered land are copied or abstracted. Consequently, it is the document or the deed that is registered and not the title. In the registration of documents system, it is the document that proves title and not the register. A deed is merely evidence of the recorded transaction and is by no means proof of title. The most that can be inferred from a deed is to invoke the records as </w:t>
      </w:r>
      <w:r w:rsidRPr="0046627D">
        <w:rPr>
          <w:rFonts w:ascii="Times New Roman" w:eastAsia="Calibri" w:hAnsi="Times New Roman" w:cs="Times New Roman"/>
          <w:i/>
          <w:iCs/>
          <w:kern w:val="0"/>
          <w:sz w:val="24"/>
          <w:szCs w:val="24"/>
          <w14:ligatures w14:val="none"/>
        </w:rPr>
        <w:t>prima facie</w:t>
      </w:r>
      <w:r w:rsidRPr="0046627D">
        <w:rPr>
          <w:rFonts w:ascii="Times New Roman" w:eastAsia="Calibri" w:hAnsi="Times New Roman" w:cs="Times New Roman"/>
          <w:kern w:val="0"/>
          <w:sz w:val="24"/>
          <w:szCs w:val="24"/>
          <w14:ligatures w14:val="none"/>
        </w:rPr>
        <w:t xml:space="preserve"> proof that the transaction in question did occur. It cannot and will not suffice to prove the validity or legitimacy of such transactions. This system is however, rapidly being replaced by the registration of title systems.</w:t>
      </w:r>
    </w:p>
    <w:p w14:paraId="17C4CF82" w14:textId="0A704933" w:rsidR="0046627D" w:rsidRPr="00330CF3" w:rsidRDefault="0046627D" w:rsidP="00330CF3">
      <w:pPr>
        <w:pStyle w:val="ListParagraph"/>
        <w:numPr>
          <w:ilvl w:val="1"/>
          <w:numId w:val="10"/>
        </w:numPr>
        <w:jc w:val="both"/>
        <w:rPr>
          <w:rFonts w:ascii="Times New Roman" w:eastAsia="Calibri" w:hAnsi="Times New Roman" w:cs="Times New Roman"/>
          <w:b/>
          <w:bCs/>
          <w:kern w:val="0"/>
          <w:sz w:val="24"/>
          <w:szCs w:val="24"/>
          <w14:ligatures w14:val="none"/>
        </w:rPr>
      </w:pPr>
      <w:r w:rsidRPr="00330CF3">
        <w:rPr>
          <w:rFonts w:ascii="Times New Roman" w:eastAsia="Calibri" w:hAnsi="Times New Roman" w:cs="Times New Roman"/>
          <w:b/>
          <w:bCs/>
          <w:kern w:val="0"/>
          <w:sz w:val="24"/>
          <w:szCs w:val="24"/>
          <w14:ligatures w14:val="none"/>
        </w:rPr>
        <w:t>Registration of titles.</w:t>
      </w:r>
    </w:p>
    <w:p w14:paraId="7459703C"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 xml:space="preserve">This refers to the maintenance by the state of an authoritative record of all rights in relation to parcels of land. These parcels of land create rights to be vested on specific individuals or legal entities and subject to such limitations as may be disclosed in the register itself, save for such </w:t>
      </w:r>
      <w:r w:rsidRPr="0046627D">
        <w:rPr>
          <w:rFonts w:ascii="Times New Roman" w:eastAsia="Calibri" w:hAnsi="Times New Roman" w:cs="Times New Roman"/>
          <w:kern w:val="0"/>
          <w:sz w:val="24"/>
          <w:szCs w:val="24"/>
          <w14:ligatures w14:val="none"/>
        </w:rPr>
        <w:lastRenderedPageBreak/>
        <w:t>interests as may be of overriding nature (</w:t>
      </w:r>
      <w:r w:rsidRPr="0046627D">
        <w:rPr>
          <w:rFonts w:ascii="Times New Roman" w:eastAsia="Calibri" w:hAnsi="Times New Roman" w:cs="Times New Roman"/>
          <w:bCs/>
          <w:i/>
          <w:iCs/>
          <w:kern w:val="0"/>
          <w:sz w:val="24"/>
          <w:szCs w:val="24"/>
          <w14:ligatures w14:val="none"/>
        </w:rPr>
        <w:t>Section 30 of the RLA</w:t>
      </w:r>
      <w:r w:rsidRPr="0046627D">
        <w:rPr>
          <w:rFonts w:ascii="Times New Roman" w:eastAsia="Calibri" w:hAnsi="Times New Roman" w:cs="Times New Roman"/>
          <w:kern w:val="0"/>
          <w:sz w:val="24"/>
          <w:szCs w:val="24"/>
          <w14:ligatures w14:val="none"/>
        </w:rPr>
        <w:t xml:space="preserve">). The registration of title provides that convenience and simplicity that anybody interested in a given property would want.  </w:t>
      </w:r>
    </w:p>
    <w:p w14:paraId="2633AEFA"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 xml:space="preserve">The case for registration of title is made out by the fact that it offers cheap, expeditious, and secure methods in property dealings which are in sharp contrast to the position in the unregistered system, which was thought to be costly, disorganized, and conflict-ridden. Its principal objective is to replace the traditional unregistered title method with a single established register which is state maintained and therefore conclusive and authoritative as to the details or particulars set out   therein. It is credited in eliminating the burden placed on potential purchasers under the unregistered system which required them to separately investigate titles to assure themselves that it is a good title that can pass and which is free from any hidden claims which may be adverse to their interests.    </w:t>
      </w:r>
    </w:p>
    <w:p w14:paraId="27CC65FE" w14:textId="5C7925FC" w:rsidR="0046627D" w:rsidRPr="00ED366D" w:rsidRDefault="0046627D" w:rsidP="00330CF3">
      <w:pPr>
        <w:pStyle w:val="ListParagraph"/>
        <w:numPr>
          <w:ilvl w:val="1"/>
          <w:numId w:val="10"/>
        </w:numPr>
        <w:jc w:val="both"/>
        <w:rPr>
          <w:rFonts w:ascii="Times New Roman" w:eastAsia="Calibri" w:hAnsi="Times New Roman" w:cs="Times New Roman"/>
          <w:b/>
          <w:bCs/>
          <w:kern w:val="0"/>
          <w:sz w:val="24"/>
          <w:szCs w:val="24"/>
          <w14:ligatures w14:val="none"/>
        </w:rPr>
      </w:pPr>
      <w:r w:rsidRPr="00ED366D">
        <w:rPr>
          <w:rFonts w:ascii="Times New Roman" w:eastAsia="Calibri" w:hAnsi="Times New Roman" w:cs="Times New Roman"/>
          <w:b/>
          <w:bCs/>
          <w:kern w:val="0"/>
          <w:sz w:val="24"/>
          <w:szCs w:val="24"/>
          <w14:ligatures w14:val="none"/>
        </w:rPr>
        <w:t xml:space="preserve">Roles of Conveyancers and </w:t>
      </w:r>
      <w:r w:rsidR="00ED366D">
        <w:rPr>
          <w:rFonts w:ascii="Times New Roman" w:eastAsia="Calibri" w:hAnsi="Times New Roman" w:cs="Times New Roman"/>
          <w:b/>
          <w:bCs/>
          <w:kern w:val="0"/>
          <w:sz w:val="24"/>
          <w:szCs w:val="24"/>
          <w14:ligatures w14:val="none"/>
        </w:rPr>
        <w:t>S</w:t>
      </w:r>
      <w:r w:rsidRPr="00ED366D">
        <w:rPr>
          <w:rFonts w:ascii="Times New Roman" w:eastAsia="Calibri" w:hAnsi="Times New Roman" w:cs="Times New Roman"/>
          <w:b/>
          <w:bCs/>
          <w:kern w:val="0"/>
          <w:sz w:val="24"/>
          <w:szCs w:val="24"/>
          <w14:ligatures w14:val="none"/>
        </w:rPr>
        <w:t>olicitors in the UK</w:t>
      </w:r>
    </w:p>
    <w:p w14:paraId="67718B73"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Conveyancers prepare and review all the transfer documentation, conduct title and certificate searches and are well versed in municipal laws and procedures. Conveyancers are licensed to only deal in conveyancing law while solicitors are fully fledged legal professionals, performing the same tasks as conveyancers but having a greater knowledge of the law.</w:t>
      </w:r>
    </w:p>
    <w:p w14:paraId="09FFB43D"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Solicitors, handling the conveyancing processes and procedures are in the circumstances conveyancers as well. The roles of the conveyancers and the solicitors as far as conveyancing is concerned, are therefore intertwined and in many ways similar. The roles however differ, with regard to the side that the conveyancer is representing, whether it is the vendor or the Purchaser. Generally, the role of a conveyancer is to represent the parties.</w:t>
      </w:r>
    </w:p>
    <w:p w14:paraId="31B24C7F" w14:textId="3D08ABCE" w:rsidR="0046627D" w:rsidRPr="00ED366D" w:rsidRDefault="0046627D" w:rsidP="00330CF3">
      <w:pPr>
        <w:pStyle w:val="ListParagraph"/>
        <w:numPr>
          <w:ilvl w:val="1"/>
          <w:numId w:val="10"/>
        </w:numPr>
        <w:jc w:val="both"/>
        <w:rPr>
          <w:rFonts w:ascii="Times New Roman" w:eastAsia="Calibri" w:hAnsi="Times New Roman" w:cs="Times New Roman"/>
          <w:b/>
          <w:kern w:val="0"/>
          <w:sz w:val="24"/>
          <w:szCs w:val="24"/>
          <w14:ligatures w14:val="none"/>
        </w:rPr>
      </w:pPr>
      <w:r w:rsidRPr="00ED366D">
        <w:rPr>
          <w:rFonts w:ascii="Times New Roman" w:eastAsia="Calibri" w:hAnsi="Times New Roman" w:cs="Times New Roman"/>
          <w:b/>
          <w:kern w:val="0"/>
          <w:sz w:val="24"/>
          <w:szCs w:val="24"/>
          <w14:ligatures w14:val="none"/>
        </w:rPr>
        <w:t>Role of Technology in Modern Conveyancing Transactions</w:t>
      </w:r>
    </w:p>
    <w:p w14:paraId="202D70CA" w14:textId="77777777"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Historically, conveyancing transactions were heavily reliant on paper-based applications and communication leading to slow-moving transactions with lengthy wait times for document transfers and manual checks.</w:t>
      </w:r>
      <w:r w:rsidRPr="0046627D">
        <w:rPr>
          <w:rFonts w:ascii="Times New Roman" w:eastAsia="Calibri" w:hAnsi="Times New Roman" w:cs="Times New Roman"/>
          <w:kern w:val="0"/>
          <w:sz w:val="24"/>
          <w:szCs w:val="24"/>
          <w:vertAlign w:val="superscript"/>
          <w14:ligatures w14:val="none"/>
        </w:rPr>
        <w:footnoteReference w:id="17"/>
      </w:r>
      <w:r w:rsidRPr="0046627D">
        <w:rPr>
          <w:rFonts w:ascii="Times New Roman" w:eastAsia="Calibri" w:hAnsi="Times New Roman" w:cs="Times New Roman"/>
          <w:kern w:val="0"/>
          <w:sz w:val="24"/>
          <w:szCs w:val="24"/>
          <w14:ligatures w14:val="none"/>
        </w:rPr>
        <w:t xml:space="preserve"> However, during the digital revolution, conveyancing saw the </w:t>
      </w:r>
      <w:r w:rsidRPr="0046627D">
        <w:rPr>
          <w:rFonts w:ascii="Times New Roman" w:eastAsia="Calibri" w:hAnsi="Times New Roman" w:cs="Times New Roman"/>
          <w:kern w:val="0"/>
          <w:sz w:val="24"/>
          <w:szCs w:val="24"/>
          <w14:ligatures w14:val="none"/>
        </w:rPr>
        <w:lastRenderedPageBreak/>
        <w:t>introduction of the use of online tools, databases, portals and software in a bid to make the conveyancing process more streamlined, efficient and transparent.</w:t>
      </w:r>
      <w:r w:rsidRPr="0046627D">
        <w:rPr>
          <w:rFonts w:ascii="Times New Roman" w:eastAsia="Calibri" w:hAnsi="Times New Roman" w:cs="Times New Roman"/>
          <w:kern w:val="0"/>
          <w:sz w:val="24"/>
          <w:szCs w:val="24"/>
          <w:vertAlign w:val="superscript"/>
          <w14:ligatures w14:val="none"/>
        </w:rPr>
        <w:footnoteReference w:id="18"/>
      </w:r>
    </w:p>
    <w:p w14:paraId="0A4CC842" w14:textId="08F505F4" w:rsidR="0046627D" w:rsidRPr="0046627D" w:rsidRDefault="0046627D" w:rsidP="0046627D">
      <w:pPr>
        <w:spacing w:line="360" w:lineRule="auto"/>
        <w:jc w:val="both"/>
        <w:rPr>
          <w:rFonts w:ascii="Times New Roman" w:eastAsia="Calibri" w:hAnsi="Times New Roman" w:cs="Times New Roman"/>
          <w:kern w:val="0"/>
          <w:sz w:val="24"/>
          <w:szCs w:val="24"/>
          <w14:ligatures w14:val="none"/>
        </w:rPr>
      </w:pPr>
      <w:r w:rsidRPr="0046627D">
        <w:rPr>
          <w:rFonts w:ascii="Times New Roman" w:eastAsia="Calibri" w:hAnsi="Times New Roman" w:cs="Times New Roman"/>
          <w:kern w:val="0"/>
          <w:sz w:val="24"/>
          <w:szCs w:val="24"/>
          <w14:ligatures w14:val="none"/>
        </w:rPr>
        <w:t xml:space="preserve">Solicitors are </w:t>
      </w:r>
      <w:r w:rsidRPr="0046627D">
        <w:rPr>
          <w:rFonts w:ascii="Times New Roman" w:eastAsia="Calibri" w:hAnsi="Times New Roman" w:cs="Times New Roman"/>
          <w:kern w:val="0"/>
          <w:sz w:val="24"/>
          <w:szCs w:val="24"/>
          <w:u w:val="single"/>
          <w14:ligatures w14:val="none"/>
        </w:rPr>
        <w:t>investing in new conveyancing specific case management systems and software</w:t>
      </w:r>
      <w:r w:rsidRPr="0046627D">
        <w:rPr>
          <w:rFonts w:ascii="Times New Roman" w:eastAsia="Calibri" w:hAnsi="Times New Roman" w:cs="Times New Roman"/>
          <w:kern w:val="0"/>
          <w:sz w:val="24"/>
          <w:szCs w:val="24"/>
          <w14:ligatures w14:val="none"/>
        </w:rPr>
        <w:t xml:space="preserve"> that enables swifter production of routine correspondence, automating specific document production and enabling direct integration with third parties such as requesting searches instantly electronically.</w:t>
      </w:r>
      <w:r w:rsidRPr="0046627D">
        <w:rPr>
          <w:rFonts w:ascii="Times New Roman" w:eastAsia="Calibri" w:hAnsi="Times New Roman" w:cs="Times New Roman"/>
          <w:kern w:val="0"/>
          <w:sz w:val="24"/>
          <w:szCs w:val="24"/>
          <w:vertAlign w:val="superscript"/>
          <w14:ligatures w14:val="none"/>
        </w:rPr>
        <w:footnoteReference w:id="19"/>
      </w:r>
      <w:r w:rsidRPr="0046627D">
        <w:rPr>
          <w:rFonts w:ascii="Times New Roman" w:eastAsia="Calibri" w:hAnsi="Times New Roman" w:cs="Times New Roman"/>
          <w:kern w:val="0"/>
          <w:sz w:val="24"/>
          <w:szCs w:val="24"/>
          <w14:ligatures w14:val="none"/>
        </w:rPr>
        <w:t xml:space="preserve"> The automated systems also reduce the chances of errors albeit not entirely. With the advent of </w:t>
      </w:r>
      <w:r w:rsidRPr="0046627D">
        <w:rPr>
          <w:rFonts w:ascii="Times New Roman" w:eastAsia="Calibri" w:hAnsi="Times New Roman" w:cs="Times New Roman"/>
          <w:kern w:val="0"/>
          <w:sz w:val="24"/>
          <w:szCs w:val="24"/>
          <w:u w:val="single"/>
          <w14:ligatures w14:val="none"/>
        </w:rPr>
        <w:t>online and digital communication</w:t>
      </w:r>
      <w:r w:rsidRPr="0046627D">
        <w:rPr>
          <w:rFonts w:ascii="Times New Roman" w:eastAsia="Calibri" w:hAnsi="Times New Roman" w:cs="Times New Roman"/>
          <w:kern w:val="0"/>
          <w:sz w:val="24"/>
          <w:szCs w:val="24"/>
          <w14:ligatures w14:val="none"/>
        </w:rPr>
        <w:t xml:space="preserve">, solicitors </w:t>
      </w:r>
      <w:r w:rsidR="00FA7AF2" w:rsidRPr="0046627D">
        <w:rPr>
          <w:rFonts w:ascii="Times New Roman" w:eastAsia="Calibri" w:hAnsi="Times New Roman" w:cs="Times New Roman"/>
          <w:kern w:val="0"/>
          <w:sz w:val="24"/>
          <w:szCs w:val="24"/>
          <w14:ligatures w14:val="none"/>
        </w:rPr>
        <w:t>can</w:t>
      </w:r>
      <w:r w:rsidRPr="0046627D">
        <w:rPr>
          <w:rFonts w:ascii="Times New Roman" w:eastAsia="Calibri" w:hAnsi="Times New Roman" w:cs="Times New Roman"/>
          <w:kern w:val="0"/>
          <w:sz w:val="24"/>
          <w:szCs w:val="24"/>
          <w14:ligatures w14:val="none"/>
        </w:rPr>
        <w:t xml:space="preserve"> quickly respond to clients’ queries while reducing the amount of paper consumed to help conserve the environment, reduce emissions as well as cut operating expenses with limited use of paper.</w:t>
      </w:r>
      <w:r w:rsidRPr="0046627D">
        <w:rPr>
          <w:rFonts w:ascii="Times New Roman" w:eastAsia="Calibri" w:hAnsi="Times New Roman" w:cs="Times New Roman"/>
          <w:kern w:val="0"/>
          <w:sz w:val="24"/>
          <w:szCs w:val="24"/>
          <w:vertAlign w:val="superscript"/>
          <w14:ligatures w14:val="none"/>
        </w:rPr>
        <w:footnoteReference w:id="20"/>
      </w:r>
      <w:r w:rsidRPr="0046627D">
        <w:rPr>
          <w:rFonts w:ascii="Times New Roman" w:eastAsia="Calibri" w:hAnsi="Times New Roman" w:cs="Times New Roman"/>
          <w:kern w:val="0"/>
          <w:sz w:val="24"/>
          <w:szCs w:val="24"/>
          <w14:ligatures w14:val="none"/>
        </w:rPr>
        <w:t xml:space="preserve"> </w:t>
      </w:r>
    </w:p>
    <w:p w14:paraId="3EAB3B68" w14:textId="7A00325B" w:rsidR="0046627D" w:rsidRPr="0046627D" w:rsidRDefault="0046627D" w:rsidP="00A441D4">
      <w:pPr>
        <w:spacing w:after="0" w:line="360" w:lineRule="auto"/>
        <w:jc w:val="both"/>
        <w:rPr>
          <w:rFonts w:ascii="Times New Roman" w:hAnsi="Times New Roman" w:cs="Times New Roman"/>
          <w:sz w:val="24"/>
          <w:szCs w:val="24"/>
        </w:rPr>
      </w:pPr>
      <w:r w:rsidRPr="0046627D">
        <w:rPr>
          <w:rFonts w:ascii="Times New Roman" w:eastAsia="Calibri" w:hAnsi="Times New Roman" w:cs="Times New Roman"/>
          <w:kern w:val="0"/>
          <w:sz w:val="24"/>
          <w:szCs w:val="24"/>
          <w14:ligatures w14:val="none"/>
        </w:rPr>
        <w:t xml:space="preserve">The Land Registry is also embracing modern technology </w:t>
      </w:r>
      <w:r w:rsidR="00FA7AF2" w:rsidRPr="0046627D">
        <w:rPr>
          <w:rFonts w:ascii="Times New Roman" w:eastAsia="Calibri" w:hAnsi="Times New Roman" w:cs="Times New Roman"/>
          <w:kern w:val="0"/>
          <w:sz w:val="24"/>
          <w:szCs w:val="24"/>
          <w14:ligatures w14:val="none"/>
        </w:rPr>
        <w:t>using</w:t>
      </w:r>
      <w:r w:rsidR="00FA7AF2" w:rsidRPr="00FA7AF2">
        <w:rPr>
          <w:rFonts w:ascii="Times New Roman" w:eastAsia="Calibri" w:hAnsi="Times New Roman" w:cs="Times New Roman"/>
          <w:kern w:val="0"/>
          <w:sz w:val="24"/>
          <w:szCs w:val="24"/>
          <w14:ligatures w14:val="none"/>
        </w:rPr>
        <w:t xml:space="preserve"> </w:t>
      </w:r>
      <w:r w:rsidRPr="0046627D">
        <w:rPr>
          <w:rFonts w:ascii="Times New Roman" w:eastAsia="Calibri" w:hAnsi="Times New Roman" w:cs="Times New Roman"/>
          <w:kern w:val="0"/>
          <w:sz w:val="24"/>
          <w:szCs w:val="24"/>
          <w:u w:val="single"/>
          <w14:ligatures w14:val="none"/>
        </w:rPr>
        <w:t>online portals</w:t>
      </w:r>
      <w:r w:rsidRPr="0046627D">
        <w:rPr>
          <w:rFonts w:ascii="Times New Roman" w:eastAsia="Calibri" w:hAnsi="Times New Roman" w:cs="Times New Roman"/>
          <w:kern w:val="0"/>
          <w:sz w:val="24"/>
          <w:szCs w:val="24"/>
          <w14:ligatures w14:val="none"/>
        </w:rPr>
        <w:t xml:space="preserve"> where applications and communications are uploaded by users and thereafter the responses and results of the applications are communicated by the Land Registry vide the same portal. This is a faster and more efficient way of conducting conveyancing transactions as compared to the previous system of post bases applications and queries.</w:t>
      </w:r>
      <w:r w:rsidRPr="0046627D">
        <w:rPr>
          <w:rFonts w:ascii="Times New Roman" w:eastAsia="Calibri" w:hAnsi="Times New Roman" w:cs="Times New Roman"/>
          <w:kern w:val="0"/>
          <w:sz w:val="24"/>
          <w:szCs w:val="24"/>
          <w:vertAlign w:val="superscript"/>
          <w14:ligatures w14:val="none"/>
        </w:rPr>
        <w:footnoteReference w:id="21"/>
      </w:r>
      <w:r w:rsidR="00A441D4" w:rsidRPr="00A441D4">
        <w:rPr>
          <w:rFonts w:ascii="Times New Roman" w:hAnsi="Times New Roman" w:cs="Times New Roman"/>
          <w:sz w:val="24"/>
          <w:szCs w:val="24"/>
        </w:rPr>
        <w:t xml:space="preserve"> </w:t>
      </w:r>
      <w:r w:rsidR="00A441D4">
        <w:rPr>
          <w:rFonts w:ascii="Times New Roman" w:hAnsi="Times New Roman" w:cs="Times New Roman"/>
          <w:sz w:val="24"/>
          <w:szCs w:val="24"/>
        </w:rPr>
        <w:t>The COVID-19 pandemic accelerated the need for remote transactions by adapting virtual meetings, digital signatures, and online sharing of documents can be a challenge for traditional conveyancing practices.</w:t>
      </w:r>
      <w:r w:rsidR="00A441D4">
        <w:rPr>
          <w:rStyle w:val="FootnoteReference"/>
          <w:rFonts w:ascii="Times New Roman" w:hAnsi="Times New Roman" w:cs="Times New Roman"/>
          <w:sz w:val="24"/>
          <w:szCs w:val="24"/>
        </w:rPr>
        <w:footnoteReference w:id="22"/>
      </w:r>
    </w:p>
    <w:p w14:paraId="34E0FDC1" w14:textId="519F1B75" w:rsidR="0035790A" w:rsidRDefault="00330CF3" w:rsidP="00A441D4">
      <w:pPr>
        <w:spacing w:after="0" w:line="420" w:lineRule="atLeast"/>
        <w:jc w:val="both"/>
        <w:rPr>
          <w:rFonts w:ascii="Times New Roman" w:eastAsia="Times New Roman" w:hAnsi="Times New Roman" w:cs="Times New Roman"/>
          <w:b/>
          <w:bCs/>
          <w:color w:val="1F1F1F"/>
          <w:kern w:val="0"/>
          <w:sz w:val="24"/>
          <w:szCs w:val="24"/>
          <w:bdr w:val="none" w:sz="0" w:space="0" w:color="auto" w:frame="1"/>
          <w14:ligatures w14:val="none"/>
        </w:rPr>
      </w:pPr>
      <w:r>
        <w:rPr>
          <w:rFonts w:ascii="Times New Roman" w:eastAsia="Times New Roman" w:hAnsi="Times New Roman" w:cs="Times New Roman"/>
          <w:b/>
          <w:bCs/>
          <w:color w:val="1F1F1F"/>
          <w:kern w:val="0"/>
          <w:sz w:val="24"/>
          <w:szCs w:val="24"/>
          <w:bdr w:val="none" w:sz="0" w:space="0" w:color="auto" w:frame="1"/>
          <w14:ligatures w14:val="none"/>
        </w:rPr>
        <w:t>4</w:t>
      </w:r>
      <w:r w:rsidR="0035790A">
        <w:rPr>
          <w:rFonts w:ascii="Times New Roman" w:eastAsia="Times New Roman" w:hAnsi="Times New Roman" w:cs="Times New Roman"/>
          <w:b/>
          <w:bCs/>
          <w:color w:val="1F1F1F"/>
          <w:kern w:val="0"/>
          <w:sz w:val="24"/>
          <w:szCs w:val="24"/>
          <w:bdr w:val="none" w:sz="0" w:space="0" w:color="auto" w:frame="1"/>
          <w14:ligatures w14:val="none"/>
        </w:rPr>
        <w:t>.0 Historical Challenges in Conveyancing Law</w:t>
      </w:r>
    </w:p>
    <w:p w14:paraId="4498E4DD" w14:textId="006DB935" w:rsidR="0035790A" w:rsidRPr="0035790A" w:rsidRDefault="0035790A" w:rsidP="0035790A">
      <w:pPr>
        <w:spacing w:after="0" w:line="420" w:lineRule="atLeast"/>
        <w:jc w:val="both"/>
        <w:rPr>
          <w:rFonts w:ascii="Times New Roman" w:eastAsia="Times New Roman" w:hAnsi="Times New Roman" w:cs="Times New Roman"/>
          <w:color w:val="1F1F1F"/>
          <w:kern w:val="0"/>
          <w:sz w:val="24"/>
          <w:szCs w:val="24"/>
          <w:bdr w:val="none" w:sz="0" w:space="0" w:color="auto" w:frame="1"/>
          <w14:ligatures w14:val="none"/>
        </w:rPr>
      </w:pPr>
      <w:r w:rsidRPr="0035790A">
        <w:rPr>
          <w:rFonts w:ascii="Times New Roman" w:eastAsia="Times New Roman" w:hAnsi="Times New Roman" w:cs="Times New Roman"/>
          <w:color w:val="1F1F1F"/>
          <w:kern w:val="0"/>
          <w:sz w:val="24"/>
          <w:szCs w:val="24"/>
          <w:bdr w:val="none" w:sz="0" w:space="0" w:color="auto" w:frame="1"/>
          <w14:ligatures w14:val="none"/>
        </w:rPr>
        <w:t>For centuries, conveying property in the UK has been a complex and time-consuming process, burdened by historical quirks and antiquated practices. However, through various reforms, the landscape of conveyancing has gradually evolved, aiming for greater efficiency, accessibility and security for property transactions.</w:t>
      </w:r>
      <w:r w:rsidR="00D25D1F">
        <w:rPr>
          <w:rFonts w:ascii="Times New Roman" w:eastAsia="Times New Roman" w:hAnsi="Times New Roman" w:cs="Times New Roman"/>
          <w:color w:val="1F1F1F"/>
          <w:kern w:val="0"/>
          <w:sz w:val="24"/>
          <w:szCs w:val="24"/>
          <w:bdr w:val="none" w:sz="0" w:space="0" w:color="auto" w:frame="1"/>
          <w14:ligatures w14:val="none"/>
        </w:rPr>
        <w:t xml:space="preserve"> </w:t>
      </w:r>
      <w:r w:rsidRPr="0035790A">
        <w:rPr>
          <w:rFonts w:ascii="Times New Roman" w:eastAsia="Times New Roman" w:hAnsi="Times New Roman" w:cs="Times New Roman"/>
          <w:color w:val="1F1F1F"/>
          <w:kern w:val="0"/>
          <w:sz w:val="24"/>
          <w:szCs w:val="24"/>
          <w:bdr w:val="none" w:sz="0" w:space="0" w:color="auto" w:frame="1"/>
          <w14:ligatures w14:val="none"/>
        </w:rPr>
        <w:t>Historical factors contributed to the complexities of UK conveyancing include among others;</w:t>
      </w:r>
    </w:p>
    <w:p w14:paraId="3890CB9A" w14:textId="7A247EAE" w:rsidR="0035790A" w:rsidRPr="0035790A" w:rsidRDefault="0035790A" w:rsidP="0035790A">
      <w:pPr>
        <w:numPr>
          <w:ilvl w:val="0"/>
          <w:numId w:val="7"/>
        </w:numPr>
        <w:spacing w:after="0" w:line="420" w:lineRule="atLeast"/>
        <w:ind w:left="0"/>
        <w:jc w:val="both"/>
        <w:rPr>
          <w:rFonts w:ascii="Times New Roman" w:eastAsia="Times New Roman" w:hAnsi="Times New Roman" w:cs="Times New Roman"/>
          <w:color w:val="1F1F1F"/>
          <w:kern w:val="0"/>
          <w:sz w:val="24"/>
          <w:szCs w:val="24"/>
          <w14:ligatures w14:val="none"/>
        </w:rPr>
      </w:pPr>
      <w:r w:rsidRPr="0035790A">
        <w:rPr>
          <w:rFonts w:ascii="Times New Roman" w:eastAsia="Times New Roman" w:hAnsi="Times New Roman" w:cs="Times New Roman"/>
          <w:b/>
          <w:bCs/>
          <w:color w:val="1F1F1F"/>
          <w:kern w:val="0"/>
          <w:sz w:val="24"/>
          <w:szCs w:val="24"/>
          <w:bdr w:val="none" w:sz="0" w:space="0" w:color="auto" w:frame="1"/>
          <w14:ligatures w14:val="none"/>
        </w:rPr>
        <w:lastRenderedPageBreak/>
        <w:t>Feudal Legacy:</w:t>
      </w:r>
      <w:r w:rsidRPr="0035790A">
        <w:rPr>
          <w:rFonts w:ascii="Times New Roman" w:eastAsia="Times New Roman" w:hAnsi="Times New Roman" w:cs="Times New Roman"/>
          <w:color w:val="1F1F1F"/>
          <w:kern w:val="0"/>
          <w:sz w:val="24"/>
          <w:szCs w:val="24"/>
          <w:bdr w:val="none" w:sz="0" w:space="0" w:color="auto" w:frame="1"/>
          <w14:ligatures w14:val="none"/>
        </w:rPr>
        <w:t xml:space="preserve"> </w:t>
      </w:r>
      <w:r w:rsidR="00ED366D">
        <w:rPr>
          <w:rFonts w:ascii="Times New Roman" w:eastAsia="Times New Roman" w:hAnsi="Times New Roman" w:cs="Times New Roman"/>
          <w:color w:val="1F1F1F"/>
          <w:kern w:val="0"/>
          <w:sz w:val="24"/>
          <w:szCs w:val="24"/>
          <w:bdr w:val="none" w:sz="0" w:space="0" w:color="auto" w:frame="1"/>
          <w14:ligatures w14:val="none"/>
        </w:rPr>
        <w:t>L</w:t>
      </w:r>
      <w:r w:rsidRPr="0035790A">
        <w:rPr>
          <w:rFonts w:ascii="Times New Roman" w:eastAsia="Times New Roman" w:hAnsi="Times New Roman" w:cs="Times New Roman"/>
          <w:color w:val="1F1F1F"/>
          <w:kern w:val="0"/>
          <w:sz w:val="24"/>
          <w:szCs w:val="24"/>
          <w:bdr w:val="none" w:sz="0" w:space="0" w:color="auto" w:frame="1"/>
          <w14:ligatures w14:val="none"/>
        </w:rPr>
        <w:t>and records were fragmented and decentralized, often relying on paper deeds with intricate chains of ownership. Tracing title could be arduous, requiring meticulous examination of lengthy historical documents.</w:t>
      </w:r>
      <w:r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3"/>
      </w:r>
    </w:p>
    <w:p w14:paraId="25DF9A34" w14:textId="77777777" w:rsidR="0035790A" w:rsidRPr="0035790A" w:rsidRDefault="0035790A" w:rsidP="0035790A">
      <w:pPr>
        <w:numPr>
          <w:ilvl w:val="0"/>
          <w:numId w:val="7"/>
        </w:numPr>
        <w:spacing w:after="0" w:line="420" w:lineRule="atLeast"/>
        <w:ind w:left="0"/>
        <w:jc w:val="both"/>
        <w:rPr>
          <w:rFonts w:ascii="Times New Roman" w:eastAsia="Times New Roman" w:hAnsi="Times New Roman" w:cs="Times New Roman"/>
          <w:color w:val="1F1F1F"/>
          <w:kern w:val="0"/>
          <w:sz w:val="24"/>
          <w:szCs w:val="24"/>
          <w14:ligatures w14:val="none"/>
        </w:rPr>
      </w:pPr>
      <w:r w:rsidRPr="0035790A">
        <w:rPr>
          <w:rFonts w:ascii="Times New Roman" w:eastAsia="Times New Roman" w:hAnsi="Times New Roman" w:cs="Times New Roman"/>
          <w:b/>
          <w:bCs/>
          <w:color w:val="1F1F1F"/>
          <w:kern w:val="0"/>
          <w:sz w:val="24"/>
          <w:szCs w:val="24"/>
          <w:bdr w:val="none" w:sz="0" w:space="0" w:color="auto" w:frame="1"/>
          <w14:ligatures w14:val="none"/>
        </w:rPr>
        <w:t>Lack of Standardization:</w:t>
      </w:r>
      <w:r w:rsidRPr="0035790A">
        <w:rPr>
          <w:rFonts w:ascii="Times New Roman" w:eastAsia="Times New Roman" w:hAnsi="Times New Roman" w:cs="Times New Roman"/>
          <w:color w:val="1F1F1F"/>
          <w:kern w:val="0"/>
          <w:sz w:val="24"/>
          <w:szCs w:val="24"/>
          <w:bdr w:val="none" w:sz="0" w:space="0" w:color="auto" w:frame="1"/>
          <w14:ligatures w14:val="none"/>
        </w:rPr>
        <w:t xml:space="preserve"> Conveyancing practices varied considerably across regions and legal professionals, leading to inconsistencies and inefficiencies. The absence of standardized forms and procedures further increased complexity.</w:t>
      </w:r>
      <w:r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4"/>
      </w:r>
    </w:p>
    <w:p w14:paraId="0E2B8CC4" w14:textId="77777777" w:rsidR="0035790A" w:rsidRPr="0035790A" w:rsidRDefault="0035790A" w:rsidP="00330CF3">
      <w:pPr>
        <w:numPr>
          <w:ilvl w:val="0"/>
          <w:numId w:val="7"/>
        </w:numPr>
        <w:spacing w:line="420" w:lineRule="atLeast"/>
        <w:ind w:left="0"/>
        <w:jc w:val="both"/>
        <w:rPr>
          <w:rFonts w:ascii="Times New Roman" w:eastAsia="Times New Roman" w:hAnsi="Times New Roman" w:cs="Times New Roman"/>
          <w:color w:val="1F1F1F"/>
          <w:kern w:val="0"/>
          <w:sz w:val="24"/>
          <w:szCs w:val="24"/>
          <w14:ligatures w14:val="none"/>
        </w:rPr>
      </w:pPr>
      <w:r w:rsidRPr="0035790A">
        <w:rPr>
          <w:rFonts w:ascii="Times New Roman" w:eastAsia="Times New Roman" w:hAnsi="Times New Roman" w:cs="Times New Roman"/>
          <w:b/>
          <w:bCs/>
          <w:color w:val="1F1F1F"/>
          <w:kern w:val="0"/>
          <w:sz w:val="24"/>
          <w:szCs w:val="24"/>
          <w:bdr w:val="none" w:sz="0" w:space="0" w:color="auto" w:frame="1"/>
          <w14:ligatures w14:val="none"/>
        </w:rPr>
        <w:t>Limited Transparency:</w:t>
      </w:r>
      <w:r w:rsidRPr="0035790A">
        <w:rPr>
          <w:rFonts w:ascii="Times New Roman" w:eastAsia="Times New Roman" w:hAnsi="Times New Roman" w:cs="Times New Roman"/>
          <w:color w:val="1F1F1F"/>
          <w:kern w:val="0"/>
          <w:sz w:val="24"/>
          <w:szCs w:val="24"/>
          <w:bdr w:val="none" w:sz="0" w:space="0" w:color="auto" w:frame="1"/>
          <w14:ligatures w14:val="none"/>
        </w:rPr>
        <w:t xml:space="preserve"> Information about land ownership and restrictions was not readily available, creating uncertainty and potential for disputes. Public registers were fragmented and lacked centralized access.</w:t>
      </w:r>
      <w:r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5"/>
      </w:r>
    </w:p>
    <w:p w14:paraId="7645F13D" w14:textId="3D984093" w:rsidR="0035790A" w:rsidRPr="00330CF3" w:rsidRDefault="0035790A" w:rsidP="00330CF3">
      <w:pPr>
        <w:pStyle w:val="ListParagraph"/>
        <w:numPr>
          <w:ilvl w:val="1"/>
          <w:numId w:val="11"/>
        </w:numPr>
        <w:spacing w:line="420" w:lineRule="atLeast"/>
        <w:jc w:val="both"/>
        <w:rPr>
          <w:rFonts w:ascii="Times New Roman" w:eastAsia="Times New Roman" w:hAnsi="Times New Roman" w:cs="Times New Roman"/>
          <w:color w:val="1F1F1F"/>
          <w:kern w:val="0"/>
          <w:sz w:val="24"/>
          <w:szCs w:val="24"/>
          <w14:ligatures w14:val="none"/>
        </w:rPr>
      </w:pPr>
      <w:r w:rsidRPr="00330CF3">
        <w:rPr>
          <w:rFonts w:ascii="Times New Roman" w:eastAsia="Times New Roman" w:hAnsi="Times New Roman" w:cs="Times New Roman"/>
          <w:b/>
          <w:bCs/>
          <w:color w:val="1F1F1F"/>
          <w:kern w:val="0"/>
          <w:sz w:val="24"/>
          <w:szCs w:val="24"/>
          <w:bdr w:val="none" w:sz="0" w:space="0" w:color="auto" w:frame="1"/>
          <w14:ligatures w14:val="none"/>
        </w:rPr>
        <w:t>Navigating the Reform Path: Addressing the Challenges</w:t>
      </w:r>
    </w:p>
    <w:p w14:paraId="06DFB65E" w14:textId="0BBF62A0" w:rsidR="0035790A" w:rsidRPr="0035790A" w:rsidRDefault="0035790A" w:rsidP="00330CF3">
      <w:pPr>
        <w:spacing w:line="420" w:lineRule="atLeast"/>
        <w:jc w:val="both"/>
        <w:rPr>
          <w:rFonts w:ascii="Times New Roman" w:eastAsia="Times New Roman" w:hAnsi="Times New Roman" w:cs="Times New Roman"/>
          <w:color w:val="1F1F1F"/>
          <w:kern w:val="0"/>
          <w:sz w:val="24"/>
          <w:szCs w:val="24"/>
          <w:bdr w:val="none" w:sz="0" w:space="0" w:color="auto" w:frame="1"/>
          <w14:ligatures w14:val="none"/>
        </w:rPr>
      </w:pPr>
      <w:r w:rsidRPr="0035790A">
        <w:rPr>
          <w:rFonts w:ascii="Times New Roman" w:eastAsia="Times New Roman" w:hAnsi="Times New Roman" w:cs="Times New Roman"/>
          <w:color w:val="1F1F1F"/>
          <w:kern w:val="0"/>
          <w:sz w:val="24"/>
          <w:szCs w:val="24"/>
          <w:bdr w:val="none" w:sz="0" w:space="0" w:color="auto" w:frame="1"/>
          <w14:ligatures w14:val="none"/>
        </w:rPr>
        <w:t>Recogni</w:t>
      </w:r>
      <w:r w:rsidR="00330CF3">
        <w:rPr>
          <w:rFonts w:ascii="Times New Roman" w:eastAsia="Times New Roman" w:hAnsi="Times New Roman" w:cs="Times New Roman"/>
          <w:color w:val="1F1F1F"/>
          <w:kern w:val="0"/>
          <w:sz w:val="24"/>
          <w:szCs w:val="24"/>
          <w:bdr w:val="none" w:sz="0" w:space="0" w:color="auto" w:frame="1"/>
          <w14:ligatures w14:val="none"/>
        </w:rPr>
        <w:t>s</w:t>
      </w:r>
      <w:r w:rsidRPr="0035790A">
        <w:rPr>
          <w:rFonts w:ascii="Times New Roman" w:eastAsia="Times New Roman" w:hAnsi="Times New Roman" w:cs="Times New Roman"/>
          <w:color w:val="1F1F1F"/>
          <w:kern w:val="0"/>
          <w:sz w:val="24"/>
          <w:szCs w:val="24"/>
          <w:bdr w:val="none" w:sz="0" w:space="0" w:color="auto" w:frame="1"/>
          <w14:ligatures w14:val="none"/>
        </w:rPr>
        <w:t xml:space="preserve">ing these limitations, various reforms were implemented to modernize and streamline UK </w:t>
      </w:r>
      <w:r w:rsidR="00330CF3" w:rsidRPr="0035790A">
        <w:rPr>
          <w:rFonts w:ascii="Times New Roman" w:eastAsia="Times New Roman" w:hAnsi="Times New Roman" w:cs="Times New Roman"/>
          <w:color w:val="1F1F1F"/>
          <w:kern w:val="0"/>
          <w:sz w:val="24"/>
          <w:szCs w:val="24"/>
          <w:bdr w:val="none" w:sz="0" w:space="0" w:color="auto" w:frame="1"/>
          <w14:ligatures w14:val="none"/>
        </w:rPr>
        <w:t>conveyancing.</w:t>
      </w:r>
      <w:r w:rsidR="00330CF3">
        <w:rPr>
          <w:rFonts w:ascii="Times New Roman" w:eastAsia="Times New Roman" w:hAnsi="Times New Roman" w:cs="Times New Roman"/>
          <w:color w:val="1F1F1F"/>
          <w:kern w:val="0"/>
          <w:sz w:val="24"/>
          <w:szCs w:val="24"/>
          <w:bdr w:val="none" w:sz="0" w:space="0" w:color="auto" w:frame="1"/>
          <w14:ligatures w14:val="none"/>
        </w:rPr>
        <w:t xml:space="preserve"> </w:t>
      </w:r>
      <w:r w:rsidRPr="0035790A">
        <w:rPr>
          <w:rFonts w:ascii="Times New Roman" w:eastAsia="Times New Roman" w:hAnsi="Times New Roman" w:cs="Times New Roman"/>
          <w:i/>
          <w:iCs/>
          <w:color w:val="1F1F1F"/>
          <w:kern w:val="0"/>
          <w:sz w:val="24"/>
          <w:szCs w:val="24"/>
          <w:bdr w:val="none" w:sz="0" w:space="0" w:color="auto" w:frame="1"/>
          <w14:ligatures w14:val="none"/>
        </w:rPr>
        <w:t>The Land Registration Act 1925</w:t>
      </w:r>
      <w:r w:rsidR="00330CF3">
        <w:rPr>
          <w:rFonts w:ascii="Times New Roman" w:eastAsia="Times New Roman" w:hAnsi="Times New Roman" w:cs="Times New Roman"/>
          <w:color w:val="1F1F1F"/>
          <w:kern w:val="0"/>
          <w:sz w:val="24"/>
          <w:szCs w:val="24"/>
          <w:bdr w:val="none" w:sz="0" w:space="0" w:color="auto" w:frame="1"/>
          <w14:ligatures w14:val="none"/>
        </w:rPr>
        <w:t xml:space="preserve"> i</w:t>
      </w:r>
      <w:r w:rsidRPr="0035790A">
        <w:rPr>
          <w:rFonts w:ascii="Times New Roman" w:eastAsia="Times New Roman" w:hAnsi="Times New Roman" w:cs="Times New Roman"/>
          <w:color w:val="1F1F1F"/>
          <w:kern w:val="0"/>
          <w:sz w:val="24"/>
          <w:szCs w:val="24"/>
          <w:bdr w:val="none" w:sz="0" w:space="0" w:color="auto" w:frame="1"/>
          <w14:ligatures w14:val="none"/>
        </w:rPr>
        <w:t>ntroduced a compulsory land regi</w:t>
      </w:r>
      <w:r w:rsidRPr="0035790A">
        <w:rPr>
          <w:rFonts w:ascii="Times New Roman" w:eastAsia="Calibri" w:hAnsi="Times New Roman" w:cs="Times New Roman"/>
          <w:color w:val="1F1F1F"/>
          <w:kern w:val="0"/>
          <w:sz w:val="24"/>
          <w:szCs w:val="24"/>
          <w:bdr w:val="none" w:sz="0" w:space="0" w:color="auto" w:frame="1"/>
          <w14:ligatures w14:val="none"/>
        </w:rPr>
        <w:t>stration system in the United Kingdom.</w:t>
      </w:r>
      <w:r w:rsidRPr="0035790A">
        <w:rPr>
          <w:rFonts w:ascii="Times New Roman" w:eastAsia="Calibri" w:hAnsi="Times New Roman" w:cs="Times New Roman"/>
          <w:color w:val="333333"/>
          <w:kern w:val="0"/>
          <w:sz w:val="24"/>
          <w:szCs w:val="24"/>
          <w:shd w:val="clear" w:color="auto" w:fill="FFFFFF"/>
          <w14:ligatures w14:val="none"/>
        </w:rPr>
        <w:t xml:space="preserve"> </w:t>
      </w:r>
      <w:r w:rsidR="00330CF3">
        <w:rPr>
          <w:rFonts w:ascii="Times New Roman" w:eastAsia="Calibri" w:hAnsi="Times New Roman" w:cs="Times New Roman"/>
          <w:color w:val="1F1F1F"/>
          <w:kern w:val="0"/>
          <w:sz w:val="24"/>
          <w:szCs w:val="24"/>
          <w14:ligatures w14:val="none"/>
        </w:rPr>
        <w:t>It</w:t>
      </w:r>
      <w:r w:rsidRPr="0035790A">
        <w:rPr>
          <w:rFonts w:ascii="Times New Roman" w:eastAsia="Calibri" w:hAnsi="Times New Roman" w:cs="Times New Roman"/>
          <w:color w:val="1F1F1F"/>
          <w:kern w:val="0"/>
          <w:sz w:val="24"/>
          <w:szCs w:val="24"/>
          <w:bdr w:val="none" w:sz="0" w:space="0" w:color="auto" w:frame="1"/>
          <w14:ligatures w14:val="none"/>
        </w:rPr>
        <w:t xml:space="preserve"> aimed to simplify property transactions by requiring land registration in specific scenarios such as transfer of unregistered land which would trigger first registration of that title. This created a central, accurate register of all property, their estates, equitable interests and </w:t>
      </w:r>
      <w:r w:rsidR="00330CF3" w:rsidRPr="0035790A">
        <w:rPr>
          <w:rFonts w:ascii="Times New Roman" w:eastAsia="Calibri" w:hAnsi="Times New Roman" w:cs="Times New Roman"/>
          <w:color w:val="1F1F1F"/>
          <w:kern w:val="0"/>
          <w:sz w:val="24"/>
          <w:szCs w:val="24"/>
          <w:bdr w:val="none" w:sz="0" w:space="0" w:color="auto" w:frame="1"/>
          <w14:ligatures w14:val="none"/>
        </w:rPr>
        <w:t>third-party</w:t>
      </w:r>
      <w:r w:rsidRPr="0035790A">
        <w:rPr>
          <w:rFonts w:ascii="Times New Roman" w:eastAsia="Calibri" w:hAnsi="Times New Roman" w:cs="Times New Roman"/>
          <w:color w:val="1F1F1F"/>
          <w:kern w:val="0"/>
          <w:sz w:val="24"/>
          <w:szCs w:val="24"/>
          <w:bdr w:val="none" w:sz="0" w:space="0" w:color="auto" w:frame="1"/>
          <w14:ligatures w14:val="none"/>
        </w:rPr>
        <w:t xml:space="preserve"> rights thereby replacing tangled title deeds. By doing so, the act streamlined conveyancing by establishing clear principles and eliminating the need to track convoluted ownership history through mountains of paperwork.</w:t>
      </w:r>
    </w:p>
    <w:p w14:paraId="39F52311" w14:textId="1F5660D9" w:rsidR="0035790A" w:rsidRPr="0035790A" w:rsidRDefault="00330CF3" w:rsidP="008E13FD">
      <w:pPr>
        <w:spacing w:line="420" w:lineRule="atLeast"/>
        <w:jc w:val="both"/>
        <w:rPr>
          <w:rFonts w:ascii="Times New Roman" w:eastAsia="Times New Roman" w:hAnsi="Times New Roman" w:cs="Times New Roman"/>
          <w:color w:val="1F1F1F"/>
          <w:kern w:val="0"/>
          <w:sz w:val="24"/>
          <w:szCs w:val="24"/>
          <w14:ligatures w14:val="none"/>
        </w:rPr>
      </w:pPr>
      <w:r w:rsidRPr="00330CF3">
        <w:rPr>
          <w:rFonts w:ascii="Times New Roman" w:eastAsia="Times New Roman" w:hAnsi="Times New Roman" w:cs="Times New Roman"/>
          <w:i/>
          <w:iCs/>
          <w:color w:val="1F1F1F"/>
          <w:kern w:val="0"/>
          <w:sz w:val="24"/>
          <w:szCs w:val="24"/>
          <w:bdr w:val="none" w:sz="0" w:space="0" w:color="auto" w:frame="1"/>
          <w14:ligatures w14:val="none"/>
        </w:rPr>
        <w:t xml:space="preserve">The </w:t>
      </w:r>
      <w:r w:rsidR="0035790A" w:rsidRPr="0035790A">
        <w:rPr>
          <w:rFonts w:ascii="Times New Roman" w:eastAsia="Times New Roman" w:hAnsi="Times New Roman" w:cs="Times New Roman"/>
          <w:i/>
          <w:iCs/>
          <w:color w:val="1F1F1F"/>
          <w:kern w:val="0"/>
          <w:sz w:val="24"/>
          <w:szCs w:val="24"/>
          <w:bdr w:val="none" w:sz="0" w:space="0" w:color="auto" w:frame="1"/>
          <w14:ligatures w14:val="none"/>
        </w:rPr>
        <w:t>Land Charges Act 1972</w:t>
      </w:r>
      <w:r>
        <w:rPr>
          <w:rFonts w:ascii="Times New Roman" w:eastAsia="Times New Roman" w:hAnsi="Times New Roman" w:cs="Times New Roman"/>
          <w:i/>
          <w:iCs/>
          <w:color w:val="1F1F1F"/>
          <w:kern w:val="0"/>
          <w:sz w:val="24"/>
          <w:szCs w:val="24"/>
          <w:bdr w:val="none" w:sz="0" w:space="0" w:color="auto" w:frame="1"/>
          <w14:ligatures w14:val="none"/>
        </w:rPr>
        <w:t xml:space="preserve"> </w:t>
      </w:r>
      <w:r>
        <w:rPr>
          <w:rFonts w:ascii="Times New Roman" w:eastAsia="Times New Roman" w:hAnsi="Times New Roman" w:cs="Times New Roman"/>
          <w:color w:val="1F1F1F"/>
          <w:kern w:val="0"/>
          <w:sz w:val="24"/>
          <w:szCs w:val="24"/>
          <w:bdr w:val="none" w:sz="0" w:space="0" w:color="auto" w:frame="1"/>
          <w14:ligatures w14:val="none"/>
        </w:rPr>
        <w:t>u</w:t>
      </w:r>
      <w:r w:rsidR="0035790A" w:rsidRPr="0035790A">
        <w:rPr>
          <w:rFonts w:ascii="Times New Roman" w:eastAsia="Times New Roman" w:hAnsi="Times New Roman" w:cs="Times New Roman"/>
          <w:color w:val="1F1F1F"/>
          <w:kern w:val="0"/>
          <w:sz w:val="24"/>
          <w:szCs w:val="24"/>
          <w:bdr w:val="none" w:sz="0" w:space="0" w:color="auto" w:frame="1"/>
          <w14:ligatures w14:val="none"/>
        </w:rPr>
        <w:t>nified various registers of encumbrances (e.g., mortgages, restrictions) into a single system, improving accessibility and reducing the risk of hidden burdens on land.</w:t>
      </w:r>
      <w:r w:rsidR="0035790A"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6"/>
      </w:r>
      <w:r>
        <w:rPr>
          <w:rFonts w:ascii="Times New Roman" w:eastAsia="Times New Roman" w:hAnsi="Times New Roman" w:cs="Times New Roman"/>
          <w:color w:val="1F1F1F"/>
          <w:kern w:val="0"/>
          <w:sz w:val="24"/>
          <w:szCs w:val="24"/>
          <w14:ligatures w14:val="none"/>
        </w:rPr>
        <w:t xml:space="preserve"> Moreover, the </w:t>
      </w:r>
      <w:r w:rsidR="0035790A" w:rsidRPr="0035790A">
        <w:rPr>
          <w:rFonts w:ascii="Times New Roman" w:eastAsia="Times New Roman" w:hAnsi="Times New Roman" w:cs="Times New Roman"/>
          <w:i/>
          <w:iCs/>
          <w:color w:val="1F1F1F"/>
          <w:kern w:val="0"/>
          <w:sz w:val="24"/>
          <w:szCs w:val="24"/>
          <w:bdr w:val="none" w:sz="0" w:space="0" w:color="auto" w:frame="1"/>
          <w14:ligatures w14:val="none"/>
        </w:rPr>
        <w:t>Leasehold Reform Act 1967</w:t>
      </w:r>
      <w:r w:rsidR="0035790A" w:rsidRPr="0035790A">
        <w:rPr>
          <w:rFonts w:ascii="Times New Roman" w:eastAsia="Times New Roman" w:hAnsi="Times New Roman" w:cs="Times New Roman"/>
          <w:b/>
          <w:bCs/>
          <w:color w:val="1F1F1F"/>
          <w:kern w:val="0"/>
          <w:sz w:val="24"/>
          <w:szCs w:val="24"/>
          <w:bdr w:val="none" w:sz="0" w:space="0" w:color="auto" w:frame="1"/>
          <w14:ligatures w14:val="none"/>
        </w:rPr>
        <w:t xml:space="preserve"> </w:t>
      </w:r>
      <w:r w:rsidR="0035790A" w:rsidRPr="0035790A">
        <w:rPr>
          <w:rFonts w:ascii="Times New Roman" w:eastAsia="Times New Roman" w:hAnsi="Times New Roman" w:cs="Times New Roman"/>
          <w:bCs/>
          <w:color w:val="1F1F1F"/>
          <w:kern w:val="0"/>
          <w:sz w:val="24"/>
          <w:szCs w:val="24"/>
          <w:bdr w:val="none" w:sz="0" w:space="0" w:color="auto" w:frame="1"/>
          <w14:ligatures w14:val="none"/>
        </w:rPr>
        <w:t xml:space="preserve">as amended by the </w:t>
      </w:r>
      <w:r w:rsidR="0035790A" w:rsidRPr="0035790A">
        <w:rPr>
          <w:rFonts w:ascii="Times New Roman" w:eastAsia="Times New Roman" w:hAnsi="Times New Roman" w:cs="Times New Roman"/>
          <w:i/>
          <w:iCs/>
          <w:color w:val="1F1F1F"/>
          <w:kern w:val="0"/>
          <w:sz w:val="24"/>
          <w:szCs w:val="24"/>
          <w:bdr w:val="none" w:sz="0" w:space="0" w:color="auto" w:frame="1"/>
          <w14:ligatures w14:val="none"/>
        </w:rPr>
        <w:t>Commonhold and Leasehold Reform Act 2002</w:t>
      </w:r>
      <w:r>
        <w:rPr>
          <w:rFonts w:ascii="Times New Roman" w:eastAsia="Times New Roman" w:hAnsi="Times New Roman" w:cs="Times New Roman"/>
          <w:b/>
          <w:bCs/>
          <w:color w:val="1F1F1F"/>
          <w:kern w:val="0"/>
          <w:sz w:val="24"/>
          <w:szCs w:val="24"/>
          <w:bdr w:val="none" w:sz="0" w:space="0" w:color="auto" w:frame="1"/>
          <w14:ligatures w14:val="none"/>
        </w:rPr>
        <w:t xml:space="preserve"> </w:t>
      </w:r>
      <w:r w:rsidR="008E13FD">
        <w:rPr>
          <w:rFonts w:ascii="Times New Roman" w:eastAsia="Times New Roman" w:hAnsi="Times New Roman" w:cs="Times New Roman"/>
          <w:color w:val="1F1F1F"/>
          <w:kern w:val="0"/>
          <w:sz w:val="24"/>
          <w:szCs w:val="24"/>
          <w:bdr w:val="none" w:sz="0" w:space="0" w:color="auto" w:frame="1"/>
          <w14:ligatures w14:val="none"/>
        </w:rPr>
        <w:t>p</w:t>
      </w:r>
      <w:r w:rsidR="0035790A" w:rsidRPr="0035790A">
        <w:rPr>
          <w:rFonts w:ascii="Times New Roman" w:eastAsia="Times New Roman" w:hAnsi="Times New Roman" w:cs="Times New Roman"/>
          <w:color w:val="1F1F1F"/>
          <w:kern w:val="0"/>
          <w:sz w:val="24"/>
          <w:szCs w:val="24"/>
          <w:bdr w:val="none" w:sz="0" w:space="0" w:color="auto" w:frame="1"/>
          <w14:ligatures w14:val="none"/>
        </w:rPr>
        <w:t>rovided leaseholders with rights to enfranchise (buy their freehold) and manage their own estates, empowering homeowners and promoting fairer leasehold systems.</w:t>
      </w:r>
      <w:r w:rsidR="0035790A"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7"/>
      </w:r>
      <w:r w:rsidR="008E13FD">
        <w:rPr>
          <w:rFonts w:ascii="Times New Roman" w:eastAsia="Times New Roman" w:hAnsi="Times New Roman" w:cs="Times New Roman"/>
          <w:color w:val="1F1F1F"/>
          <w:kern w:val="0"/>
          <w:sz w:val="24"/>
          <w:szCs w:val="24"/>
          <w14:ligatures w14:val="none"/>
        </w:rPr>
        <w:t xml:space="preserve"> Lastly, the </w:t>
      </w:r>
      <w:r w:rsidR="0035790A" w:rsidRPr="0035790A">
        <w:rPr>
          <w:rFonts w:ascii="Times New Roman" w:eastAsia="Times New Roman" w:hAnsi="Times New Roman" w:cs="Times New Roman"/>
          <w:i/>
          <w:iCs/>
          <w:color w:val="1F1F1F"/>
          <w:kern w:val="0"/>
          <w:sz w:val="24"/>
          <w:szCs w:val="24"/>
          <w:bdr w:val="none" w:sz="0" w:space="0" w:color="auto" w:frame="1"/>
          <w14:ligatures w14:val="none"/>
        </w:rPr>
        <w:t>Land Registration Act 200</w:t>
      </w:r>
      <w:r w:rsidR="008E13FD">
        <w:rPr>
          <w:rFonts w:ascii="Times New Roman" w:eastAsia="Times New Roman" w:hAnsi="Times New Roman" w:cs="Times New Roman"/>
          <w:i/>
          <w:iCs/>
          <w:color w:val="1F1F1F"/>
          <w:kern w:val="0"/>
          <w:sz w:val="24"/>
          <w:szCs w:val="24"/>
          <w:bdr w:val="none" w:sz="0" w:space="0" w:color="auto" w:frame="1"/>
          <w14:ligatures w14:val="none"/>
        </w:rPr>
        <w:t xml:space="preserve">2 </w:t>
      </w:r>
      <w:r w:rsidR="008E13FD">
        <w:rPr>
          <w:rFonts w:ascii="Times New Roman" w:eastAsia="Times New Roman" w:hAnsi="Times New Roman" w:cs="Times New Roman"/>
          <w:color w:val="1F1F1F"/>
          <w:kern w:val="0"/>
          <w:sz w:val="24"/>
          <w:szCs w:val="24"/>
          <w:bdr w:val="none" w:sz="0" w:space="0" w:color="auto" w:frame="1"/>
          <w14:ligatures w14:val="none"/>
        </w:rPr>
        <w:t>f</w:t>
      </w:r>
      <w:r w:rsidR="0035790A" w:rsidRPr="0035790A">
        <w:rPr>
          <w:rFonts w:ascii="Times New Roman" w:eastAsia="Times New Roman" w:hAnsi="Times New Roman" w:cs="Times New Roman"/>
          <w:color w:val="1F1F1F"/>
          <w:kern w:val="0"/>
          <w:sz w:val="24"/>
          <w:szCs w:val="24"/>
          <w:bdr w:val="none" w:sz="0" w:space="0" w:color="auto" w:frame="1"/>
          <w14:ligatures w14:val="none"/>
        </w:rPr>
        <w:t>urther moderni</w:t>
      </w:r>
      <w:r w:rsidR="008E13FD">
        <w:rPr>
          <w:rFonts w:ascii="Times New Roman" w:eastAsia="Times New Roman" w:hAnsi="Times New Roman" w:cs="Times New Roman"/>
          <w:color w:val="1F1F1F"/>
          <w:kern w:val="0"/>
          <w:sz w:val="24"/>
          <w:szCs w:val="24"/>
          <w:bdr w:val="none" w:sz="0" w:space="0" w:color="auto" w:frame="1"/>
          <w14:ligatures w14:val="none"/>
        </w:rPr>
        <w:t>s</w:t>
      </w:r>
      <w:r w:rsidR="0035790A" w:rsidRPr="0035790A">
        <w:rPr>
          <w:rFonts w:ascii="Times New Roman" w:eastAsia="Times New Roman" w:hAnsi="Times New Roman" w:cs="Times New Roman"/>
          <w:color w:val="1F1F1F"/>
          <w:kern w:val="0"/>
          <w:sz w:val="24"/>
          <w:szCs w:val="24"/>
          <w:bdr w:val="none" w:sz="0" w:space="0" w:color="auto" w:frame="1"/>
          <w14:ligatures w14:val="none"/>
        </w:rPr>
        <w:t xml:space="preserve">ed the land registration system, </w:t>
      </w:r>
      <w:r w:rsidR="0035790A" w:rsidRPr="0035790A">
        <w:rPr>
          <w:rFonts w:ascii="Times New Roman" w:eastAsia="Times New Roman" w:hAnsi="Times New Roman" w:cs="Times New Roman"/>
          <w:color w:val="1F1F1F"/>
          <w:kern w:val="0"/>
          <w:sz w:val="24"/>
          <w:szCs w:val="24"/>
          <w:bdr w:val="none" w:sz="0" w:space="0" w:color="auto" w:frame="1"/>
          <w14:ligatures w14:val="none"/>
        </w:rPr>
        <w:lastRenderedPageBreak/>
        <w:t>introducing electronic conveyancing and online services, aiming to accelerate transactions and reduce paperwork.</w:t>
      </w:r>
      <w:r w:rsidR="0035790A" w:rsidRPr="0035790A">
        <w:rPr>
          <w:rFonts w:ascii="Times New Roman" w:eastAsia="Times New Roman" w:hAnsi="Times New Roman" w:cs="Times New Roman"/>
          <w:color w:val="1F1F1F"/>
          <w:kern w:val="0"/>
          <w:sz w:val="24"/>
          <w:szCs w:val="24"/>
          <w:bdr w:val="none" w:sz="0" w:space="0" w:color="auto" w:frame="1"/>
          <w:vertAlign w:val="superscript"/>
          <w14:ligatures w14:val="none"/>
        </w:rPr>
        <w:footnoteReference w:id="28"/>
      </w:r>
    </w:p>
    <w:p w14:paraId="1B1E9D3E" w14:textId="298D8ABC" w:rsidR="00070328" w:rsidRPr="002862B2" w:rsidRDefault="00070328" w:rsidP="00070328">
      <w:pPr>
        <w:spacing w:line="360" w:lineRule="auto"/>
        <w:jc w:val="both"/>
        <w:rPr>
          <w:rFonts w:ascii="Book Antiqua" w:eastAsia="Calibri" w:hAnsi="Book Antiqua" w:cs="Times New Roman"/>
          <w:kern w:val="0"/>
          <w:sz w:val="24"/>
          <w:szCs w:val="24"/>
          <w14:ligatures w14:val="none"/>
        </w:rPr>
      </w:pPr>
    </w:p>
    <w:sectPr w:rsidR="00070328" w:rsidRPr="002862B2" w:rsidSect="00AE6291">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15A38" w14:textId="77777777" w:rsidR="00AE6291" w:rsidRDefault="00AE6291" w:rsidP="00FA68B7">
      <w:pPr>
        <w:spacing w:after="0" w:line="240" w:lineRule="auto"/>
      </w:pPr>
      <w:r>
        <w:separator/>
      </w:r>
    </w:p>
  </w:endnote>
  <w:endnote w:type="continuationSeparator" w:id="0">
    <w:p w14:paraId="31A546CC" w14:textId="77777777" w:rsidR="00AE6291" w:rsidRDefault="00AE6291" w:rsidP="00FA6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1627021"/>
      <w:docPartObj>
        <w:docPartGallery w:val="Page Numbers (Bottom of Page)"/>
        <w:docPartUnique/>
      </w:docPartObj>
    </w:sdtPr>
    <w:sdtEndPr>
      <w:rPr>
        <w:noProof/>
      </w:rPr>
    </w:sdtEndPr>
    <w:sdtContent>
      <w:p w14:paraId="3F4B4527" w14:textId="75ACFCA3" w:rsidR="00B34FC5" w:rsidRDefault="00B34F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31A03A" w14:textId="77777777" w:rsidR="00B34FC5" w:rsidRDefault="00B34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12DAA" w14:textId="77777777" w:rsidR="00AE6291" w:rsidRDefault="00AE6291" w:rsidP="00FA68B7">
      <w:pPr>
        <w:spacing w:after="0" w:line="240" w:lineRule="auto"/>
      </w:pPr>
      <w:r>
        <w:separator/>
      </w:r>
    </w:p>
  </w:footnote>
  <w:footnote w:type="continuationSeparator" w:id="0">
    <w:p w14:paraId="0534406E" w14:textId="77777777" w:rsidR="00AE6291" w:rsidRDefault="00AE6291" w:rsidP="00FA68B7">
      <w:pPr>
        <w:spacing w:after="0" w:line="240" w:lineRule="auto"/>
      </w:pPr>
      <w:r>
        <w:continuationSeparator/>
      </w:r>
    </w:p>
  </w:footnote>
  <w:footnote w:id="1">
    <w:p w14:paraId="3DF388A9" w14:textId="77777777" w:rsidR="00357125" w:rsidRPr="003A5D31" w:rsidRDefault="00357125" w:rsidP="00357125">
      <w:pPr>
        <w:pStyle w:val="FootnoteText"/>
        <w:jc w:val="both"/>
        <w:rPr>
          <w:rFonts w:ascii="Times New Roman" w:hAnsi="Times New Roman" w:cs="Times New Roman"/>
        </w:rPr>
      </w:pPr>
      <w:r w:rsidRPr="003A5D31">
        <w:rPr>
          <w:rStyle w:val="FootnoteReference"/>
          <w:rFonts w:ascii="Times New Roman" w:hAnsi="Times New Roman" w:cs="Times New Roman"/>
        </w:rPr>
        <w:footnoteRef/>
      </w:r>
      <w:r w:rsidRPr="003A5D31">
        <w:rPr>
          <w:rFonts w:ascii="Times New Roman" w:hAnsi="Times New Roman" w:cs="Times New Roman"/>
        </w:rPr>
        <w:t xml:space="preserve"> 'Conveyancing, Its Early History and Present State' (1845) 1 L Rev &amp; QJ Brit &amp; Foreign Jurisprudence 382, p384.</w:t>
      </w:r>
    </w:p>
  </w:footnote>
  <w:footnote w:id="2">
    <w:p w14:paraId="42CE9861" w14:textId="77777777" w:rsidR="00357125" w:rsidRPr="003A5D31" w:rsidRDefault="00357125" w:rsidP="00357125">
      <w:pPr>
        <w:pStyle w:val="FootnoteText"/>
        <w:jc w:val="both"/>
        <w:rPr>
          <w:rFonts w:ascii="Times New Roman" w:hAnsi="Times New Roman" w:cs="Times New Roman"/>
          <w:lang w:val="en-GB"/>
        </w:rPr>
      </w:pPr>
      <w:r w:rsidRPr="003A5D31">
        <w:rPr>
          <w:rStyle w:val="FootnoteReference"/>
          <w:rFonts w:ascii="Times New Roman" w:hAnsi="Times New Roman" w:cs="Times New Roman"/>
        </w:rPr>
        <w:footnoteRef/>
      </w:r>
      <w:r w:rsidRPr="003A5D31">
        <w:rPr>
          <w:rFonts w:ascii="Times New Roman" w:hAnsi="Times New Roman" w:cs="Times New Roman"/>
        </w:rPr>
        <w:t xml:space="preserve"> 'Conveyancing, Its Early History and Present State' (1845) 1 L Rev &amp; QJ Brit &amp; Foreign Jurisprudence 382, p384.</w:t>
      </w:r>
    </w:p>
  </w:footnote>
  <w:footnote w:id="3">
    <w:p w14:paraId="0AB8AB0A" w14:textId="77777777" w:rsidR="00357125" w:rsidRPr="003A5D31" w:rsidRDefault="00357125" w:rsidP="00357125">
      <w:pPr>
        <w:pStyle w:val="FootnoteText"/>
        <w:jc w:val="both"/>
        <w:rPr>
          <w:rFonts w:ascii="Times New Roman" w:hAnsi="Times New Roman" w:cs="Times New Roman"/>
        </w:rPr>
      </w:pPr>
      <w:r w:rsidRPr="003A5D31">
        <w:rPr>
          <w:rStyle w:val="FootnoteReference"/>
          <w:rFonts w:ascii="Times New Roman" w:hAnsi="Times New Roman" w:cs="Times New Roman"/>
        </w:rPr>
        <w:footnoteRef/>
      </w:r>
      <w:r w:rsidRPr="003A5D31">
        <w:rPr>
          <w:rFonts w:ascii="Times New Roman" w:hAnsi="Times New Roman" w:cs="Times New Roman"/>
        </w:rPr>
        <w:t xml:space="preserve"> Harpum, Charles. "A review of Medieval English Conveyances by JM Kaye." </w:t>
      </w:r>
      <w:r w:rsidRPr="003A5D31">
        <w:rPr>
          <w:rFonts w:ascii="Times New Roman" w:hAnsi="Times New Roman" w:cs="Times New Roman"/>
          <w:i/>
          <w:iCs/>
        </w:rPr>
        <w:t>King's Law Journal</w:t>
      </w:r>
      <w:r w:rsidRPr="003A5D31">
        <w:rPr>
          <w:rFonts w:ascii="Times New Roman" w:hAnsi="Times New Roman" w:cs="Times New Roman"/>
        </w:rPr>
        <w:t> 21.3 (2010): 587-590.</w:t>
      </w:r>
    </w:p>
  </w:footnote>
  <w:footnote w:id="4">
    <w:p w14:paraId="69866464" w14:textId="77777777" w:rsidR="00357125" w:rsidRPr="0035790A" w:rsidRDefault="00357125" w:rsidP="00357125">
      <w:pPr>
        <w:pStyle w:val="FootnoteText"/>
        <w:jc w:val="both"/>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Kaye, John Marsh. </w:t>
      </w:r>
      <w:r w:rsidRPr="0035790A">
        <w:rPr>
          <w:rFonts w:ascii="Times New Roman" w:hAnsi="Times New Roman" w:cs="Times New Roman"/>
          <w:i/>
          <w:iCs/>
        </w:rPr>
        <w:t>Medieval English Conveyances</w:t>
      </w:r>
      <w:r w:rsidRPr="0035790A">
        <w:rPr>
          <w:rFonts w:ascii="Times New Roman" w:hAnsi="Times New Roman" w:cs="Times New Roman"/>
        </w:rPr>
        <w:t>. Cambridge University Press, 2009.</w:t>
      </w:r>
    </w:p>
  </w:footnote>
  <w:footnote w:id="5">
    <w:p w14:paraId="5DC77DFB"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Registration of Documents Act (Cap 285), (Repealed)</w:t>
      </w:r>
    </w:p>
  </w:footnote>
  <w:footnote w:id="6">
    <w:p w14:paraId="4938F30E"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Crown Ordinance Act , 1901, (Repealed)</w:t>
      </w:r>
    </w:p>
  </w:footnote>
  <w:footnote w:id="7">
    <w:p w14:paraId="28D13701"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The Lands Title Act (Cap 283 Laws of Kenya), (Repealed)</w:t>
      </w:r>
    </w:p>
  </w:footnote>
  <w:footnote w:id="8">
    <w:p w14:paraId="7D37EFCF" w14:textId="77777777" w:rsidR="003B40B4" w:rsidRPr="0035790A" w:rsidRDefault="003B40B4" w:rsidP="003B40B4">
      <w:pPr>
        <w:widowControl w:val="0"/>
        <w:tabs>
          <w:tab w:val="left" w:pos="720"/>
        </w:tabs>
        <w:suppressAutoHyphens/>
        <w:overflowPunct w:val="0"/>
        <w:spacing w:after="0" w:line="240" w:lineRule="auto"/>
        <w:rPr>
          <w:rFonts w:ascii="Times New Roman" w:hAnsi="Times New Roman" w:cs="Times New Roman"/>
          <w:sz w:val="20"/>
          <w:szCs w:val="20"/>
        </w:rPr>
      </w:pPr>
      <w:r w:rsidRPr="0035790A">
        <w:rPr>
          <w:rStyle w:val="FootnoteReference"/>
          <w:rFonts w:ascii="Times New Roman" w:hAnsi="Times New Roman" w:cs="Times New Roman"/>
          <w:sz w:val="20"/>
          <w:szCs w:val="20"/>
        </w:rPr>
        <w:footnoteRef/>
      </w:r>
      <w:r w:rsidRPr="0035790A">
        <w:rPr>
          <w:rFonts w:ascii="Times New Roman" w:hAnsi="Times New Roman" w:cs="Times New Roman"/>
          <w:sz w:val="20"/>
          <w:szCs w:val="20"/>
        </w:rPr>
        <w:t xml:space="preserve"> T. Ojienda, Conveyancing Laws Principles and Practice (Law Africa, 2008)</w:t>
      </w:r>
    </w:p>
  </w:footnote>
  <w:footnote w:id="9">
    <w:p w14:paraId="65F7DF38" w14:textId="77777777" w:rsidR="003B40B4" w:rsidRDefault="003B40B4" w:rsidP="003B40B4">
      <w:pPr>
        <w:pStyle w:val="FootnoteText"/>
      </w:pPr>
      <w:r w:rsidRPr="0035790A">
        <w:rPr>
          <w:rStyle w:val="FootnoteReference"/>
          <w:rFonts w:ascii="Times New Roman" w:hAnsi="Times New Roman" w:cs="Times New Roman"/>
        </w:rPr>
        <w:footnoteRef/>
      </w:r>
      <w:r w:rsidRPr="0035790A">
        <w:rPr>
          <w:rFonts w:ascii="Times New Roman" w:hAnsi="Times New Roman" w:cs="Times New Roman"/>
        </w:rPr>
        <w:t xml:space="preserve"> The Government Lands Act (Cap 280 Laws of Kenya), (Repealed)</w:t>
      </w:r>
    </w:p>
  </w:footnote>
  <w:footnote w:id="10">
    <w:p w14:paraId="713B4D78"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Indian Transfer of Property Act of 1882, (Repealed)</w:t>
      </w:r>
    </w:p>
  </w:footnote>
  <w:footnote w:id="11">
    <w:p w14:paraId="0B17E48A"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The Registration of Titles Act (Cap 281 Laws of Kenya), (Repealed)</w:t>
      </w:r>
    </w:p>
  </w:footnote>
  <w:footnote w:id="12">
    <w:p w14:paraId="2EA743FF"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The Registered Land Act (Cap 300), (Repealed)</w:t>
      </w:r>
    </w:p>
  </w:footnote>
  <w:footnote w:id="13">
    <w:p w14:paraId="345715B4" w14:textId="7D32AC65" w:rsidR="00D44D6D" w:rsidRPr="0035790A" w:rsidRDefault="00D44D6D">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See Articles 62, 64 and 65 of the Constitution of Kenya. </w:t>
      </w:r>
    </w:p>
  </w:footnote>
  <w:footnote w:id="14">
    <w:p w14:paraId="32415477" w14:textId="77777777" w:rsidR="003B40B4" w:rsidRPr="00725B92" w:rsidRDefault="003B40B4" w:rsidP="003B40B4">
      <w:pPr>
        <w:pStyle w:val="FootnoteText"/>
      </w:pPr>
      <w:r w:rsidRPr="0035790A">
        <w:rPr>
          <w:rStyle w:val="FootnoteReference"/>
          <w:rFonts w:ascii="Times New Roman" w:hAnsi="Times New Roman" w:cs="Times New Roman"/>
        </w:rPr>
        <w:footnoteRef/>
      </w:r>
      <w:r w:rsidRPr="0035790A">
        <w:rPr>
          <w:rFonts w:ascii="Times New Roman" w:hAnsi="Times New Roman" w:cs="Times New Roman"/>
        </w:rPr>
        <w:t xml:space="preserve"> Land Act, 2012</w:t>
      </w:r>
    </w:p>
  </w:footnote>
  <w:footnote w:id="15">
    <w:p w14:paraId="0F522224" w14:textId="77777777" w:rsidR="003B40B4" w:rsidRPr="0035790A" w:rsidRDefault="003B40B4" w:rsidP="003B40B4">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Section 4 (2) of the Land Act</w:t>
      </w:r>
    </w:p>
  </w:footnote>
  <w:footnote w:id="16">
    <w:p w14:paraId="61257D20" w14:textId="77777777" w:rsidR="003B40B4" w:rsidRPr="001840FE" w:rsidRDefault="003B40B4" w:rsidP="003B40B4">
      <w:pPr>
        <w:pStyle w:val="FootnoteText"/>
      </w:pPr>
      <w:r w:rsidRPr="0035790A">
        <w:rPr>
          <w:rStyle w:val="FootnoteReference"/>
          <w:rFonts w:ascii="Times New Roman" w:hAnsi="Times New Roman" w:cs="Times New Roman"/>
        </w:rPr>
        <w:footnoteRef/>
      </w:r>
      <w:r w:rsidRPr="0035790A">
        <w:rPr>
          <w:rFonts w:ascii="Times New Roman" w:hAnsi="Times New Roman" w:cs="Times New Roman"/>
        </w:rPr>
        <w:t xml:space="preserve"> Land Registration Act, 2012</w:t>
      </w:r>
    </w:p>
  </w:footnote>
  <w:footnote w:id="17">
    <w:p w14:paraId="4A12DDCC" w14:textId="77777777" w:rsidR="0046627D" w:rsidRPr="0035790A" w:rsidRDefault="0046627D" w:rsidP="0046627D">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w:t>
      </w:r>
      <w:r w:rsidRPr="0035790A">
        <w:rPr>
          <w:rFonts w:ascii="Times New Roman" w:hAnsi="Times New Roman" w:cs="Times New Roman"/>
        </w:rPr>
        <w:fldChar w:fldCharType="begin"/>
      </w:r>
      <w:r w:rsidRPr="0035790A">
        <w:rPr>
          <w:rFonts w:ascii="Times New Roman" w:hAnsi="Times New Roman" w:cs="Times New Roman"/>
        </w:rPr>
        <w:instrText xml:space="preserve"> ADDIN ZOTERO_ITEM CSL_CITATION {"citationID":"LKb1ZFhi","properties":{"formattedCitation":"AVRillo, \\uc0\\u8216{}The Role of Technology in Modern Conveyancing Daventry Services\\uc0\\u8217{} ({\\i{}AVRillo}, 20 September 2023) &lt;https://avrillo.co.uk/the-role-of-technology-in-modern-conveyancing-daventry/&gt; accessed 12 February 2024.","plainCitation":"AVRillo, ‘The Role of Technology in Modern Conveyancing Daventry Services’ (AVRillo, 20 September 2023) &lt;https://avrillo.co.uk/the-role-of-technology-in-modern-conveyancing-daventry/&gt; accessed 12 February 2024.","noteIndex":1},"citationItems":[{"id":329,"uris":["http://zotero.org/users/local/uDdcAAbI/items/QK2S2UUG"],"itemData":{"id":329,"type":"post-weblog","abstract":"Conveyancing Daventry: The role of technology in conveyancing services and how AVRillo utilise tech to streamline property transactions.","container-title":"AVRillo","language":"en-GB","title":"The Role of Technology in Modern Conveyancing Daventry Services","URL":"https://avrillo.co.uk/the-role-of-technology-in-modern-conveyancing-daventry/","author":[{"family":"AVRillo","given":""}],"accessed":{"date-parts":[["2024",2,12]]},"issued":{"date-parts":[["2023",9,20]]}}}],"schema":"https://github.com/citation-style-language/schema/raw/master/csl-citation.json"} </w:instrText>
      </w:r>
      <w:r w:rsidRPr="0035790A">
        <w:rPr>
          <w:rFonts w:ascii="Times New Roman" w:hAnsi="Times New Roman" w:cs="Times New Roman"/>
        </w:rPr>
        <w:fldChar w:fldCharType="separate"/>
      </w:r>
      <w:r w:rsidRPr="0035790A">
        <w:rPr>
          <w:rFonts w:ascii="Times New Roman" w:hAnsi="Times New Roman" w:cs="Times New Roman"/>
          <w:szCs w:val="24"/>
        </w:rPr>
        <w:t>AVRillo, ‘The Role of Technology in Modern Conveyancing Daventry Services’ (</w:t>
      </w:r>
      <w:r w:rsidRPr="0035790A">
        <w:rPr>
          <w:rFonts w:ascii="Times New Roman" w:hAnsi="Times New Roman" w:cs="Times New Roman"/>
          <w:i/>
          <w:iCs/>
          <w:szCs w:val="24"/>
        </w:rPr>
        <w:t>AVRillo</w:t>
      </w:r>
      <w:r w:rsidRPr="0035790A">
        <w:rPr>
          <w:rFonts w:ascii="Times New Roman" w:hAnsi="Times New Roman" w:cs="Times New Roman"/>
          <w:szCs w:val="24"/>
        </w:rPr>
        <w:t>, 20 September 2023) &lt;https://avrillo.co.uk/the-role-of-technology-in-modern-conveyancing-daventry/&gt; accessed 12 February 2024.</w:t>
      </w:r>
      <w:r w:rsidRPr="0035790A">
        <w:rPr>
          <w:rFonts w:ascii="Times New Roman" w:hAnsi="Times New Roman" w:cs="Times New Roman"/>
        </w:rPr>
        <w:fldChar w:fldCharType="end"/>
      </w:r>
    </w:p>
  </w:footnote>
  <w:footnote w:id="18">
    <w:p w14:paraId="50D3ACDB" w14:textId="77777777" w:rsidR="0046627D" w:rsidRDefault="0046627D" w:rsidP="0046627D">
      <w:pPr>
        <w:pStyle w:val="FootnoteText"/>
      </w:pPr>
      <w:r w:rsidRPr="0035790A">
        <w:rPr>
          <w:rStyle w:val="FootnoteReference"/>
          <w:rFonts w:ascii="Times New Roman" w:hAnsi="Times New Roman" w:cs="Times New Roman"/>
        </w:rPr>
        <w:footnoteRef/>
      </w:r>
      <w:r w:rsidRPr="0035790A">
        <w:rPr>
          <w:rFonts w:ascii="Times New Roman" w:hAnsi="Times New Roman" w:cs="Times New Roman"/>
        </w:rPr>
        <w:t xml:space="preserve"> </w:t>
      </w:r>
      <w:r w:rsidRPr="0035790A">
        <w:rPr>
          <w:rFonts w:ascii="Times New Roman" w:hAnsi="Times New Roman" w:cs="Times New Roman"/>
        </w:rPr>
        <w:fldChar w:fldCharType="begin"/>
      </w:r>
      <w:r w:rsidRPr="0035790A">
        <w:rPr>
          <w:rFonts w:ascii="Times New Roman" w:hAnsi="Times New Roman" w:cs="Times New Roman"/>
        </w:rPr>
        <w:instrText xml:space="preserve"> ADDIN ZOTERO_ITEM CSL_CITATION {"citationID":"cv5O9pSH","properties":{"formattedCitation":"ibid.","plainCitation":"ibid.","noteIndex":2},"citationItems":[{"id":329,"uris":["http://zotero.org/users/local/uDdcAAbI/items/QK2S2UUG"],"itemData":{"id":329,"type":"post-weblog","abstract":"Conveyancing Daventry: The role of technology in conveyancing services and how AVRillo utilise tech to streamline property transactions.","container-title":"AVRillo","language":"en-GB","title":"The Role of Technology in Modern Conveyancing Daventry Services","URL":"https://avrillo.co.uk/the-role-of-technology-in-modern-conveyancing-daventry/","author":[{"family":"AVRillo","given":""}],"accessed":{"date-parts":[["2024",2,12]]},"issued":{"date-parts":[["2023",9,20]]}}}],"schema":"https://github.com/citation-style-language/schema/raw/master/csl-citation.json"} </w:instrText>
      </w:r>
      <w:r w:rsidRPr="0035790A">
        <w:rPr>
          <w:rFonts w:ascii="Times New Roman" w:hAnsi="Times New Roman" w:cs="Times New Roman"/>
        </w:rPr>
        <w:fldChar w:fldCharType="separate"/>
      </w:r>
      <w:r w:rsidRPr="0035790A">
        <w:rPr>
          <w:rFonts w:ascii="Times New Roman" w:hAnsi="Times New Roman" w:cs="Times New Roman"/>
        </w:rPr>
        <w:t>ibid.</w:t>
      </w:r>
      <w:r w:rsidRPr="0035790A">
        <w:rPr>
          <w:rFonts w:ascii="Times New Roman" w:hAnsi="Times New Roman" w:cs="Times New Roman"/>
        </w:rPr>
        <w:fldChar w:fldCharType="end"/>
      </w:r>
    </w:p>
  </w:footnote>
  <w:footnote w:id="19">
    <w:p w14:paraId="639B2DEA" w14:textId="77777777" w:rsidR="0046627D" w:rsidRPr="0035790A" w:rsidRDefault="0046627D" w:rsidP="0046627D">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w:t>
      </w:r>
      <w:r w:rsidRPr="0035790A">
        <w:rPr>
          <w:rFonts w:ascii="Times New Roman" w:hAnsi="Times New Roman" w:cs="Times New Roman"/>
        </w:rPr>
        <w:fldChar w:fldCharType="begin"/>
      </w:r>
      <w:r w:rsidRPr="0035790A">
        <w:rPr>
          <w:rFonts w:ascii="Times New Roman" w:hAnsi="Times New Roman" w:cs="Times New Roman"/>
        </w:rPr>
        <w:instrText xml:space="preserve"> ADDIN ZOTERO_ITEM CSL_CITATION {"citationID":"qDqK8PVX","properties":{"formattedCitation":"\\uc0\\u8216{}The Use Of Modern Technology In Conveyancing \\uc0\\u8211{} By Rachel Kilcran, Licensed Conveyancer. \\uc0\\u8211{} Clark Willis\\uc0\\u8217{} &lt;https://www.clarkwillis.com/the-use-of-modern-technology-in-conveyancing-by-rachel-kilcran/&gt; accessed 12 February 2024.","plainCitation":"‘The Use Of Modern Technology In Conveyancing – By Rachel Kilcran, Licensed Conveyancer. – Clark Willis’ &lt;https://www.clarkwillis.com/the-use-of-modern-technology-in-conveyancing-by-rachel-kilcran/&gt; accessed 12 February 2024.","noteIndex":1},"citationItems":[{"id":327,"uris":["http://zotero.org/users/local/uDdcAAbI/items/DBQDF55C"],"itemData":{"id":327,"type":"post-weblog","language":"en-GB","title":"The Use Of Modern Technology In Conveyancing – By Rachel Kilcran, Licensed Conveyancer. – Clark Willis","URL":"https://www.clarkwillis.com/the-use-of-modern-technology-in-conveyancing-by-rachel-kilcran/","accessed":{"date-parts":[["2024",2,12]]}}}],"schema":"https://github.com/citation-style-language/schema/raw/master/csl-citation.json"} </w:instrText>
      </w:r>
      <w:r w:rsidRPr="0035790A">
        <w:rPr>
          <w:rFonts w:ascii="Times New Roman" w:hAnsi="Times New Roman" w:cs="Times New Roman"/>
        </w:rPr>
        <w:fldChar w:fldCharType="separate"/>
      </w:r>
      <w:r w:rsidRPr="0035790A">
        <w:rPr>
          <w:rFonts w:ascii="Times New Roman" w:hAnsi="Times New Roman" w:cs="Times New Roman"/>
          <w:szCs w:val="24"/>
        </w:rPr>
        <w:t>‘The Use Of Modern Technology In Conveyancing – By Rachel Kilcran, Licensed Conveyancer. – Clark Willis’ &lt;https://www.clarkwillis.com/the-use-of-modern-technology-in-conveyancing-by-rachel-kilcran/&gt; accessed 12 February 2024.</w:t>
      </w:r>
      <w:r w:rsidRPr="0035790A">
        <w:rPr>
          <w:rFonts w:ascii="Times New Roman" w:hAnsi="Times New Roman" w:cs="Times New Roman"/>
        </w:rPr>
        <w:fldChar w:fldCharType="end"/>
      </w:r>
    </w:p>
  </w:footnote>
  <w:footnote w:id="20">
    <w:p w14:paraId="533D5A79" w14:textId="77777777" w:rsidR="0046627D" w:rsidRPr="0035790A" w:rsidRDefault="0046627D" w:rsidP="0046627D">
      <w:pPr>
        <w:pStyle w:val="FootnoteText"/>
        <w:rPr>
          <w:rFonts w:ascii="Times New Roman" w:hAnsi="Times New Roman" w:cs="Times New Roman"/>
        </w:rPr>
      </w:pPr>
      <w:r w:rsidRPr="0035790A">
        <w:rPr>
          <w:rStyle w:val="FootnoteReference"/>
          <w:rFonts w:ascii="Times New Roman" w:hAnsi="Times New Roman" w:cs="Times New Roman"/>
        </w:rPr>
        <w:footnoteRef/>
      </w:r>
      <w:r w:rsidRPr="0035790A">
        <w:rPr>
          <w:rFonts w:ascii="Times New Roman" w:hAnsi="Times New Roman" w:cs="Times New Roman"/>
        </w:rPr>
        <w:t xml:space="preserve"> Ibid. </w:t>
      </w:r>
    </w:p>
  </w:footnote>
  <w:footnote w:id="21">
    <w:p w14:paraId="73C4C672" w14:textId="77777777" w:rsidR="0046627D" w:rsidRDefault="0046627D" w:rsidP="0046627D">
      <w:pPr>
        <w:pStyle w:val="FootnoteText"/>
      </w:pPr>
      <w:r w:rsidRPr="0035790A">
        <w:rPr>
          <w:rStyle w:val="FootnoteReference"/>
          <w:rFonts w:ascii="Times New Roman" w:hAnsi="Times New Roman" w:cs="Times New Roman"/>
        </w:rPr>
        <w:footnoteRef/>
      </w:r>
      <w:r w:rsidRPr="0035790A">
        <w:rPr>
          <w:rFonts w:ascii="Times New Roman" w:hAnsi="Times New Roman" w:cs="Times New Roman"/>
        </w:rPr>
        <w:t xml:space="preserve"> Ibid.</w:t>
      </w:r>
      <w:r>
        <w:t xml:space="preserve"> </w:t>
      </w:r>
    </w:p>
  </w:footnote>
  <w:footnote w:id="22">
    <w:p w14:paraId="27C31178" w14:textId="77777777" w:rsidR="00A441D4" w:rsidRPr="00AF1452" w:rsidRDefault="00A441D4" w:rsidP="00A441D4">
      <w:pPr>
        <w:pStyle w:val="FootnoteText"/>
      </w:pPr>
      <w:r>
        <w:rPr>
          <w:rStyle w:val="FootnoteReference"/>
        </w:rPr>
        <w:footnoteRef/>
      </w:r>
      <w:r>
        <w:t xml:space="preserve"> </w:t>
      </w:r>
      <w:r w:rsidRPr="00AF1452">
        <w:t>ttps://www.lawsociety.org.uk/</w:t>
      </w:r>
    </w:p>
  </w:footnote>
  <w:footnote w:id="23">
    <w:p w14:paraId="0C4F1C7E" w14:textId="77777777" w:rsidR="0035790A" w:rsidRPr="00D45A94" w:rsidRDefault="0035790A" w:rsidP="0035790A">
      <w:pPr>
        <w:spacing w:after="0" w:line="240" w:lineRule="auto"/>
        <w:rPr>
          <w:rFonts w:ascii="Times New Roman" w:eastAsia="Times New Roman" w:hAnsi="Times New Roman" w:cs="Times New Roman"/>
          <w:color w:val="1F1F1F"/>
          <w:sz w:val="20"/>
          <w:szCs w:val="20"/>
          <w:bdr w:val="none" w:sz="0" w:space="0" w:color="auto" w:frame="1"/>
        </w:rPr>
      </w:pPr>
      <w:r w:rsidRPr="00D45A94">
        <w:rPr>
          <w:rStyle w:val="FootnoteReference"/>
          <w:rFonts w:ascii="Times New Roman" w:hAnsi="Times New Roman" w:cs="Times New Roman"/>
          <w:sz w:val="20"/>
          <w:szCs w:val="20"/>
        </w:rPr>
        <w:footnoteRef/>
      </w:r>
      <w:r w:rsidRPr="00D45A94">
        <w:rPr>
          <w:rFonts w:ascii="Times New Roman" w:hAnsi="Times New Roman" w:cs="Times New Roman"/>
          <w:sz w:val="20"/>
          <w:szCs w:val="20"/>
        </w:rPr>
        <w:t xml:space="preserve"> </w:t>
      </w:r>
      <w:r w:rsidRPr="004C7E75">
        <w:rPr>
          <w:rFonts w:ascii="Times New Roman" w:eastAsia="Times New Roman" w:hAnsi="Times New Roman" w:cs="Times New Roman"/>
          <w:color w:val="1F1F1F"/>
          <w:sz w:val="20"/>
          <w:szCs w:val="20"/>
          <w:bdr w:val="none" w:sz="0" w:space="0" w:color="auto" w:frame="1"/>
        </w:rPr>
        <w:t>Law Commission of England and Wales. "Land Registration for the 21</w:t>
      </w:r>
      <w:r>
        <w:rPr>
          <w:rFonts w:ascii="Times New Roman" w:eastAsia="Times New Roman" w:hAnsi="Times New Roman" w:cs="Times New Roman"/>
          <w:color w:val="1F1F1F"/>
          <w:sz w:val="20"/>
          <w:szCs w:val="20"/>
          <w:bdr w:val="none" w:sz="0" w:space="0" w:color="auto" w:frame="1"/>
        </w:rPr>
        <w:t>st Century: A Consultative Document</w:t>
      </w:r>
      <w:r w:rsidRPr="004C7E75">
        <w:rPr>
          <w:rFonts w:ascii="Times New Roman" w:eastAsia="Times New Roman" w:hAnsi="Times New Roman" w:cs="Times New Roman"/>
          <w:color w:val="1F1F1F"/>
          <w:sz w:val="20"/>
          <w:szCs w:val="20"/>
          <w:bdr w:val="none" w:sz="0" w:space="0" w:color="auto" w:frame="1"/>
        </w:rPr>
        <w:t xml:space="preserve">" (Law Com No 299, 2001), paras 1.14-1.15. </w:t>
      </w:r>
    </w:p>
  </w:footnote>
  <w:footnote w:id="24">
    <w:p w14:paraId="5204D508" w14:textId="77777777" w:rsidR="0035790A" w:rsidRPr="00A441D4" w:rsidRDefault="0035790A" w:rsidP="0035790A">
      <w:pPr>
        <w:pStyle w:val="FootnoteText"/>
        <w:rPr>
          <w:rFonts w:ascii="Times New Roman" w:hAnsi="Times New Roman" w:cs="Times New Roman"/>
        </w:rPr>
      </w:pPr>
      <w:r w:rsidRPr="00A441D4">
        <w:rPr>
          <w:rStyle w:val="FootnoteReference"/>
          <w:rFonts w:ascii="Times New Roman" w:hAnsi="Times New Roman" w:cs="Times New Roman"/>
        </w:rPr>
        <w:footnoteRef/>
      </w:r>
      <w:r w:rsidRPr="00A441D4">
        <w:rPr>
          <w:rFonts w:ascii="Times New Roman" w:hAnsi="Times New Roman" w:cs="Times New Roman"/>
        </w:rPr>
        <w:t xml:space="preserve"> </w:t>
      </w:r>
      <w:r w:rsidRPr="00A441D4">
        <w:rPr>
          <w:rFonts w:ascii="Times New Roman" w:eastAsia="Times New Roman" w:hAnsi="Times New Roman" w:cs="Times New Roman"/>
          <w:color w:val="1F1F1F"/>
          <w:bdr w:val="none" w:sz="0" w:space="0" w:color="auto" w:frame="1"/>
        </w:rPr>
        <w:t xml:space="preserve">HM Land Registry. "A Short History of Land Registration in England and Wales" </w:t>
      </w:r>
    </w:p>
  </w:footnote>
  <w:footnote w:id="25">
    <w:p w14:paraId="6599BB42" w14:textId="142C3AB9" w:rsidR="0035790A" w:rsidRPr="00A441D4" w:rsidRDefault="0035790A" w:rsidP="00A441D4">
      <w:pPr>
        <w:spacing w:after="0" w:line="240" w:lineRule="auto"/>
        <w:rPr>
          <w:rFonts w:ascii="Times New Roman" w:eastAsia="Times New Roman" w:hAnsi="Times New Roman" w:cs="Times New Roman"/>
          <w:color w:val="1F1F1F"/>
          <w:sz w:val="20"/>
          <w:szCs w:val="20"/>
          <w:bdr w:val="none" w:sz="0" w:space="0" w:color="auto" w:frame="1"/>
        </w:rPr>
      </w:pPr>
      <w:r w:rsidRPr="00A441D4">
        <w:rPr>
          <w:rStyle w:val="FootnoteReference"/>
          <w:rFonts w:ascii="Times New Roman" w:hAnsi="Times New Roman" w:cs="Times New Roman"/>
          <w:sz w:val="20"/>
          <w:szCs w:val="20"/>
        </w:rPr>
        <w:footnoteRef/>
      </w:r>
      <w:r w:rsidRPr="00A441D4">
        <w:rPr>
          <w:rFonts w:ascii="Times New Roman" w:hAnsi="Times New Roman" w:cs="Times New Roman"/>
          <w:sz w:val="20"/>
          <w:szCs w:val="20"/>
        </w:rPr>
        <w:t xml:space="preserve"> </w:t>
      </w:r>
      <w:r w:rsidRPr="00A441D4">
        <w:rPr>
          <w:rFonts w:ascii="Times New Roman" w:eastAsia="Times New Roman" w:hAnsi="Times New Roman" w:cs="Times New Roman"/>
          <w:color w:val="1F1F1F"/>
          <w:sz w:val="20"/>
          <w:szCs w:val="20"/>
          <w:bdr w:val="none" w:sz="0" w:space="0" w:color="auto" w:frame="1"/>
        </w:rPr>
        <w:t>Law Commission of England and Wales. "Land Registration for the 21st Century: A Consultative Document" (Law Com No 299, 2001), para 1.8.</w:t>
      </w:r>
    </w:p>
  </w:footnote>
  <w:footnote w:id="26">
    <w:p w14:paraId="55B1B761" w14:textId="77777777" w:rsidR="0035790A" w:rsidRPr="00A441D4" w:rsidRDefault="0035790A" w:rsidP="0035790A">
      <w:pPr>
        <w:pStyle w:val="FootnoteText"/>
        <w:rPr>
          <w:rFonts w:ascii="Times New Roman" w:hAnsi="Times New Roman" w:cs="Times New Roman"/>
        </w:rPr>
      </w:pPr>
      <w:r w:rsidRPr="00A441D4">
        <w:rPr>
          <w:rStyle w:val="FootnoteReference"/>
          <w:rFonts w:ascii="Times New Roman" w:hAnsi="Times New Roman" w:cs="Times New Roman"/>
        </w:rPr>
        <w:footnoteRef/>
      </w:r>
      <w:r w:rsidRPr="00A441D4">
        <w:rPr>
          <w:rFonts w:ascii="Times New Roman" w:hAnsi="Times New Roman" w:cs="Times New Roman"/>
        </w:rPr>
        <w:t xml:space="preserve"> </w:t>
      </w:r>
      <w:r w:rsidRPr="00A441D4">
        <w:rPr>
          <w:rFonts w:ascii="Times New Roman" w:eastAsia="Times New Roman" w:hAnsi="Times New Roman" w:cs="Times New Roman"/>
          <w:color w:val="1F1F1F"/>
          <w:bdr w:val="none" w:sz="0" w:space="0" w:color="auto" w:frame="1"/>
        </w:rPr>
        <w:t xml:space="preserve">Law Commission of England and Wales. "Land Charges Act 1972" </w:t>
      </w:r>
    </w:p>
  </w:footnote>
  <w:footnote w:id="27">
    <w:p w14:paraId="1DD4ED5D" w14:textId="77777777" w:rsidR="0035790A" w:rsidRPr="00A441D4" w:rsidRDefault="0035790A" w:rsidP="0035790A">
      <w:pPr>
        <w:pStyle w:val="FootnoteText"/>
        <w:rPr>
          <w:rFonts w:ascii="Times New Roman" w:hAnsi="Times New Roman" w:cs="Times New Roman"/>
        </w:rPr>
      </w:pPr>
      <w:r w:rsidRPr="00A441D4">
        <w:rPr>
          <w:rStyle w:val="FootnoteReference"/>
          <w:rFonts w:ascii="Times New Roman" w:hAnsi="Times New Roman" w:cs="Times New Roman"/>
        </w:rPr>
        <w:footnoteRef/>
      </w:r>
      <w:r w:rsidRPr="00A441D4">
        <w:rPr>
          <w:rFonts w:ascii="Times New Roman" w:hAnsi="Times New Roman" w:cs="Times New Roman"/>
        </w:rPr>
        <w:t xml:space="preserve"> </w:t>
      </w:r>
      <w:r w:rsidRPr="00A441D4">
        <w:rPr>
          <w:rFonts w:ascii="Times New Roman" w:eastAsia="Times New Roman" w:hAnsi="Times New Roman" w:cs="Times New Roman"/>
          <w:color w:val="1F1F1F"/>
          <w:bdr w:val="none" w:sz="0" w:space="0" w:color="auto" w:frame="1"/>
        </w:rPr>
        <w:t>Commonhold and Leasehold Reform Act 2002, c. 16,  Leasehold Reform Act 1967</w:t>
      </w:r>
    </w:p>
  </w:footnote>
  <w:footnote w:id="28">
    <w:p w14:paraId="0CA2DC8F" w14:textId="77777777" w:rsidR="0035790A" w:rsidRPr="00D45A94" w:rsidRDefault="0035790A" w:rsidP="0035790A">
      <w:pPr>
        <w:pStyle w:val="FootnoteText"/>
        <w:rPr>
          <w:rFonts w:ascii="Times New Roman" w:hAnsi="Times New Roman" w:cs="Times New Roman"/>
        </w:rPr>
      </w:pPr>
      <w:r w:rsidRPr="00A441D4">
        <w:rPr>
          <w:rStyle w:val="FootnoteReference"/>
          <w:rFonts w:ascii="Times New Roman" w:hAnsi="Times New Roman" w:cs="Times New Roman"/>
        </w:rPr>
        <w:footnoteRef/>
      </w:r>
      <w:r w:rsidRPr="00A441D4">
        <w:rPr>
          <w:rFonts w:ascii="Times New Roman" w:hAnsi="Times New Roman" w:cs="Times New Roman"/>
        </w:rPr>
        <w:t xml:space="preserve"> </w:t>
      </w:r>
      <w:r w:rsidRPr="00A441D4">
        <w:rPr>
          <w:rFonts w:ascii="Times New Roman" w:eastAsia="Times New Roman" w:hAnsi="Times New Roman" w:cs="Times New Roman"/>
          <w:color w:val="1F1F1F"/>
          <w:bdr w:val="none" w:sz="0" w:space="0" w:color="auto" w:frame="1"/>
        </w:rPr>
        <w:t>HM Land Registry. "A Short History of Land Registration in England and Wales"</w:t>
      </w:r>
      <w:r>
        <w:rPr>
          <w:rFonts w:ascii="Times New Roman" w:eastAsia="Times New Roman" w:hAnsi="Times New Roman" w:cs="Times New Roman"/>
          <w:color w:val="1F1F1F"/>
          <w:bdr w:val="none" w:sz="0" w:space="0" w:color="auto" w:frame="1"/>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50A8"/>
    <w:multiLevelType w:val="hybridMultilevel"/>
    <w:tmpl w:val="95CC511C"/>
    <w:lvl w:ilvl="0" w:tplc="67CEEB9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060E9"/>
    <w:multiLevelType w:val="hybridMultilevel"/>
    <w:tmpl w:val="4626792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201144"/>
    <w:multiLevelType w:val="multilevel"/>
    <w:tmpl w:val="0DF84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065B1F"/>
    <w:multiLevelType w:val="multilevel"/>
    <w:tmpl w:val="0F5A6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A25AFD"/>
    <w:multiLevelType w:val="multilevel"/>
    <w:tmpl w:val="B168671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CC021BB"/>
    <w:multiLevelType w:val="multilevel"/>
    <w:tmpl w:val="8F6459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4A3BC5"/>
    <w:multiLevelType w:val="hybridMultilevel"/>
    <w:tmpl w:val="1930B0B2"/>
    <w:lvl w:ilvl="0" w:tplc="5B94D45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14041C"/>
    <w:multiLevelType w:val="hybridMultilevel"/>
    <w:tmpl w:val="726C0B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122D61"/>
    <w:multiLevelType w:val="hybridMultilevel"/>
    <w:tmpl w:val="59E62C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EC09B1"/>
    <w:multiLevelType w:val="multilevel"/>
    <w:tmpl w:val="DB6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71681"/>
    <w:multiLevelType w:val="hybridMultilevel"/>
    <w:tmpl w:val="0692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472997">
    <w:abstractNumId w:val="0"/>
  </w:num>
  <w:num w:numId="2" w16cid:durableId="367920964">
    <w:abstractNumId w:val="8"/>
  </w:num>
  <w:num w:numId="3" w16cid:durableId="2126802987">
    <w:abstractNumId w:val="3"/>
  </w:num>
  <w:num w:numId="4" w16cid:durableId="977801025">
    <w:abstractNumId w:val="7"/>
  </w:num>
  <w:num w:numId="5" w16cid:durableId="557060542">
    <w:abstractNumId w:val="1"/>
  </w:num>
  <w:num w:numId="6" w16cid:durableId="27608808">
    <w:abstractNumId w:val="6"/>
  </w:num>
  <w:num w:numId="7" w16cid:durableId="619067830">
    <w:abstractNumId w:val="9"/>
  </w:num>
  <w:num w:numId="8" w16cid:durableId="28770997">
    <w:abstractNumId w:val="10"/>
  </w:num>
  <w:num w:numId="9" w16cid:durableId="534537540">
    <w:abstractNumId w:val="5"/>
  </w:num>
  <w:num w:numId="10" w16cid:durableId="1249577531">
    <w:abstractNumId w:val="2"/>
  </w:num>
  <w:num w:numId="11" w16cid:durableId="1075781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48"/>
    <w:rsid w:val="00070328"/>
    <w:rsid w:val="000C249F"/>
    <w:rsid w:val="000E3077"/>
    <w:rsid w:val="00143D05"/>
    <w:rsid w:val="00154CD3"/>
    <w:rsid w:val="001566E7"/>
    <w:rsid w:val="001904F7"/>
    <w:rsid w:val="00190729"/>
    <w:rsid w:val="001D33D0"/>
    <w:rsid w:val="0021356B"/>
    <w:rsid w:val="00230F43"/>
    <w:rsid w:val="002538F1"/>
    <w:rsid w:val="002862B2"/>
    <w:rsid w:val="00330CF3"/>
    <w:rsid w:val="00345E25"/>
    <w:rsid w:val="00357125"/>
    <w:rsid w:val="0035790A"/>
    <w:rsid w:val="003B40B4"/>
    <w:rsid w:val="003C1A23"/>
    <w:rsid w:val="00423ADB"/>
    <w:rsid w:val="004555E0"/>
    <w:rsid w:val="0046627D"/>
    <w:rsid w:val="004B3B28"/>
    <w:rsid w:val="004C2F48"/>
    <w:rsid w:val="004F5D74"/>
    <w:rsid w:val="0051347B"/>
    <w:rsid w:val="0055726A"/>
    <w:rsid w:val="005E1286"/>
    <w:rsid w:val="00610D1F"/>
    <w:rsid w:val="006756BB"/>
    <w:rsid w:val="006C0A37"/>
    <w:rsid w:val="00712279"/>
    <w:rsid w:val="00731BF0"/>
    <w:rsid w:val="00735813"/>
    <w:rsid w:val="00775065"/>
    <w:rsid w:val="00830785"/>
    <w:rsid w:val="008E13FD"/>
    <w:rsid w:val="00913248"/>
    <w:rsid w:val="009151B8"/>
    <w:rsid w:val="00975D05"/>
    <w:rsid w:val="00A37C1A"/>
    <w:rsid w:val="00A441D4"/>
    <w:rsid w:val="00A8701C"/>
    <w:rsid w:val="00AE6291"/>
    <w:rsid w:val="00AE7B8B"/>
    <w:rsid w:val="00B34FC5"/>
    <w:rsid w:val="00B476D2"/>
    <w:rsid w:val="00B67441"/>
    <w:rsid w:val="00C2048C"/>
    <w:rsid w:val="00C37D96"/>
    <w:rsid w:val="00C749C8"/>
    <w:rsid w:val="00D25D1F"/>
    <w:rsid w:val="00D3770C"/>
    <w:rsid w:val="00D44D6D"/>
    <w:rsid w:val="00D56538"/>
    <w:rsid w:val="00DD010F"/>
    <w:rsid w:val="00EB5492"/>
    <w:rsid w:val="00ED366D"/>
    <w:rsid w:val="00F575A4"/>
    <w:rsid w:val="00F67B53"/>
    <w:rsid w:val="00FA68B7"/>
    <w:rsid w:val="00FA7AF2"/>
    <w:rsid w:val="00FD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2EC5"/>
  <w15:chartTrackingRefBased/>
  <w15:docId w15:val="{045A926D-0E6A-40AB-A063-D3B16C17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324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13248"/>
    <w:rPr>
      <w:rFonts w:eastAsiaTheme="minorEastAsia"/>
      <w:kern w:val="0"/>
      <w14:ligatures w14:val="none"/>
    </w:rPr>
  </w:style>
  <w:style w:type="paragraph" w:styleId="FootnoteText">
    <w:name w:val="footnote text"/>
    <w:basedOn w:val="Normal"/>
    <w:link w:val="FootnoteTextChar"/>
    <w:uiPriority w:val="99"/>
    <w:semiHidden/>
    <w:unhideWhenUsed/>
    <w:rsid w:val="00FA6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68B7"/>
    <w:rPr>
      <w:sz w:val="20"/>
      <w:szCs w:val="20"/>
    </w:rPr>
  </w:style>
  <w:style w:type="character" w:styleId="FootnoteReference">
    <w:name w:val="footnote reference"/>
    <w:basedOn w:val="DefaultParagraphFont"/>
    <w:uiPriority w:val="99"/>
    <w:semiHidden/>
    <w:unhideWhenUsed/>
    <w:rsid w:val="00FA68B7"/>
    <w:rPr>
      <w:vertAlign w:val="superscript"/>
    </w:rPr>
  </w:style>
  <w:style w:type="paragraph" w:styleId="ListParagraph">
    <w:name w:val="List Paragraph"/>
    <w:basedOn w:val="Normal"/>
    <w:uiPriority w:val="34"/>
    <w:qFormat/>
    <w:rsid w:val="00070328"/>
    <w:pPr>
      <w:ind w:left="720"/>
      <w:contextualSpacing/>
    </w:pPr>
  </w:style>
  <w:style w:type="paragraph" w:styleId="Header">
    <w:name w:val="header"/>
    <w:basedOn w:val="Normal"/>
    <w:link w:val="HeaderChar"/>
    <w:uiPriority w:val="99"/>
    <w:unhideWhenUsed/>
    <w:rsid w:val="00B34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FC5"/>
  </w:style>
  <w:style w:type="paragraph" w:styleId="Footer">
    <w:name w:val="footer"/>
    <w:basedOn w:val="Normal"/>
    <w:link w:val="FooterChar"/>
    <w:uiPriority w:val="99"/>
    <w:unhideWhenUsed/>
    <w:rsid w:val="00B34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FC5"/>
  </w:style>
  <w:style w:type="character" w:styleId="Hyperlink">
    <w:name w:val="Hyperlink"/>
    <w:basedOn w:val="DefaultParagraphFont"/>
    <w:uiPriority w:val="99"/>
    <w:unhideWhenUsed/>
    <w:rsid w:val="001D33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AB92E48D-BB5D-4B51-9446-F931EE644773}"/>
</file>

<file path=customXml/itemProps2.xml><?xml version="1.0" encoding="utf-8"?>
<ds:datastoreItem xmlns:ds="http://schemas.openxmlformats.org/officeDocument/2006/customXml" ds:itemID="{2292F268-1B08-46A4-B272-F82B94C5F19A}"/>
</file>

<file path=customXml/itemProps3.xml><?xml version="1.0" encoding="utf-8"?>
<ds:datastoreItem xmlns:ds="http://schemas.openxmlformats.org/officeDocument/2006/customXml" ds:itemID="{F264EE03-1ECD-4D60-927E-D8F46EBC036B}"/>
</file>

<file path=docProps/app.xml><?xml version="1.0" encoding="utf-8"?>
<Properties xmlns="http://schemas.openxmlformats.org/officeDocument/2006/extended-properties" xmlns:vt="http://schemas.openxmlformats.org/officeDocument/2006/docPropsVTypes">
  <Template>Normal</Template>
  <TotalTime>752</TotalTime>
  <Pages>9</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Chula</dc:creator>
  <cp:keywords/>
  <dc:description/>
  <cp:lastModifiedBy>Larry Chula</cp:lastModifiedBy>
  <cp:revision>17</cp:revision>
  <dcterms:created xsi:type="dcterms:W3CDTF">2024-02-12T13:53:00Z</dcterms:created>
  <dcterms:modified xsi:type="dcterms:W3CDTF">2024-02-13T05:52:00Z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