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1E050" w14:textId="37A89ED9" w:rsidR="009D4CE1" w:rsidRPr="00C44889" w:rsidRDefault="009D4CE1" w:rsidP="00D66CCB">
      <w:pPr>
        <w:jc w:val="both"/>
        <w:rPr>
          <w:rFonts w:ascii="Times New Roman" w:hAnsi="Times New Roman" w:cs="Times New Roman"/>
          <w:b/>
          <w:u w:val="single"/>
        </w:rPr>
      </w:pPr>
      <w:r w:rsidRPr="00C44889">
        <w:rPr>
          <w:rFonts w:ascii="Times New Roman" w:hAnsi="Times New Roman" w:cs="Times New Roman"/>
          <w:b/>
          <w:u w:val="single"/>
        </w:rPr>
        <w:t>CONVENYANCING CLASS C FIRM 3</w:t>
      </w:r>
      <w:r w:rsidR="00865F69">
        <w:rPr>
          <w:rFonts w:ascii="Times New Roman" w:hAnsi="Times New Roman" w:cs="Times New Roman"/>
          <w:b/>
          <w:u w:val="single"/>
        </w:rPr>
        <w:t xml:space="preserve"> (YOUNG LEGAL MINDS)</w:t>
      </w:r>
    </w:p>
    <w:p w14:paraId="24C723B9" w14:textId="77777777" w:rsidR="009D4CE1" w:rsidRPr="00C44889" w:rsidRDefault="009D4CE1" w:rsidP="00D66CCB">
      <w:pPr>
        <w:jc w:val="both"/>
        <w:rPr>
          <w:rFonts w:ascii="Times New Roman" w:hAnsi="Times New Roman" w:cs="Times New Roman"/>
          <w:b/>
          <w:u w:val="single"/>
        </w:rPr>
      </w:pPr>
      <w:r w:rsidRPr="00C44889">
        <w:rPr>
          <w:rFonts w:ascii="Times New Roman" w:hAnsi="Times New Roman" w:cs="Times New Roman"/>
          <w:b/>
          <w:u w:val="single"/>
        </w:rPr>
        <w:t>Introduction</w:t>
      </w:r>
    </w:p>
    <w:p w14:paraId="06B22EB3" w14:textId="77777777" w:rsidR="009D4CE1" w:rsidRPr="00C44889" w:rsidRDefault="009D4CE1" w:rsidP="00D66CCB">
      <w:pPr>
        <w:jc w:val="both"/>
        <w:rPr>
          <w:rFonts w:ascii="Times New Roman" w:hAnsi="Times New Roman" w:cs="Times New Roman"/>
        </w:rPr>
      </w:pPr>
      <w:r w:rsidRPr="00C44889">
        <w:rPr>
          <w:rFonts w:ascii="Times New Roman" w:hAnsi="Times New Roman" w:cs="Times New Roman"/>
        </w:rPr>
        <w:t>In Kenyan law, land is defined under common law as the surface of the earth, including everything beneath and above it, and any structures or fixtures permanently attached to it. Statutorily, the Land Act of 2012 provides a comprehensive definition, emphasizing ownership, use, and management rights. Case law further interprets these definitions through judicial decisions.</w:t>
      </w:r>
    </w:p>
    <w:p w14:paraId="7CB64F3B" w14:textId="77777777" w:rsidR="009D4CE1" w:rsidRPr="00C44889" w:rsidRDefault="009D4CE1" w:rsidP="00D66CCB">
      <w:pPr>
        <w:jc w:val="both"/>
        <w:rPr>
          <w:rFonts w:ascii="Times New Roman" w:hAnsi="Times New Roman" w:cs="Times New Roman"/>
        </w:rPr>
      </w:pPr>
      <w:r w:rsidRPr="00C44889">
        <w:rPr>
          <w:rFonts w:ascii="Times New Roman" w:hAnsi="Times New Roman" w:cs="Times New Roman"/>
        </w:rPr>
        <w:t>Exceptions to the general definition of land may include rights of way, easements, leases, and other encumbrances that limit the absolute ownership or use of land. These exceptions are often governed by specific statutes, contractual agreements, or established legal principles, which are subject to interpretation and application in the Kenyan legal system.</w:t>
      </w:r>
    </w:p>
    <w:p w14:paraId="2597B3D4" w14:textId="68936A91" w:rsidR="009D4CE1" w:rsidRPr="00C44889" w:rsidRDefault="009D4CE1" w:rsidP="00D66CCB">
      <w:pPr>
        <w:jc w:val="both"/>
        <w:rPr>
          <w:rFonts w:ascii="Times New Roman" w:hAnsi="Times New Roman" w:cs="Times New Roman"/>
          <w:b/>
          <w:bCs/>
          <w:u w:val="single"/>
        </w:rPr>
      </w:pPr>
      <w:r w:rsidRPr="00C44889">
        <w:rPr>
          <w:rFonts w:ascii="Times New Roman" w:hAnsi="Times New Roman" w:cs="Times New Roman"/>
          <w:b/>
          <w:bCs/>
          <w:u w:val="single"/>
        </w:rPr>
        <w:t>Common Law definition of Land</w:t>
      </w:r>
    </w:p>
    <w:p w14:paraId="2528CD23" w14:textId="4621A8DE" w:rsidR="009D4CE1" w:rsidRPr="00D5670D" w:rsidRDefault="009D4CE1" w:rsidP="00D66CCB">
      <w:pPr>
        <w:numPr>
          <w:ilvl w:val="0"/>
          <w:numId w:val="1"/>
        </w:numPr>
        <w:jc w:val="both"/>
        <w:rPr>
          <w:rFonts w:ascii="Times New Roman" w:hAnsi="Times New Roman" w:cs="Times New Roman"/>
        </w:rPr>
      </w:pPr>
      <w:r w:rsidRPr="00C44889">
        <w:rPr>
          <w:rFonts w:ascii="Times New Roman" w:hAnsi="Times New Roman" w:cs="Times New Roman"/>
        </w:rPr>
        <w:t xml:space="preserve">"At common law, the term ‘land’ when used in relation to a particular parcel meant the surface of the Earth, the soil beneath the surface to the </w:t>
      </w:r>
      <w:r w:rsidR="00865F69" w:rsidRPr="00C44889">
        <w:rPr>
          <w:rFonts w:ascii="Times New Roman" w:hAnsi="Times New Roman" w:cs="Times New Roman"/>
        </w:rPr>
        <w:t>center</w:t>
      </w:r>
      <w:r w:rsidRPr="00C44889">
        <w:rPr>
          <w:rFonts w:ascii="Times New Roman" w:hAnsi="Times New Roman" w:cs="Times New Roman"/>
        </w:rPr>
        <w:t xml:space="preserve"> of the Earth and the column of air above the surface. It included all things growing on or affixed to the soil, such as trees, crops and buildings. It also included all the minerals in the soil excepting gold and silver, which at law belonged to the Crown as royal metals."</w:t>
      </w:r>
      <w:r w:rsidRPr="00C44889">
        <w:rPr>
          <w:rFonts w:ascii="Times New Roman" w:hAnsi="Times New Roman" w:cs="Times New Roman"/>
          <w:vertAlign w:val="superscript"/>
        </w:rPr>
        <w:footnoteReference w:id="1"/>
      </w:r>
      <w:r w:rsidRPr="00C44889">
        <w:rPr>
          <w:rFonts w:ascii="Times New Roman" w:hAnsi="Times New Roman" w:cs="Times New Roman"/>
        </w:rPr>
        <w:t xml:space="preserve"> </w:t>
      </w:r>
    </w:p>
    <w:p w14:paraId="295274EF" w14:textId="77777777" w:rsidR="009D4CE1" w:rsidRPr="00C44889" w:rsidRDefault="009D4CE1" w:rsidP="00D66CCB">
      <w:pPr>
        <w:numPr>
          <w:ilvl w:val="0"/>
          <w:numId w:val="1"/>
        </w:numPr>
        <w:jc w:val="both"/>
        <w:rPr>
          <w:rFonts w:ascii="Times New Roman" w:hAnsi="Times New Roman" w:cs="Times New Roman"/>
        </w:rPr>
      </w:pPr>
      <w:r w:rsidRPr="00C44889">
        <w:rPr>
          <w:rFonts w:ascii="Times New Roman" w:hAnsi="Times New Roman" w:cs="Times New Roman"/>
        </w:rPr>
        <w:t xml:space="preserve">At English common law, the term land includes </w:t>
      </w:r>
      <w:r w:rsidRPr="00C44889">
        <w:rPr>
          <w:rFonts w:ascii="Times New Roman" w:hAnsi="Times New Roman" w:cs="Times New Roman"/>
          <w:b/>
          <w:bCs/>
          <w:i/>
          <w:iCs/>
        </w:rPr>
        <w:t>the physical clods of earth which make up the surface layer of land, mines, and minerals beneath the surface, and buildings, or parts of buildings erected on the surface and “corporeal hereditaments</w:t>
      </w:r>
      <w:r w:rsidRPr="00C44889">
        <w:rPr>
          <w:rFonts w:ascii="Times New Roman" w:hAnsi="Times New Roman" w:cs="Times New Roman"/>
        </w:rPr>
        <w:t>”.</w:t>
      </w:r>
      <w:r w:rsidRPr="00C44889">
        <w:rPr>
          <w:rFonts w:ascii="Times New Roman" w:hAnsi="Times New Roman" w:cs="Times New Roman"/>
          <w:vertAlign w:val="superscript"/>
        </w:rPr>
        <w:footnoteReference w:id="2"/>
      </w:r>
      <w:r w:rsidRPr="00C44889">
        <w:rPr>
          <w:rFonts w:ascii="Times New Roman" w:hAnsi="Times New Roman" w:cs="Times New Roman"/>
        </w:rPr>
        <w:t xml:space="preserve"> Hereditaments signify a right which is heritable that is capable of passing by way of descent to heirs.</w:t>
      </w:r>
      <w:r w:rsidRPr="00C44889">
        <w:rPr>
          <w:rFonts w:ascii="Times New Roman" w:hAnsi="Times New Roman" w:cs="Times New Roman"/>
          <w:vertAlign w:val="superscript"/>
        </w:rPr>
        <w:footnoteReference w:id="3"/>
      </w:r>
      <w:r w:rsidRPr="00C44889">
        <w:rPr>
          <w:rFonts w:ascii="Times New Roman" w:hAnsi="Times New Roman" w:cs="Times New Roman"/>
        </w:rPr>
        <w:t xml:space="preserve"> It includes also many kinds of intangible rights or incorporeal hereditaments such as rights of way over somebody else’s land. These intangible rights are regarded as integral parts of the land in a way that any future conveyance of the land will transfer the land, rights and benefits attached to it.</w:t>
      </w:r>
      <w:r w:rsidRPr="00C44889">
        <w:rPr>
          <w:rFonts w:ascii="Times New Roman" w:hAnsi="Times New Roman" w:cs="Times New Roman"/>
          <w:vertAlign w:val="superscript"/>
        </w:rPr>
        <w:footnoteReference w:id="4"/>
      </w:r>
    </w:p>
    <w:p w14:paraId="5B5CB7A9" w14:textId="77777777" w:rsidR="009D4CE1" w:rsidRPr="00C44889" w:rsidRDefault="009D4CE1" w:rsidP="00D66CCB">
      <w:pPr>
        <w:jc w:val="both"/>
        <w:rPr>
          <w:rFonts w:ascii="Times New Roman" w:hAnsi="Times New Roman" w:cs="Times New Roman"/>
          <w:b/>
          <w:bCs/>
          <w:u w:val="single"/>
        </w:rPr>
      </w:pPr>
      <w:r w:rsidRPr="00C44889">
        <w:rPr>
          <w:rFonts w:ascii="Times New Roman" w:hAnsi="Times New Roman" w:cs="Times New Roman"/>
          <w:b/>
          <w:bCs/>
          <w:u w:val="single"/>
        </w:rPr>
        <w:t>Case Law/Common Law</w:t>
      </w:r>
    </w:p>
    <w:p w14:paraId="0EFEA923" w14:textId="19F45303" w:rsidR="009D4CE1" w:rsidRPr="00C44889" w:rsidRDefault="009D4CE1" w:rsidP="00D66CCB">
      <w:pPr>
        <w:numPr>
          <w:ilvl w:val="0"/>
          <w:numId w:val="2"/>
        </w:numPr>
        <w:jc w:val="both"/>
        <w:rPr>
          <w:rFonts w:ascii="Times New Roman" w:hAnsi="Times New Roman" w:cs="Times New Roman"/>
        </w:rPr>
      </w:pPr>
      <w:bookmarkStart w:id="0" w:name="_Hlk158533587"/>
      <w:r w:rsidRPr="00C44889">
        <w:rPr>
          <w:rFonts w:ascii="Times New Roman" w:hAnsi="Times New Roman" w:cs="Times New Roman"/>
        </w:rPr>
        <w:t>In </w:t>
      </w:r>
      <w:r w:rsidRPr="00C44889">
        <w:rPr>
          <w:rFonts w:ascii="Times New Roman" w:hAnsi="Times New Roman" w:cs="Times New Roman"/>
          <w:b/>
          <w:bCs/>
        </w:rPr>
        <w:t xml:space="preserve">Mombasa Civil Appeal No. 83 of 2016 </w:t>
      </w:r>
      <w:r w:rsidRPr="00C44889">
        <w:rPr>
          <w:rFonts w:ascii="Times New Roman" w:hAnsi="Times New Roman" w:cs="Times New Roman"/>
          <w:b/>
          <w:bCs/>
          <w:i/>
          <w:iCs/>
          <w:u w:val="single"/>
        </w:rPr>
        <w:t>Co-Operative Bank of Kenya</w:t>
      </w:r>
      <w:r w:rsidRPr="00C44889">
        <w:rPr>
          <w:rFonts w:ascii="Times New Roman" w:hAnsi="Times New Roman" w:cs="Times New Roman"/>
          <w:i/>
          <w:iCs/>
          <w:u w:val="single"/>
        </w:rPr>
        <w:t> </w:t>
      </w:r>
      <w:r w:rsidRPr="00C44889">
        <w:rPr>
          <w:rFonts w:ascii="Times New Roman" w:hAnsi="Times New Roman" w:cs="Times New Roman"/>
          <w:b/>
          <w:bCs/>
          <w:i/>
          <w:iCs/>
          <w:u w:val="single"/>
        </w:rPr>
        <w:t>Limited V</w:t>
      </w:r>
      <w:r w:rsidR="00865F69">
        <w:rPr>
          <w:rFonts w:ascii="Times New Roman" w:hAnsi="Times New Roman" w:cs="Times New Roman"/>
          <w:b/>
          <w:bCs/>
          <w:i/>
          <w:iCs/>
          <w:u w:val="single"/>
        </w:rPr>
        <w:t>s</w:t>
      </w:r>
      <w:r w:rsidRPr="00C44889">
        <w:rPr>
          <w:rFonts w:ascii="Times New Roman" w:hAnsi="Times New Roman" w:cs="Times New Roman"/>
          <w:i/>
          <w:iCs/>
          <w:u w:val="single"/>
        </w:rPr>
        <w:t> </w:t>
      </w:r>
      <w:r w:rsidRPr="00C44889">
        <w:rPr>
          <w:rFonts w:ascii="Times New Roman" w:hAnsi="Times New Roman" w:cs="Times New Roman"/>
          <w:b/>
          <w:bCs/>
          <w:i/>
          <w:iCs/>
          <w:u w:val="single"/>
        </w:rPr>
        <w:t>Patrick Kangethe Njuguna</w:t>
      </w:r>
      <w:r w:rsidRPr="00C44889">
        <w:rPr>
          <w:rFonts w:ascii="Times New Roman" w:hAnsi="Times New Roman" w:cs="Times New Roman"/>
          <w:i/>
          <w:iCs/>
          <w:u w:val="single"/>
        </w:rPr>
        <w:t> </w:t>
      </w:r>
      <w:r w:rsidRPr="00C44889">
        <w:rPr>
          <w:rFonts w:ascii="Times New Roman" w:hAnsi="Times New Roman" w:cs="Times New Roman"/>
          <w:b/>
          <w:bCs/>
          <w:i/>
          <w:iCs/>
          <w:u w:val="single"/>
        </w:rPr>
        <w:t>&amp; 5 others</w:t>
      </w:r>
      <w:r w:rsidRPr="00C44889">
        <w:rPr>
          <w:rFonts w:ascii="Times New Roman" w:hAnsi="Times New Roman" w:cs="Times New Roman"/>
        </w:rPr>
        <w:t> the court of appeal stated as follows: -</w:t>
      </w:r>
    </w:p>
    <w:p w14:paraId="5AAB55EA" w14:textId="39B28697" w:rsidR="009D4CE1" w:rsidRPr="00C44889" w:rsidRDefault="009D4CE1" w:rsidP="00D66CCB">
      <w:pPr>
        <w:jc w:val="both"/>
        <w:rPr>
          <w:rFonts w:ascii="Times New Roman" w:hAnsi="Times New Roman" w:cs="Times New Roman"/>
          <w:b/>
          <w:bCs/>
        </w:rPr>
      </w:pPr>
      <w:r w:rsidRPr="00C44889">
        <w:rPr>
          <w:rFonts w:ascii="Times New Roman" w:hAnsi="Times New Roman" w:cs="Times New Roman"/>
          <w:b/>
          <w:bCs/>
        </w:rPr>
        <w:t>“</w:t>
      </w:r>
      <w:r w:rsidR="00865F69" w:rsidRPr="00C44889">
        <w:rPr>
          <w:rFonts w:ascii="Times New Roman" w:hAnsi="Times New Roman" w:cs="Times New Roman"/>
          <w:b/>
          <w:bCs/>
        </w:rPr>
        <w:t>…. Article</w:t>
      </w:r>
      <w:r w:rsidRPr="00C44889">
        <w:rPr>
          <w:rFonts w:ascii="Times New Roman" w:hAnsi="Times New Roman" w:cs="Times New Roman"/>
          <w:b/>
          <w:bCs/>
        </w:rPr>
        <w:t xml:space="preserve"> 260 aforesaid echoes the traditional definition of land under the </w:t>
      </w:r>
      <w:r w:rsidRPr="00C44889">
        <w:rPr>
          <w:rFonts w:ascii="Times New Roman" w:hAnsi="Times New Roman" w:cs="Times New Roman"/>
          <w:b/>
          <w:bCs/>
          <w:u w:val="single"/>
        </w:rPr>
        <w:t>common law doctrine</w:t>
      </w:r>
      <w:r w:rsidRPr="00C44889">
        <w:rPr>
          <w:rFonts w:ascii="Times New Roman" w:hAnsi="Times New Roman" w:cs="Times New Roman"/>
          <w:b/>
          <w:bCs/>
        </w:rPr>
        <w:t xml:space="preserve"> known as </w:t>
      </w:r>
      <w:r w:rsidR="00865F69" w:rsidRPr="00C44889">
        <w:rPr>
          <w:rFonts w:ascii="Times New Roman" w:hAnsi="Times New Roman" w:cs="Times New Roman"/>
          <w:b/>
          <w:bCs/>
          <w:i/>
          <w:iCs/>
          <w:u w:val="single"/>
        </w:rPr>
        <w:t>Cuius</w:t>
      </w:r>
      <w:r w:rsidRPr="00C44889">
        <w:rPr>
          <w:rFonts w:ascii="Times New Roman" w:hAnsi="Times New Roman" w:cs="Times New Roman"/>
          <w:b/>
          <w:bCs/>
          <w:i/>
          <w:iCs/>
          <w:u w:val="single"/>
        </w:rPr>
        <w:t xml:space="preserve"> est solum,</w:t>
      </w:r>
      <w:r w:rsidRPr="00C44889">
        <w:rPr>
          <w:rFonts w:ascii="Times New Roman" w:hAnsi="Times New Roman" w:cs="Times New Roman"/>
          <w:b/>
          <w:bCs/>
          <w:u w:val="single"/>
        </w:rPr>
        <w:t> </w:t>
      </w:r>
      <w:r w:rsidRPr="00C44889">
        <w:rPr>
          <w:rFonts w:ascii="Times New Roman" w:hAnsi="Times New Roman" w:cs="Times New Roman"/>
          <w:b/>
          <w:bCs/>
          <w:i/>
          <w:iCs/>
          <w:u w:val="single"/>
        </w:rPr>
        <w:t>eius est usque ad coelum et ad inferos (</w:t>
      </w:r>
      <w:r w:rsidR="00865F69" w:rsidRPr="00C44889">
        <w:rPr>
          <w:rFonts w:ascii="Times New Roman" w:hAnsi="Times New Roman" w:cs="Times New Roman"/>
          <w:b/>
          <w:bCs/>
          <w:i/>
          <w:iCs/>
          <w:u w:val="single"/>
        </w:rPr>
        <w:t>cuius</w:t>
      </w:r>
      <w:r w:rsidRPr="00C44889">
        <w:rPr>
          <w:rFonts w:ascii="Times New Roman" w:hAnsi="Times New Roman" w:cs="Times New Roman"/>
          <w:b/>
          <w:bCs/>
          <w:u w:val="single"/>
        </w:rPr>
        <w:t> doctrine)</w:t>
      </w:r>
      <w:r w:rsidRPr="00C44889">
        <w:rPr>
          <w:rFonts w:ascii="Times New Roman" w:hAnsi="Times New Roman" w:cs="Times New Roman"/>
          <w:b/>
          <w:bCs/>
        </w:rPr>
        <w:t xml:space="preserve"> which translates to "whoever owns [the] soil, [it] is theirs all the way [up] to Heaven and [down] to Hell". As with our Constitution, the doctrine</w:t>
      </w:r>
      <w:r w:rsidRPr="00C44889">
        <w:rPr>
          <w:rFonts w:ascii="Times New Roman" w:hAnsi="Times New Roman" w:cs="Times New Roman"/>
        </w:rPr>
        <w:t> </w:t>
      </w:r>
      <w:r w:rsidRPr="00C44889">
        <w:rPr>
          <w:rFonts w:ascii="Times New Roman" w:hAnsi="Times New Roman" w:cs="Times New Roman"/>
          <w:b/>
          <w:bCs/>
        </w:rPr>
        <w:t>defines land as the surface thereof, everything above it and below it as well. The doctrine restricts the definition of land use to necessary and ordinary use and enjoyment of the land and structures upon it. </w:t>
      </w:r>
    </w:p>
    <w:bookmarkEnd w:id="0"/>
    <w:p w14:paraId="7A0BE6AB" w14:textId="1ED2C6CA" w:rsidR="009D4CE1" w:rsidRPr="00C44889" w:rsidRDefault="009D4CE1" w:rsidP="00D66CCB">
      <w:pPr>
        <w:jc w:val="both"/>
        <w:rPr>
          <w:rFonts w:ascii="Times New Roman" w:hAnsi="Times New Roman" w:cs="Times New Roman"/>
          <w:b/>
          <w:bCs/>
        </w:rPr>
      </w:pPr>
      <w:r w:rsidRPr="00C44889">
        <w:rPr>
          <w:rFonts w:ascii="Times New Roman" w:hAnsi="Times New Roman" w:cs="Times New Roman"/>
          <w:b/>
          <w:bCs/>
        </w:rPr>
        <w:lastRenderedPageBreak/>
        <w:t> </w:t>
      </w:r>
      <w:r w:rsidRPr="00C44889">
        <w:rPr>
          <w:rFonts w:ascii="Times New Roman" w:hAnsi="Times New Roman" w:cs="Times New Roman"/>
          <w:b/>
          <w:bCs/>
          <w:i/>
          <w:iCs/>
          <w:u w:val="single"/>
        </w:rPr>
        <w:t>Lord Bernstein of Leigh v. Skyview</w:t>
      </w:r>
      <w:r w:rsidR="00D5670D">
        <w:rPr>
          <w:rFonts w:ascii="Times New Roman" w:hAnsi="Times New Roman" w:cs="Times New Roman"/>
          <w:b/>
          <w:bCs/>
          <w:i/>
          <w:iCs/>
          <w:u w:val="single"/>
        </w:rPr>
        <w:t>’</w:t>
      </w:r>
      <w:r w:rsidRPr="00C44889">
        <w:rPr>
          <w:rFonts w:ascii="Times New Roman" w:hAnsi="Times New Roman" w:cs="Times New Roman"/>
          <w:b/>
          <w:bCs/>
          <w:i/>
          <w:iCs/>
          <w:u w:val="single"/>
        </w:rPr>
        <w:t>s</w:t>
      </w:r>
      <w:r w:rsidRPr="00C44889">
        <w:rPr>
          <w:rFonts w:ascii="Times New Roman" w:hAnsi="Times New Roman" w:cs="Times New Roman"/>
          <w:b/>
          <w:bCs/>
          <w:i/>
          <w:iCs/>
        </w:rPr>
        <w:t> </w:t>
      </w:r>
      <w:r w:rsidRPr="00C44889">
        <w:rPr>
          <w:rFonts w:ascii="Times New Roman" w:hAnsi="Times New Roman" w:cs="Times New Roman"/>
          <w:b/>
          <w:bCs/>
          <w:i/>
          <w:iCs/>
          <w:u w:val="single"/>
        </w:rPr>
        <w:t>and General Limited</w:t>
      </w:r>
      <w:r w:rsidRPr="00C44889">
        <w:rPr>
          <w:rFonts w:ascii="Times New Roman" w:hAnsi="Times New Roman" w:cs="Times New Roman"/>
        </w:rPr>
        <w:t> </w:t>
      </w:r>
      <w:r w:rsidR="00865F69">
        <w:rPr>
          <w:rFonts w:ascii="Times New Roman" w:hAnsi="Times New Roman" w:cs="Times New Roman"/>
          <w:b/>
          <w:bCs/>
        </w:rPr>
        <w:t>(</w:t>
      </w:r>
      <w:r w:rsidRPr="00C44889">
        <w:rPr>
          <w:rFonts w:ascii="Times New Roman" w:hAnsi="Times New Roman" w:cs="Times New Roman"/>
          <w:b/>
          <w:bCs/>
        </w:rPr>
        <w:t>1978</w:t>
      </w:r>
      <w:r w:rsidR="00865F69">
        <w:rPr>
          <w:rFonts w:ascii="Times New Roman" w:hAnsi="Times New Roman" w:cs="Times New Roman"/>
          <w:b/>
          <w:bCs/>
        </w:rPr>
        <w:t>)</w:t>
      </w:r>
    </w:p>
    <w:p w14:paraId="359D2735" w14:textId="77777777" w:rsidR="009D4CE1" w:rsidRPr="00C44889" w:rsidRDefault="009D4CE1" w:rsidP="00D66CCB">
      <w:pPr>
        <w:jc w:val="both"/>
        <w:rPr>
          <w:rFonts w:ascii="Times New Roman" w:hAnsi="Times New Roman" w:cs="Times New Roman"/>
        </w:rPr>
      </w:pPr>
      <w:r w:rsidRPr="00C44889">
        <w:rPr>
          <w:rFonts w:ascii="Times New Roman" w:hAnsi="Times New Roman" w:cs="Times New Roman"/>
        </w:rPr>
        <w:t xml:space="preserve">In other definitions of this maxim, it translates to </w:t>
      </w:r>
      <w:r w:rsidRPr="00C44889">
        <w:rPr>
          <w:rFonts w:ascii="Times New Roman" w:hAnsi="Times New Roman" w:cs="Times New Roman"/>
          <w:b/>
          <w:bCs/>
          <w:i/>
          <w:iCs/>
        </w:rPr>
        <w:t>‘he who owns the land owns everything extending to the heaven and to the depths of the earth’</w:t>
      </w:r>
      <w:r w:rsidRPr="00C44889">
        <w:rPr>
          <w:rFonts w:ascii="Times New Roman" w:hAnsi="Times New Roman" w:cs="Times New Roman"/>
        </w:rPr>
        <w:t>. In principle therefore, the owner of the land owns everything. However statutory provisions qualify the position. As a result, the landowner has no right to coal and oil</w:t>
      </w:r>
      <w:r w:rsidRPr="00C44889">
        <w:rPr>
          <w:rFonts w:ascii="Times New Roman" w:hAnsi="Times New Roman" w:cs="Times New Roman"/>
          <w:vertAlign w:val="superscript"/>
        </w:rPr>
        <w:footnoteReference w:id="5"/>
      </w:r>
      <w:r w:rsidRPr="00C44889">
        <w:rPr>
          <w:rFonts w:ascii="Times New Roman" w:hAnsi="Times New Roman" w:cs="Times New Roman"/>
        </w:rPr>
        <w:t xml:space="preserve"> or treasure trove discovered in his land. The ownership of these things is vested in the state.</w:t>
      </w:r>
      <w:r w:rsidRPr="00C44889">
        <w:rPr>
          <w:rFonts w:ascii="Times New Roman" w:hAnsi="Times New Roman" w:cs="Times New Roman"/>
          <w:vertAlign w:val="superscript"/>
        </w:rPr>
        <w:footnoteReference w:id="6"/>
      </w:r>
      <w:r w:rsidRPr="00C44889">
        <w:rPr>
          <w:rFonts w:ascii="Times New Roman" w:hAnsi="Times New Roman" w:cs="Times New Roman"/>
        </w:rPr>
        <w:t xml:space="preserve"> </w:t>
      </w:r>
    </w:p>
    <w:p w14:paraId="24E239B3" w14:textId="78B01BD8" w:rsidR="00854A6F" w:rsidRPr="00D5670D" w:rsidRDefault="009D4CE1" w:rsidP="00D5670D">
      <w:pPr>
        <w:numPr>
          <w:ilvl w:val="0"/>
          <w:numId w:val="2"/>
        </w:numPr>
        <w:jc w:val="both"/>
        <w:rPr>
          <w:rFonts w:ascii="Times New Roman" w:hAnsi="Times New Roman" w:cs="Times New Roman"/>
        </w:rPr>
      </w:pPr>
      <w:r w:rsidRPr="00C44889">
        <w:rPr>
          <w:rFonts w:ascii="Times New Roman" w:hAnsi="Times New Roman" w:cs="Times New Roman"/>
        </w:rPr>
        <w:t xml:space="preserve">Another important principle is summed up in a maxim </w:t>
      </w:r>
      <w:r w:rsidRPr="00C44889">
        <w:rPr>
          <w:rFonts w:ascii="Times New Roman" w:hAnsi="Times New Roman" w:cs="Times New Roman"/>
          <w:b/>
          <w:bCs/>
          <w:i/>
        </w:rPr>
        <w:t>quic quid plantatur solo solo cedit</w:t>
      </w:r>
      <w:r w:rsidRPr="00C44889">
        <w:rPr>
          <w:rFonts w:ascii="Times New Roman" w:hAnsi="Times New Roman" w:cs="Times New Roman"/>
        </w:rPr>
        <w:t xml:space="preserve"> meaning </w:t>
      </w:r>
      <w:r w:rsidRPr="00C44889">
        <w:rPr>
          <w:rFonts w:ascii="Times New Roman" w:hAnsi="Times New Roman" w:cs="Times New Roman"/>
          <w:b/>
          <w:bCs/>
          <w:i/>
          <w:iCs/>
        </w:rPr>
        <w:t xml:space="preserve">‘whatever is attached to the ground becomes a part of it’ </w:t>
      </w:r>
      <w:r w:rsidRPr="00C44889">
        <w:rPr>
          <w:rFonts w:ascii="Times New Roman" w:hAnsi="Times New Roman" w:cs="Times New Roman"/>
        </w:rPr>
        <w:t xml:space="preserve">or </w:t>
      </w:r>
      <w:r w:rsidRPr="00C44889">
        <w:rPr>
          <w:rFonts w:ascii="Times New Roman" w:hAnsi="Times New Roman" w:cs="Times New Roman"/>
          <w:b/>
          <w:bCs/>
          <w:i/>
          <w:iCs/>
        </w:rPr>
        <w:t>“whatever is affixed to the soil belongs to the soil”</w:t>
      </w:r>
      <w:r w:rsidRPr="00C44889">
        <w:rPr>
          <w:rFonts w:ascii="Times New Roman" w:hAnsi="Times New Roman" w:cs="Times New Roman"/>
        </w:rPr>
        <w:t>.</w:t>
      </w:r>
      <w:r w:rsidRPr="00C44889">
        <w:rPr>
          <w:rFonts w:ascii="Times New Roman" w:hAnsi="Times New Roman" w:cs="Times New Roman"/>
          <w:vertAlign w:val="superscript"/>
        </w:rPr>
        <w:footnoteReference w:id="7"/>
      </w:r>
      <w:r w:rsidRPr="00C44889">
        <w:rPr>
          <w:rFonts w:ascii="Times New Roman" w:hAnsi="Times New Roman" w:cs="Times New Roman"/>
        </w:rPr>
        <w:t xml:space="preserve"> According to this, a building constructed on the soil and things naturally growing in the land such as trees, </w:t>
      </w:r>
      <w:r w:rsidRPr="00C44889">
        <w:rPr>
          <w:rFonts w:ascii="Times New Roman" w:hAnsi="Times New Roman" w:cs="Times New Roman"/>
          <w:b/>
          <w:bCs/>
        </w:rPr>
        <w:t xml:space="preserve">become part of the land. </w:t>
      </w:r>
      <w:r w:rsidRPr="00C44889">
        <w:rPr>
          <w:rFonts w:ascii="Times New Roman" w:hAnsi="Times New Roman" w:cs="Times New Roman"/>
        </w:rPr>
        <w:t xml:space="preserve">Some common law cases explored this principle in more depth such </w:t>
      </w:r>
      <w:r w:rsidRPr="00D5670D">
        <w:rPr>
          <w:rFonts w:ascii="Times New Roman" w:hAnsi="Times New Roman" w:cs="Times New Roman"/>
        </w:rPr>
        <w:t xml:space="preserve">as </w:t>
      </w:r>
      <w:hyperlink r:id="rId11" w:tooltip="Holland v Hodgson (page does not exist)" w:history="1">
        <w:r w:rsidRPr="00D5670D">
          <w:rPr>
            <w:rStyle w:val="Hyperlink"/>
            <w:rFonts w:ascii="Times New Roman" w:hAnsi="Times New Roman" w:cs="Times New Roman"/>
            <w:b/>
            <w:bCs/>
            <w:i/>
            <w:iCs/>
            <w:color w:val="auto"/>
          </w:rPr>
          <w:t>Holland v Hodgson</w:t>
        </w:r>
      </w:hyperlink>
      <w:r w:rsidRPr="00D5670D">
        <w:rPr>
          <w:rFonts w:ascii="Times New Roman" w:hAnsi="Times New Roman" w:cs="Times New Roman"/>
        </w:rPr>
        <w:t>.</w:t>
      </w:r>
      <w:r w:rsidRPr="00D5670D">
        <w:rPr>
          <w:rFonts w:ascii="Times New Roman" w:hAnsi="Times New Roman" w:cs="Times New Roman"/>
          <w:vertAlign w:val="superscript"/>
        </w:rPr>
        <w:footnoteReference w:id="8"/>
      </w:r>
      <w:r w:rsidRPr="00D5670D">
        <w:rPr>
          <w:rFonts w:ascii="Times New Roman" w:hAnsi="Times New Roman" w:cs="Times New Roman"/>
        </w:rPr>
        <w:t xml:space="preserve"> </w:t>
      </w:r>
      <w:r w:rsidRPr="00C44889">
        <w:rPr>
          <w:rFonts w:ascii="Times New Roman" w:hAnsi="Times New Roman" w:cs="Times New Roman"/>
        </w:rPr>
        <w:t xml:space="preserve">The context was the question of whether looms installed in a factory formed part of the land. Blackburn J said that an object resting on the ground and "attached" to it only by its weight will not normally be part of the land, but it is relevant to ask what was intended. So, for example, a pile of stones in a field is not part of the land, but if the stones are arranged </w:t>
      </w:r>
      <w:r w:rsidRPr="00D5670D">
        <w:rPr>
          <w:rFonts w:ascii="Times New Roman" w:hAnsi="Times New Roman" w:cs="Times New Roman"/>
        </w:rPr>
        <w:t>into a </w:t>
      </w:r>
      <w:hyperlink r:id="rId12" w:tooltip="Dry stone wall" w:history="1">
        <w:r w:rsidRPr="00D5670D">
          <w:rPr>
            <w:rStyle w:val="Hyperlink"/>
            <w:rFonts w:ascii="Times New Roman" w:hAnsi="Times New Roman" w:cs="Times New Roman"/>
            <w:color w:val="auto"/>
            <w:u w:val="none"/>
          </w:rPr>
          <w:t>dry stone wall</w:t>
        </w:r>
      </w:hyperlink>
      <w:r w:rsidRPr="00D5670D">
        <w:rPr>
          <w:rFonts w:ascii="Times New Roman" w:hAnsi="Times New Roman" w:cs="Times New Roman"/>
        </w:rPr>
        <w:t xml:space="preserve"> then </w:t>
      </w:r>
      <w:r w:rsidRPr="00C44889">
        <w:rPr>
          <w:rFonts w:ascii="Times New Roman" w:hAnsi="Times New Roman" w:cs="Times New Roman"/>
        </w:rPr>
        <w:t xml:space="preserve">the wall has become a part of it. </w:t>
      </w:r>
      <w:r w:rsidRPr="00D5670D">
        <w:rPr>
          <w:rFonts w:ascii="Times New Roman" w:hAnsi="Times New Roman" w:cs="Times New Roman"/>
        </w:rPr>
        <w:t>In </w:t>
      </w:r>
      <w:hyperlink r:id="rId13" w:tooltip="Botham v TSB Plc (page does not exist)" w:history="1">
        <w:r w:rsidRPr="00D5670D">
          <w:rPr>
            <w:rStyle w:val="Hyperlink"/>
            <w:rFonts w:ascii="Times New Roman" w:hAnsi="Times New Roman" w:cs="Times New Roman"/>
            <w:b/>
            <w:bCs/>
            <w:i/>
            <w:iCs/>
            <w:color w:val="auto"/>
          </w:rPr>
          <w:t>Botham v TSB Plc</w:t>
        </w:r>
      </w:hyperlink>
      <w:r w:rsidRPr="00D5670D">
        <w:rPr>
          <w:rFonts w:ascii="Times New Roman" w:hAnsi="Times New Roman" w:cs="Times New Roman"/>
          <w:b/>
          <w:bCs/>
          <w:i/>
          <w:iCs/>
          <w:u w:val="single"/>
          <w:vertAlign w:val="superscript"/>
        </w:rPr>
        <w:footnoteReference w:id="9"/>
      </w:r>
      <w:r w:rsidRPr="00D5670D">
        <w:rPr>
          <w:rFonts w:ascii="Times New Roman" w:hAnsi="Times New Roman" w:cs="Times New Roman"/>
        </w:rPr>
        <w:t> it was decided at appeal that things easily removed, such as curtains and carpets, are not part of the land, but things not easily removed, such as taps and plugs, are. In </w:t>
      </w:r>
      <w:hyperlink r:id="rId14" w:tooltip="Chelsea Yacht and Boat Club v Pope" w:history="1">
        <w:r w:rsidRPr="00D5670D">
          <w:rPr>
            <w:rStyle w:val="Hyperlink"/>
            <w:rFonts w:ascii="Times New Roman" w:hAnsi="Times New Roman" w:cs="Times New Roman"/>
            <w:b/>
            <w:bCs/>
            <w:i/>
            <w:iCs/>
            <w:color w:val="auto"/>
          </w:rPr>
          <w:t>Chelsea Yacht and Boat Club v Pope</w:t>
        </w:r>
      </w:hyperlink>
      <w:r w:rsidRPr="00D5670D">
        <w:rPr>
          <w:rFonts w:ascii="Times New Roman" w:hAnsi="Times New Roman" w:cs="Times New Roman"/>
          <w:b/>
          <w:bCs/>
          <w:i/>
          <w:iCs/>
          <w:u w:val="single"/>
          <w:vertAlign w:val="superscript"/>
        </w:rPr>
        <w:footnoteReference w:id="10"/>
      </w:r>
      <w:r w:rsidRPr="00D5670D">
        <w:rPr>
          <w:rFonts w:ascii="Times New Roman" w:hAnsi="Times New Roman" w:cs="Times New Roman"/>
        </w:rPr>
        <w:t xml:space="preserve"> it was held that a houseboat does not form part of the land because it is insufficiently fixed</w:t>
      </w:r>
      <w:r w:rsidRPr="00C44889">
        <w:rPr>
          <w:rFonts w:ascii="Times New Roman" w:hAnsi="Times New Roman" w:cs="Times New Roman"/>
        </w:rPr>
        <w:t>.</w:t>
      </w:r>
    </w:p>
    <w:p w14:paraId="697A9967" w14:textId="77777777" w:rsidR="009D4CE1" w:rsidRPr="00C44889" w:rsidRDefault="009D4CE1" w:rsidP="00D66CCB">
      <w:pPr>
        <w:jc w:val="both"/>
        <w:rPr>
          <w:rFonts w:ascii="Times New Roman" w:hAnsi="Times New Roman" w:cs="Times New Roman"/>
        </w:rPr>
      </w:pPr>
      <w:r w:rsidRPr="00C44889">
        <w:rPr>
          <w:rFonts w:ascii="Times New Roman" w:hAnsi="Times New Roman" w:cs="Times New Roman"/>
        </w:rPr>
        <w:t>Land as a legal concept is incapable of a definition. While we try to define, we only end up describing it. By way of description however, the common law of conception of land is that it is made up of:</w:t>
      </w:r>
    </w:p>
    <w:p w14:paraId="1F5BF7BC" w14:textId="77777777" w:rsidR="009D4CE1" w:rsidRPr="00C44889" w:rsidRDefault="009D4CE1" w:rsidP="00D66CCB">
      <w:pPr>
        <w:jc w:val="both"/>
        <w:rPr>
          <w:rFonts w:ascii="Times New Roman" w:hAnsi="Times New Roman" w:cs="Times New Roman"/>
          <w:b/>
          <w:bCs/>
          <w:i/>
          <w:iCs/>
        </w:rPr>
      </w:pPr>
      <w:r w:rsidRPr="00C44889">
        <w:rPr>
          <w:rFonts w:ascii="Times New Roman" w:hAnsi="Times New Roman" w:cs="Times New Roman"/>
          <w:b/>
          <w:bCs/>
          <w:i/>
          <w:iCs/>
        </w:rPr>
        <w:t>a) The surface of the soil or the earth surface.</w:t>
      </w:r>
    </w:p>
    <w:p w14:paraId="263BAFAE" w14:textId="77777777" w:rsidR="009D4CE1" w:rsidRPr="00C44889" w:rsidRDefault="009D4CE1" w:rsidP="00D66CCB">
      <w:pPr>
        <w:jc w:val="both"/>
        <w:rPr>
          <w:rFonts w:ascii="Times New Roman" w:hAnsi="Times New Roman" w:cs="Times New Roman"/>
          <w:b/>
          <w:bCs/>
          <w:i/>
          <w:iCs/>
        </w:rPr>
      </w:pPr>
      <w:r w:rsidRPr="00C44889">
        <w:rPr>
          <w:rFonts w:ascii="Times New Roman" w:hAnsi="Times New Roman" w:cs="Times New Roman"/>
          <w:b/>
          <w:bCs/>
          <w:i/>
          <w:iCs/>
        </w:rPr>
        <w:t>b) Everything naturally growing or attached to the surface of the soil.</w:t>
      </w:r>
    </w:p>
    <w:p w14:paraId="5ACF6B85" w14:textId="77777777" w:rsidR="009D4CE1" w:rsidRPr="00C44889" w:rsidRDefault="009D4CE1" w:rsidP="00D66CCB">
      <w:pPr>
        <w:jc w:val="both"/>
        <w:rPr>
          <w:rFonts w:ascii="Times New Roman" w:hAnsi="Times New Roman" w:cs="Times New Roman"/>
          <w:b/>
          <w:bCs/>
          <w:i/>
          <w:iCs/>
        </w:rPr>
      </w:pPr>
      <w:r w:rsidRPr="00C44889">
        <w:rPr>
          <w:rFonts w:ascii="Times New Roman" w:hAnsi="Times New Roman" w:cs="Times New Roman"/>
          <w:b/>
          <w:bCs/>
          <w:i/>
          <w:iCs/>
        </w:rPr>
        <w:t>c) Everything inside the sub soil.</w:t>
      </w:r>
    </w:p>
    <w:p w14:paraId="625CA7D4" w14:textId="77777777" w:rsidR="009D4CE1" w:rsidRPr="00C44889" w:rsidRDefault="009D4CE1" w:rsidP="00D66CCB">
      <w:pPr>
        <w:jc w:val="both"/>
        <w:rPr>
          <w:rFonts w:ascii="Times New Roman" w:hAnsi="Times New Roman" w:cs="Times New Roman"/>
          <w:b/>
          <w:bCs/>
          <w:i/>
          <w:iCs/>
        </w:rPr>
      </w:pPr>
      <w:r w:rsidRPr="00C44889">
        <w:rPr>
          <w:rFonts w:ascii="Times New Roman" w:hAnsi="Times New Roman" w:cs="Times New Roman"/>
          <w:b/>
          <w:bCs/>
          <w:i/>
          <w:iCs/>
        </w:rPr>
        <w:t>d) The airspace above the soil.</w:t>
      </w:r>
    </w:p>
    <w:p w14:paraId="179F5A0B" w14:textId="77777777" w:rsidR="009D4CE1" w:rsidRPr="00C44889" w:rsidRDefault="009D4CE1" w:rsidP="00D66CCB">
      <w:pPr>
        <w:jc w:val="both"/>
        <w:rPr>
          <w:rFonts w:ascii="Times New Roman" w:hAnsi="Times New Roman" w:cs="Times New Roman"/>
        </w:rPr>
      </w:pPr>
      <w:r w:rsidRPr="00C44889">
        <w:rPr>
          <w:rFonts w:ascii="Times New Roman" w:hAnsi="Times New Roman" w:cs="Times New Roman"/>
          <w:b/>
          <w:bCs/>
          <w:i/>
          <w:iCs/>
        </w:rPr>
        <w:t>e) Things artificially attached to the soil.</w:t>
      </w:r>
      <w:r w:rsidRPr="00C44889">
        <w:rPr>
          <w:rFonts w:ascii="Times New Roman" w:hAnsi="Times New Roman" w:cs="Times New Roman"/>
          <w:b/>
          <w:bCs/>
          <w:i/>
          <w:iCs/>
          <w:vertAlign w:val="superscript"/>
        </w:rPr>
        <w:footnoteReference w:id="11"/>
      </w:r>
    </w:p>
    <w:p w14:paraId="574E0C4C" w14:textId="29950DE4" w:rsidR="009D4CE1" w:rsidRDefault="009D4CE1" w:rsidP="00D66CCB">
      <w:pPr>
        <w:jc w:val="both"/>
        <w:rPr>
          <w:rFonts w:ascii="Times New Roman" w:hAnsi="Times New Roman" w:cs="Times New Roman"/>
        </w:rPr>
      </w:pPr>
      <w:bookmarkStart w:id="1" w:name="_Hlk158532598"/>
      <w:r w:rsidRPr="00C44889">
        <w:rPr>
          <w:rFonts w:ascii="Times New Roman" w:hAnsi="Times New Roman" w:cs="Times New Roman"/>
        </w:rPr>
        <w:t xml:space="preserve">Such artificial attachment must be for permanent purpose. While land like every other commodity of commerce can be bought, sold and owned, its two distinctive features are that it is </w:t>
      </w:r>
      <w:r w:rsidRPr="00C44889">
        <w:rPr>
          <w:rFonts w:ascii="Times New Roman" w:hAnsi="Times New Roman" w:cs="Times New Roman"/>
          <w:b/>
          <w:bCs/>
          <w:i/>
          <w:iCs/>
        </w:rPr>
        <w:t>immovable</w:t>
      </w:r>
      <w:r w:rsidRPr="00C44889">
        <w:rPr>
          <w:rFonts w:ascii="Times New Roman" w:hAnsi="Times New Roman" w:cs="Times New Roman"/>
        </w:rPr>
        <w:t xml:space="preserve"> and </w:t>
      </w:r>
      <w:r w:rsidRPr="00C44889">
        <w:rPr>
          <w:rFonts w:ascii="Times New Roman" w:hAnsi="Times New Roman" w:cs="Times New Roman"/>
          <w:b/>
          <w:bCs/>
          <w:i/>
          <w:iCs/>
        </w:rPr>
        <w:t>permanent</w:t>
      </w:r>
      <w:r w:rsidRPr="00C44889">
        <w:rPr>
          <w:rFonts w:ascii="Times New Roman" w:hAnsi="Times New Roman" w:cs="Times New Roman"/>
        </w:rPr>
        <w:t>.</w:t>
      </w:r>
    </w:p>
    <w:p w14:paraId="5642A6BD" w14:textId="0DBF8565" w:rsidR="009B646E" w:rsidRDefault="009B646E" w:rsidP="00D66CCB">
      <w:pPr>
        <w:jc w:val="both"/>
        <w:rPr>
          <w:rFonts w:ascii="Times New Roman" w:hAnsi="Times New Roman" w:cs="Times New Roman"/>
        </w:rPr>
      </w:pPr>
    </w:p>
    <w:p w14:paraId="076D26F2" w14:textId="530E6243" w:rsidR="009B646E" w:rsidRDefault="009B646E" w:rsidP="00D66CCB">
      <w:pPr>
        <w:jc w:val="both"/>
        <w:rPr>
          <w:rFonts w:ascii="Times New Roman" w:hAnsi="Times New Roman" w:cs="Times New Roman"/>
          <w:b/>
          <w:bCs/>
          <w:u w:val="single"/>
        </w:rPr>
      </w:pPr>
      <w:r w:rsidRPr="009B646E">
        <w:rPr>
          <w:rFonts w:ascii="Times New Roman" w:hAnsi="Times New Roman" w:cs="Times New Roman"/>
          <w:b/>
          <w:bCs/>
          <w:u w:val="single"/>
        </w:rPr>
        <w:lastRenderedPageBreak/>
        <w:t>STATUTORY DEFNITIONS OF LAND</w:t>
      </w:r>
    </w:p>
    <w:p w14:paraId="6C726F94" w14:textId="4E1DB900" w:rsidR="004A46C3" w:rsidRDefault="00E815E8" w:rsidP="00D66CCB">
      <w:pPr>
        <w:jc w:val="both"/>
        <w:rPr>
          <w:rFonts w:ascii="Times New Roman" w:hAnsi="Times New Roman" w:cs="Times New Roman"/>
        </w:rPr>
      </w:pPr>
      <w:r>
        <w:rPr>
          <w:rFonts w:ascii="Times New Roman" w:hAnsi="Times New Roman" w:cs="Times New Roman"/>
        </w:rPr>
        <w:t>Under the Constitution of 2010 Article 260 “land”</w:t>
      </w:r>
      <w:r w:rsidRPr="00E815E8">
        <w:rPr>
          <w:rFonts w:ascii="Times New Roman" w:hAnsi="Times New Roman" w:cs="Times New Roman"/>
        </w:rPr>
        <w:t xml:space="preserve"> includes the surface of the earth and the subsurface rock; any body of water on or under the surface;</w:t>
      </w:r>
      <w:r>
        <w:rPr>
          <w:rFonts w:ascii="Times New Roman" w:hAnsi="Times New Roman" w:cs="Times New Roman"/>
        </w:rPr>
        <w:t xml:space="preserve"> </w:t>
      </w:r>
      <w:r w:rsidRPr="00E815E8">
        <w:rPr>
          <w:rFonts w:ascii="Times New Roman" w:hAnsi="Times New Roman" w:cs="Times New Roman"/>
        </w:rPr>
        <w:t>marine waters in the territorial sea and exclusive economic zone;</w:t>
      </w:r>
      <w:r>
        <w:rPr>
          <w:rFonts w:ascii="Times New Roman" w:hAnsi="Times New Roman" w:cs="Times New Roman"/>
        </w:rPr>
        <w:t xml:space="preserve"> </w:t>
      </w:r>
      <w:r w:rsidRPr="00E815E8">
        <w:rPr>
          <w:rFonts w:ascii="Times New Roman" w:hAnsi="Times New Roman" w:cs="Times New Roman"/>
        </w:rPr>
        <w:t>natural resources completely contained on or under the surface; and</w:t>
      </w:r>
      <w:r>
        <w:rPr>
          <w:rFonts w:ascii="Times New Roman" w:hAnsi="Times New Roman" w:cs="Times New Roman"/>
        </w:rPr>
        <w:t xml:space="preserve"> </w:t>
      </w:r>
      <w:r w:rsidRPr="00E815E8">
        <w:rPr>
          <w:rFonts w:ascii="Times New Roman" w:hAnsi="Times New Roman" w:cs="Times New Roman"/>
        </w:rPr>
        <w:t>the air space above the surface;</w:t>
      </w:r>
      <w:r w:rsidR="00D5670D">
        <w:rPr>
          <w:rStyle w:val="FootnoteReference"/>
          <w:rFonts w:ascii="Times New Roman" w:hAnsi="Times New Roman" w:cs="Times New Roman"/>
        </w:rPr>
        <w:footnoteReference w:id="12"/>
      </w:r>
    </w:p>
    <w:p w14:paraId="5919F9B6" w14:textId="77777777" w:rsidR="00E16BE8" w:rsidRDefault="009B646E" w:rsidP="00E16BE8">
      <w:pPr>
        <w:jc w:val="both"/>
        <w:rPr>
          <w:rFonts w:ascii="Times New Roman" w:hAnsi="Times New Roman" w:cs="Times New Roman"/>
        </w:rPr>
      </w:pPr>
      <w:r>
        <w:rPr>
          <w:rFonts w:ascii="Times New Roman" w:hAnsi="Times New Roman" w:cs="Times New Roman"/>
        </w:rPr>
        <w:t xml:space="preserve">Under </w:t>
      </w:r>
      <w:bookmarkStart w:id="2" w:name="_Hlk158547594"/>
      <w:r>
        <w:rPr>
          <w:rFonts w:ascii="Times New Roman" w:hAnsi="Times New Roman" w:cs="Times New Roman"/>
        </w:rPr>
        <w:t>the Land Act No. 6 of 2012</w:t>
      </w:r>
      <w:bookmarkEnd w:id="2"/>
      <w:r>
        <w:rPr>
          <w:rFonts w:ascii="Times New Roman" w:hAnsi="Times New Roman" w:cs="Times New Roman"/>
        </w:rPr>
        <w:t xml:space="preserve">, </w:t>
      </w:r>
      <w:r w:rsidRPr="009B646E">
        <w:rPr>
          <w:rFonts w:ascii="Times New Roman" w:hAnsi="Times New Roman" w:cs="Times New Roman"/>
        </w:rPr>
        <w:t>“land” has the meaning assigned to it in Article 260 of the Constitution;</w:t>
      </w:r>
      <w:r w:rsidR="00D5670D">
        <w:rPr>
          <w:rStyle w:val="FootnoteReference"/>
          <w:rFonts w:ascii="Times New Roman" w:hAnsi="Times New Roman" w:cs="Times New Roman"/>
        </w:rPr>
        <w:footnoteReference w:id="13"/>
      </w:r>
      <w:r w:rsidR="00865F69">
        <w:rPr>
          <w:rFonts w:ascii="Times New Roman" w:hAnsi="Times New Roman" w:cs="Times New Roman"/>
        </w:rPr>
        <w:t xml:space="preserve"> </w:t>
      </w:r>
      <w:r>
        <w:rPr>
          <w:rFonts w:ascii="Times New Roman" w:hAnsi="Times New Roman" w:cs="Times New Roman"/>
        </w:rPr>
        <w:t xml:space="preserve">Under the </w:t>
      </w:r>
      <w:bookmarkStart w:id="3" w:name="_Hlk158547632"/>
      <w:r>
        <w:rPr>
          <w:rFonts w:ascii="Times New Roman" w:hAnsi="Times New Roman" w:cs="Times New Roman"/>
        </w:rPr>
        <w:t>Land Registration Act of 2012</w:t>
      </w:r>
      <w:bookmarkEnd w:id="3"/>
      <w:r>
        <w:rPr>
          <w:rFonts w:ascii="Times New Roman" w:hAnsi="Times New Roman" w:cs="Times New Roman"/>
        </w:rPr>
        <w:t xml:space="preserve">, </w:t>
      </w:r>
      <w:r w:rsidRPr="009B646E">
        <w:rPr>
          <w:rFonts w:ascii="Times New Roman" w:hAnsi="Times New Roman" w:cs="Times New Roman"/>
        </w:rPr>
        <w:t>“land” has the meaning assigned to it under Article 260 of the Constitution;</w:t>
      </w:r>
      <w:r w:rsidR="00D5670D">
        <w:rPr>
          <w:rStyle w:val="FootnoteReference"/>
          <w:rFonts w:ascii="Times New Roman" w:hAnsi="Times New Roman" w:cs="Times New Roman"/>
        </w:rPr>
        <w:footnoteReference w:id="14"/>
      </w:r>
      <w:r>
        <w:rPr>
          <w:rFonts w:ascii="Times New Roman" w:hAnsi="Times New Roman" w:cs="Times New Roman"/>
        </w:rPr>
        <w:t xml:space="preserve">Under </w:t>
      </w:r>
      <w:bookmarkStart w:id="4" w:name="_Hlk158547693"/>
      <w:r>
        <w:rPr>
          <w:rFonts w:ascii="Times New Roman" w:hAnsi="Times New Roman" w:cs="Times New Roman"/>
        </w:rPr>
        <w:t>the Land Control Act 34 of</w:t>
      </w:r>
      <w:r w:rsidR="004A46C3">
        <w:rPr>
          <w:rFonts w:ascii="Times New Roman" w:hAnsi="Times New Roman" w:cs="Times New Roman"/>
        </w:rPr>
        <w:t xml:space="preserve"> 1967</w:t>
      </w:r>
      <w:bookmarkEnd w:id="4"/>
      <w:r w:rsidR="004A46C3">
        <w:rPr>
          <w:rFonts w:ascii="Times New Roman" w:hAnsi="Times New Roman" w:cs="Times New Roman"/>
        </w:rPr>
        <w:t xml:space="preserve">, </w:t>
      </w:r>
      <w:r w:rsidR="004A46C3" w:rsidRPr="004A46C3">
        <w:rPr>
          <w:rFonts w:ascii="Times New Roman" w:hAnsi="Times New Roman" w:cs="Times New Roman"/>
        </w:rPr>
        <w:t>“land” includes an estate, interest or right in land;</w:t>
      </w:r>
      <w:r w:rsidR="00E815E8">
        <w:rPr>
          <w:rFonts w:ascii="Times New Roman" w:hAnsi="Times New Roman" w:cs="Times New Roman"/>
        </w:rPr>
        <w:t xml:space="preserve"> </w:t>
      </w:r>
      <w:r w:rsidR="00E16BE8">
        <w:rPr>
          <w:rFonts w:ascii="Times New Roman" w:hAnsi="Times New Roman" w:cs="Times New Roman"/>
        </w:rPr>
        <w:t>while a</w:t>
      </w:r>
      <w:r w:rsidR="00E16BE8" w:rsidRPr="00E16BE8">
        <w:rPr>
          <w:rFonts w:ascii="Times New Roman" w:hAnsi="Times New Roman" w:cs="Times New Roman"/>
        </w:rPr>
        <w:t>gricultural Land is defined as:</w:t>
      </w:r>
      <w:r w:rsidR="00E16BE8" w:rsidRPr="00E16BE8">
        <w:rPr>
          <w:rFonts w:ascii="Times New Roman" w:hAnsi="Times New Roman" w:cs="Times New Roman"/>
          <w:b/>
          <w:bCs/>
        </w:rPr>
        <w:t xml:space="preserve"> </w:t>
      </w:r>
      <w:r w:rsidR="00E16BE8" w:rsidRPr="00E16BE8">
        <w:rPr>
          <w:rFonts w:ascii="Times New Roman" w:hAnsi="Times New Roman" w:cs="Times New Roman"/>
        </w:rPr>
        <w:t>land that is not within—</w:t>
      </w:r>
    </w:p>
    <w:p w14:paraId="04F60055" w14:textId="6C7775F9" w:rsidR="00E16BE8" w:rsidRPr="00E16BE8" w:rsidRDefault="00E16BE8" w:rsidP="00E16BE8">
      <w:pPr>
        <w:pStyle w:val="ListParagraph"/>
        <w:numPr>
          <w:ilvl w:val="0"/>
          <w:numId w:val="7"/>
        </w:numPr>
        <w:jc w:val="both"/>
        <w:rPr>
          <w:rFonts w:ascii="Times New Roman" w:hAnsi="Times New Roman" w:cs="Times New Roman"/>
        </w:rPr>
      </w:pPr>
      <w:r w:rsidRPr="00E16BE8">
        <w:rPr>
          <w:rFonts w:ascii="Times New Roman" w:hAnsi="Times New Roman" w:cs="Times New Roman"/>
        </w:rPr>
        <w:t xml:space="preserve">a municipality or a township; </w:t>
      </w:r>
    </w:p>
    <w:p w14:paraId="359B7785" w14:textId="77777777" w:rsidR="00E16BE8" w:rsidRDefault="00E16BE8" w:rsidP="00E16BE8">
      <w:pPr>
        <w:pStyle w:val="ListParagraph"/>
        <w:numPr>
          <w:ilvl w:val="0"/>
          <w:numId w:val="7"/>
        </w:numPr>
        <w:jc w:val="both"/>
        <w:rPr>
          <w:rFonts w:ascii="Times New Roman" w:hAnsi="Times New Roman" w:cs="Times New Roman"/>
        </w:rPr>
      </w:pPr>
      <w:r w:rsidRPr="00E16BE8">
        <w:rPr>
          <w:rFonts w:ascii="Times New Roman" w:hAnsi="Times New Roman" w:cs="Times New Roman"/>
        </w:rPr>
        <w:t xml:space="preserve">(ii) an area which was, on or at any time after the 1st July 1952, a township under the Townships Act (Cap. 133, 1948 now repealed); or </w:t>
      </w:r>
    </w:p>
    <w:p w14:paraId="784F9299" w14:textId="59BD135B" w:rsidR="00E16BE8" w:rsidRDefault="00E16BE8" w:rsidP="00E16BE8">
      <w:pPr>
        <w:pStyle w:val="ListParagraph"/>
        <w:numPr>
          <w:ilvl w:val="0"/>
          <w:numId w:val="7"/>
        </w:numPr>
        <w:jc w:val="both"/>
        <w:rPr>
          <w:rFonts w:ascii="Times New Roman" w:hAnsi="Times New Roman" w:cs="Times New Roman"/>
        </w:rPr>
      </w:pPr>
      <w:r w:rsidRPr="00E16BE8">
        <w:rPr>
          <w:rFonts w:ascii="Times New Roman" w:hAnsi="Times New Roman" w:cs="Times New Roman"/>
        </w:rPr>
        <w:t>an area which was, on or at any time after the 1st July 1952, a trading cente</w:t>
      </w:r>
      <w:r>
        <w:rPr>
          <w:rFonts w:ascii="Times New Roman" w:hAnsi="Times New Roman" w:cs="Times New Roman"/>
        </w:rPr>
        <w:t>r</w:t>
      </w:r>
      <w:r w:rsidRPr="00E16BE8">
        <w:rPr>
          <w:rFonts w:ascii="Times New Roman" w:hAnsi="Times New Roman" w:cs="Times New Roman"/>
        </w:rPr>
        <w:t xml:space="preserve"> under the Trading Cente</w:t>
      </w:r>
      <w:r>
        <w:rPr>
          <w:rFonts w:ascii="Times New Roman" w:hAnsi="Times New Roman" w:cs="Times New Roman"/>
        </w:rPr>
        <w:t>r</w:t>
      </w:r>
      <w:r w:rsidRPr="00E16BE8">
        <w:rPr>
          <w:rFonts w:ascii="Times New Roman" w:hAnsi="Times New Roman" w:cs="Times New Roman"/>
        </w:rPr>
        <w:t xml:space="preserve">s Act (Cap. 278, 1948 now repealed); or </w:t>
      </w:r>
    </w:p>
    <w:p w14:paraId="454EF02F" w14:textId="23C28406" w:rsidR="00E16BE8" w:rsidRPr="00E16BE8" w:rsidRDefault="00E16BE8" w:rsidP="00E16BE8">
      <w:pPr>
        <w:pStyle w:val="ListParagraph"/>
        <w:numPr>
          <w:ilvl w:val="0"/>
          <w:numId w:val="7"/>
        </w:numPr>
        <w:jc w:val="both"/>
        <w:rPr>
          <w:rFonts w:ascii="Times New Roman" w:hAnsi="Times New Roman" w:cs="Times New Roman"/>
        </w:rPr>
      </w:pPr>
      <w:r w:rsidRPr="00E16BE8">
        <w:rPr>
          <w:rFonts w:ascii="Times New Roman" w:hAnsi="Times New Roman" w:cs="Times New Roman"/>
        </w:rPr>
        <w:t>(iv) a market.</w:t>
      </w:r>
    </w:p>
    <w:p w14:paraId="006110DF" w14:textId="1EDEBBA1" w:rsidR="00E16BE8" w:rsidRPr="00E16BE8" w:rsidRDefault="00E16BE8" w:rsidP="00E16BE8">
      <w:pPr>
        <w:jc w:val="both"/>
        <w:rPr>
          <w:rFonts w:ascii="Times New Roman" w:hAnsi="Times New Roman" w:cs="Times New Roman"/>
        </w:rPr>
      </w:pPr>
      <w:r w:rsidRPr="00E16BE8">
        <w:rPr>
          <w:rFonts w:ascii="Times New Roman" w:hAnsi="Times New Roman" w:cs="Times New Roman"/>
        </w:rPr>
        <w:t>Municipal land is defined as: land in the Nairobi Area or in any municipality, township or urban cente</w:t>
      </w:r>
      <w:r>
        <w:rPr>
          <w:rFonts w:ascii="Times New Roman" w:hAnsi="Times New Roman" w:cs="Times New Roman"/>
        </w:rPr>
        <w:t>r</w:t>
      </w:r>
      <w:r w:rsidRPr="00E16BE8">
        <w:rPr>
          <w:rFonts w:ascii="Times New Roman" w:hAnsi="Times New Roman" w:cs="Times New Roman"/>
        </w:rPr>
        <w:t xml:space="preserve"> that is declared by the Minister, by notice in the Gazette, to be agricultural land for the purposes of this Act.</w:t>
      </w:r>
      <w:r w:rsidRPr="00E16BE8">
        <w:rPr>
          <w:rFonts w:ascii="Times New Roman" w:hAnsi="Times New Roman" w:cs="Times New Roman"/>
          <w:vertAlign w:val="superscript"/>
        </w:rPr>
        <w:footnoteReference w:id="15"/>
      </w:r>
    </w:p>
    <w:p w14:paraId="02352F35" w14:textId="26D0EDAA" w:rsidR="00D5670D" w:rsidRPr="00E16BE8" w:rsidRDefault="00D5670D" w:rsidP="00D66CCB">
      <w:pPr>
        <w:jc w:val="both"/>
        <w:rPr>
          <w:rFonts w:ascii="Times New Roman" w:hAnsi="Times New Roman" w:cs="Times New Roman"/>
        </w:rPr>
      </w:pPr>
      <w:r w:rsidRPr="00E16BE8">
        <w:rPr>
          <w:rStyle w:val="FootnoteReference"/>
          <w:rFonts w:ascii="Times New Roman" w:hAnsi="Times New Roman" w:cs="Times New Roman"/>
        </w:rPr>
        <w:footnoteReference w:id="16"/>
      </w:r>
      <w:r w:rsidR="00865F69" w:rsidRPr="00E16BE8">
        <w:rPr>
          <w:rFonts w:ascii="Times New Roman" w:hAnsi="Times New Roman" w:cs="Times New Roman"/>
        </w:rPr>
        <w:t xml:space="preserve"> </w:t>
      </w:r>
      <w:r w:rsidR="00E815E8" w:rsidRPr="00E16BE8">
        <w:rPr>
          <w:rFonts w:ascii="Times New Roman" w:hAnsi="Times New Roman" w:cs="Times New Roman"/>
        </w:rPr>
        <w:t xml:space="preserve">Post promulgation of the 2010 constitution, the relevant Land Statutory </w:t>
      </w:r>
      <w:r w:rsidR="003C7642" w:rsidRPr="00E16BE8">
        <w:rPr>
          <w:rFonts w:ascii="Times New Roman" w:hAnsi="Times New Roman" w:cs="Times New Roman"/>
        </w:rPr>
        <w:t>provisions seem to all draw their definitions of land from article 260.</w:t>
      </w:r>
    </w:p>
    <w:p w14:paraId="42FA7BC1" w14:textId="66E5EFE8" w:rsidR="004A46C3" w:rsidRPr="00D5670D" w:rsidRDefault="00D5670D" w:rsidP="00D66CCB">
      <w:pPr>
        <w:jc w:val="both"/>
        <w:rPr>
          <w:rFonts w:ascii="Times New Roman" w:hAnsi="Times New Roman" w:cs="Times New Roman"/>
          <w:b/>
          <w:bCs/>
          <w:u w:val="single"/>
        </w:rPr>
      </w:pPr>
      <w:r w:rsidRPr="00D5670D">
        <w:rPr>
          <w:rFonts w:ascii="Times New Roman" w:hAnsi="Times New Roman" w:cs="Times New Roman"/>
          <w:b/>
          <w:bCs/>
          <w:u w:val="single"/>
        </w:rPr>
        <w:t>STATUTORY EXCEPTIONS</w:t>
      </w:r>
      <w:r w:rsidR="00865F69">
        <w:rPr>
          <w:rFonts w:ascii="Times New Roman" w:hAnsi="Times New Roman" w:cs="Times New Roman"/>
          <w:b/>
          <w:bCs/>
          <w:u w:val="single"/>
        </w:rPr>
        <w:t xml:space="preserve"> TO THE DEFINITIONS</w:t>
      </w:r>
      <w:r w:rsidRPr="00D5670D">
        <w:rPr>
          <w:rFonts w:ascii="Times New Roman" w:hAnsi="Times New Roman" w:cs="Times New Roman"/>
          <w:b/>
          <w:bCs/>
          <w:u w:val="single"/>
        </w:rPr>
        <w:t xml:space="preserve"> OF LAND</w:t>
      </w:r>
      <w:r w:rsidR="003C7642" w:rsidRPr="00D5670D">
        <w:rPr>
          <w:rFonts w:ascii="Times New Roman" w:hAnsi="Times New Roman" w:cs="Times New Roman"/>
          <w:b/>
          <w:bCs/>
          <w:u w:val="single"/>
        </w:rPr>
        <w:t xml:space="preserve"> </w:t>
      </w:r>
    </w:p>
    <w:p w14:paraId="5D4EEBE2" w14:textId="77777777" w:rsidR="00D5670D" w:rsidRPr="00D5670D" w:rsidRDefault="00D5670D" w:rsidP="00D5670D">
      <w:pPr>
        <w:numPr>
          <w:ilvl w:val="0"/>
          <w:numId w:val="5"/>
        </w:numPr>
        <w:jc w:val="both"/>
        <w:rPr>
          <w:rFonts w:ascii="Times New Roman" w:hAnsi="Times New Roman" w:cs="Times New Roman"/>
        </w:rPr>
      </w:pPr>
      <w:r w:rsidRPr="00D5670D">
        <w:rPr>
          <w:rFonts w:ascii="Times New Roman" w:hAnsi="Times New Roman" w:cs="Times New Roman"/>
        </w:rPr>
        <w:t>The Water Act of 2016 section 7, states that, “no conveyance, lease or other instrument shall convey, assure, demise, transfer or vest in any person any property, right, interest or privilege in respect of any water resource except as may be prescribed under this Act.</w:t>
      </w:r>
    </w:p>
    <w:p w14:paraId="37BC1691" w14:textId="77777777" w:rsidR="00D5670D" w:rsidRPr="00D5670D" w:rsidRDefault="00D5670D" w:rsidP="00D5670D">
      <w:pPr>
        <w:numPr>
          <w:ilvl w:val="0"/>
          <w:numId w:val="5"/>
        </w:numPr>
        <w:jc w:val="both"/>
        <w:rPr>
          <w:rFonts w:ascii="Times New Roman" w:hAnsi="Times New Roman" w:cs="Times New Roman"/>
        </w:rPr>
      </w:pPr>
      <w:r w:rsidRPr="00D5670D">
        <w:rPr>
          <w:rFonts w:ascii="Times New Roman" w:hAnsi="Times New Roman" w:cs="Times New Roman"/>
        </w:rPr>
        <w:t>Section 6 of the Mining Act 2016 Act specifies that every mineral is the property of the Republic and is held by the national government on behalf of the people of Kenya. Therefore, the national government exercises control over the minerals regardless of who owns the land on or under which the mineral is found.</w:t>
      </w:r>
    </w:p>
    <w:p w14:paraId="64DC38B7" w14:textId="77777777" w:rsidR="00D5670D" w:rsidRPr="009B646E" w:rsidRDefault="00D5670D" w:rsidP="00D66CCB">
      <w:pPr>
        <w:jc w:val="both"/>
        <w:rPr>
          <w:rFonts w:ascii="Times New Roman" w:hAnsi="Times New Roman" w:cs="Times New Roman"/>
        </w:rPr>
      </w:pPr>
    </w:p>
    <w:bookmarkEnd w:id="1"/>
    <w:p w14:paraId="3E9C6D46" w14:textId="7BE315A8" w:rsidR="007710CE" w:rsidRPr="00C44889" w:rsidRDefault="007710CE" w:rsidP="00D66CCB">
      <w:pPr>
        <w:jc w:val="both"/>
        <w:rPr>
          <w:rFonts w:ascii="Times New Roman" w:hAnsi="Times New Roman" w:cs="Times New Roman"/>
        </w:rPr>
      </w:pPr>
      <w:r w:rsidRPr="00C44889">
        <w:rPr>
          <w:rFonts w:ascii="Times New Roman" w:hAnsi="Times New Roman" w:cs="Times New Roman"/>
          <w:b/>
          <w:u w:val="single"/>
        </w:rPr>
        <w:t xml:space="preserve">EXCEPTIONS TO THE DEFINITION OF LAND </w:t>
      </w:r>
    </w:p>
    <w:p w14:paraId="1218F91D" w14:textId="40F0277D" w:rsidR="007710CE" w:rsidRPr="00C44889" w:rsidRDefault="00865F69" w:rsidP="00D66CCB">
      <w:pPr>
        <w:jc w:val="both"/>
        <w:rPr>
          <w:rFonts w:ascii="Times New Roman" w:hAnsi="Times New Roman" w:cs="Times New Roman"/>
          <w:b/>
          <w:u w:val="single"/>
        </w:rPr>
      </w:pPr>
      <w:r w:rsidRPr="00C44889">
        <w:rPr>
          <w:rFonts w:ascii="Times New Roman" w:hAnsi="Times New Roman" w:cs="Times New Roman"/>
          <w:b/>
          <w:u w:val="single"/>
        </w:rPr>
        <w:t xml:space="preserve">Water Resources </w:t>
      </w:r>
    </w:p>
    <w:p w14:paraId="6319897A" w14:textId="256336B3" w:rsidR="007710CE" w:rsidRPr="00C44889" w:rsidRDefault="007710CE" w:rsidP="00D66CCB">
      <w:pPr>
        <w:jc w:val="both"/>
        <w:rPr>
          <w:rFonts w:ascii="Times New Roman" w:hAnsi="Times New Roman" w:cs="Times New Roman"/>
        </w:rPr>
      </w:pPr>
      <w:r w:rsidRPr="00C44889">
        <w:rPr>
          <w:rFonts w:ascii="Times New Roman" w:hAnsi="Times New Roman" w:cs="Times New Roman"/>
        </w:rPr>
        <w:lastRenderedPageBreak/>
        <w:t>Common law came to recogni</w:t>
      </w:r>
      <w:r w:rsidR="00F302E8">
        <w:rPr>
          <w:rFonts w:ascii="Times New Roman" w:hAnsi="Times New Roman" w:cs="Times New Roman"/>
        </w:rPr>
        <w:t>z</w:t>
      </w:r>
      <w:r w:rsidRPr="00C44889">
        <w:rPr>
          <w:rFonts w:ascii="Times New Roman" w:hAnsi="Times New Roman" w:cs="Times New Roman"/>
        </w:rPr>
        <w:t>e that some resources are so critical that they cannot be owned by anyone in particular – instead, they must belong to everyone together</w:t>
      </w:r>
      <w:r w:rsidRPr="00C44889">
        <w:rPr>
          <w:rFonts w:ascii="Times New Roman" w:hAnsi="Times New Roman" w:cs="Times New Roman"/>
          <w:vertAlign w:val="superscript"/>
        </w:rPr>
        <w:footnoteReference w:id="17"/>
      </w:r>
      <w:r w:rsidRPr="00C44889">
        <w:rPr>
          <w:rFonts w:ascii="Times New Roman" w:hAnsi="Times New Roman" w:cs="Times New Roman"/>
        </w:rPr>
        <w:t>. To prevent private expropriation or monopol</w:t>
      </w:r>
      <w:r w:rsidR="006A5021">
        <w:rPr>
          <w:rFonts w:ascii="Times New Roman" w:hAnsi="Times New Roman" w:cs="Times New Roman"/>
        </w:rPr>
        <w:t>y</w:t>
      </w:r>
      <w:r w:rsidRPr="00C44889">
        <w:rPr>
          <w:rFonts w:ascii="Times New Roman" w:hAnsi="Times New Roman" w:cs="Times New Roman"/>
        </w:rPr>
        <w:t xml:space="preserve"> of these critical public commons, the government was entrusted to manage them on behalf of the public. This is known as the public trust doctrine. The doctrine is reflected in the management of water resources in Kenya in that, despite the common law maxim providing that the owner of the land owns everything up to the sky and down to the </w:t>
      </w:r>
      <w:r w:rsidR="006A5021" w:rsidRPr="00C44889">
        <w:rPr>
          <w:rFonts w:ascii="Times New Roman" w:hAnsi="Times New Roman" w:cs="Times New Roman"/>
        </w:rPr>
        <w:t>center</w:t>
      </w:r>
      <w:r w:rsidRPr="00C44889">
        <w:rPr>
          <w:rFonts w:ascii="Times New Roman" w:hAnsi="Times New Roman" w:cs="Times New Roman"/>
        </w:rPr>
        <w:t xml:space="preserve"> of the earth (</w:t>
      </w:r>
      <w:r w:rsidR="006A5021" w:rsidRPr="00C44889">
        <w:rPr>
          <w:rFonts w:ascii="Times New Roman" w:hAnsi="Times New Roman" w:cs="Times New Roman"/>
        </w:rPr>
        <w:t>Cuius</w:t>
      </w:r>
      <w:r w:rsidRPr="00C44889">
        <w:rPr>
          <w:rFonts w:ascii="Times New Roman" w:hAnsi="Times New Roman" w:cs="Times New Roman"/>
        </w:rPr>
        <w:t xml:space="preserve"> est solum eius est usque ad coelum et ad inferos), and the constitutional definition of land which includes any body of water on or under the surface, the right of a landowner to extract water is controlled by statute. The Water Act 2016 provides that the ownership of all water resources is vested in the national government and held in trust for the people of Kenya</w:t>
      </w:r>
      <w:r w:rsidRPr="00C44889">
        <w:rPr>
          <w:rFonts w:ascii="Times New Roman" w:hAnsi="Times New Roman" w:cs="Times New Roman"/>
          <w:vertAlign w:val="superscript"/>
        </w:rPr>
        <w:footnoteReference w:id="18"/>
      </w:r>
      <w:r w:rsidRPr="00C44889">
        <w:rPr>
          <w:rFonts w:ascii="Times New Roman" w:hAnsi="Times New Roman" w:cs="Times New Roman"/>
        </w:rPr>
        <w:t>. The Water Resource Authority is the body tasked with regulating the management and use of water resources</w:t>
      </w:r>
      <w:r w:rsidRPr="00C44889">
        <w:rPr>
          <w:rFonts w:ascii="Times New Roman" w:hAnsi="Times New Roman" w:cs="Times New Roman"/>
          <w:vertAlign w:val="superscript"/>
        </w:rPr>
        <w:footnoteReference w:id="19"/>
      </w:r>
      <w:r w:rsidRPr="00C44889">
        <w:rPr>
          <w:rFonts w:ascii="Times New Roman" w:hAnsi="Times New Roman" w:cs="Times New Roman"/>
        </w:rPr>
        <w:t xml:space="preserve">. Furthermore, conveyance on itself does not confer property rights in a water resource. This is provided under </w:t>
      </w:r>
      <w:bookmarkStart w:id="5" w:name="_Hlk158538754"/>
      <w:r w:rsidRPr="00C44889">
        <w:rPr>
          <w:rFonts w:ascii="Times New Roman" w:hAnsi="Times New Roman" w:cs="Times New Roman"/>
        </w:rPr>
        <w:t>section 7 of the Act which states that, “no conveyance, lease or other instrument shall convey, assure, demise, transfer or vest in any person any property, right, interest or privilege in respect of any water resource except as may be prescribed under this Act.</w:t>
      </w:r>
    </w:p>
    <w:bookmarkEnd w:id="5"/>
    <w:p w14:paraId="65BBF325" w14:textId="072D2FC6" w:rsidR="007710CE" w:rsidRPr="00C44889" w:rsidRDefault="007710CE" w:rsidP="00D66CCB">
      <w:pPr>
        <w:jc w:val="both"/>
        <w:rPr>
          <w:rFonts w:ascii="Times New Roman" w:hAnsi="Times New Roman" w:cs="Times New Roman"/>
        </w:rPr>
      </w:pPr>
      <w:r w:rsidRPr="00C44889">
        <w:rPr>
          <w:rFonts w:ascii="Times New Roman" w:hAnsi="Times New Roman" w:cs="Times New Roman"/>
        </w:rPr>
        <w:t xml:space="preserve">In the case of </w:t>
      </w:r>
      <w:r w:rsidRPr="00C44889">
        <w:rPr>
          <w:rFonts w:ascii="Times New Roman" w:hAnsi="Times New Roman" w:cs="Times New Roman"/>
          <w:b/>
          <w:i/>
        </w:rPr>
        <w:t>Water Resources Management Authority v Krystalline Salt Limited</w:t>
      </w:r>
      <w:r w:rsidRPr="00C44889">
        <w:rPr>
          <w:rFonts w:ascii="Times New Roman" w:hAnsi="Times New Roman" w:cs="Times New Roman"/>
          <w:vertAlign w:val="superscript"/>
        </w:rPr>
        <w:footnoteReference w:id="20"/>
      </w:r>
      <w:r w:rsidRPr="00C44889">
        <w:rPr>
          <w:rFonts w:ascii="Times New Roman" w:hAnsi="Times New Roman" w:cs="Times New Roman"/>
        </w:rPr>
        <w:t xml:space="preserve">, the defendant argued that the water on its land constituted a private water body and not a public water body falling within the regulatory authority of the State. It was further averred that the State’s power to regulate water use is confined solely to public water bodies such as lakes, rivers, streams as well as ponds, swamps or marshlands located on public land. The defendant relied on the doctrine of capture which holds that water which is captured in a reservoir, artificial pond or some other receptacle on private land, constitutes private property outside the regulatory authority of the State.  The Environment and Land Court rejected this argument because the definition of water resources contained in the Water Act encompasses all waters within the territorial jurisdiction of Kenya. </w:t>
      </w:r>
    </w:p>
    <w:p w14:paraId="766BCCDF" w14:textId="0E3FC9D1" w:rsidR="007710CE" w:rsidRPr="00C44889" w:rsidRDefault="00865F69" w:rsidP="00D66CCB">
      <w:pPr>
        <w:jc w:val="both"/>
        <w:rPr>
          <w:rFonts w:ascii="Times New Roman" w:hAnsi="Times New Roman" w:cs="Times New Roman"/>
          <w:b/>
          <w:u w:val="single"/>
        </w:rPr>
      </w:pPr>
      <w:r w:rsidRPr="00C44889">
        <w:rPr>
          <w:rFonts w:ascii="Times New Roman" w:hAnsi="Times New Roman" w:cs="Times New Roman"/>
          <w:b/>
          <w:u w:val="single"/>
        </w:rPr>
        <w:t xml:space="preserve">Mineral Resources </w:t>
      </w:r>
    </w:p>
    <w:p w14:paraId="209F7F93" w14:textId="6B69C7A1" w:rsidR="007710CE" w:rsidRPr="00C44889" w:rsidRDefault="007710CE" w:rsidP="00D66CCB">
      <w:pPr>
        <w:jc w:val="both"/>
        <w:rPr>
          <w:rFonts w:ascii="Times New Roman" w:hAnsi="Times New Roman" w:cs="Times New Roman"/>
        </w:rPr>
      </w:pPr>
      <w:r w:rsidRPr="00C44889">
        <w:rPr>
          <w:rFonts w:ascii="Times New Roman" w:hAnsi="Times New Roman" w:cs="Times New Roman"/>
        </w:rPr>
        <w:t>The Cu</w:t>
      </w:r>
      <w:r w:rsidR="00D66CCB">
        <w:rPr>
          <w:rFonts w:ascii="Times New Roman" w:hAnsi="Times New Roman" w:cs="Times New Roman"/>
        </w:rPr>
        <w:t>i</w:t>
      </w:r>
      <w:r w:rsidRPr="00C44889">
        <w:rPr>
          <w:rFonts w:ascii="Times New Roman" w:hAnsi="Times New Roman" w:cs="Times New Roman"/>
        </w:rPr>
        <w:t xml:space="preserve">us principle is of the view that the owner of the land owns everything down to the center of the earth, however, this is not the case when it comes to minerals contained in any land. </w:t>
      </w:r>
    </w:p>
    <w:p w14:paraId="6A7CA5A3" w14:textId="1E317FBC" w:rsidR="00D5670D" w:rsidRPr="00865F69" w:rsidRDefault="007710CE" w:rsidP="00D66CCB">
      <w:pPr>
        <w:jc w:val="both"/>
        <w:rPr>
          <w:rFonts w:ascii="Times New Roman" w:hAnsi="Times New Roman" w:cs="Times New Roman"/>
        </w:rPr>
      </w:pPr>
      <w:r w:rsidRPr="00C44889">
        <w:rPr>
          <w:rFonts w:ascii="Times New Roman" w:hAnsi="Times New Roman" w:cs="Times New Roman"/>
        </w:rPr>
        <w:t>The Act requires any person who discovers a mineral where there is no holder of a license or permit, to report the discovery to the Cabinet Secretary responsible for Mining</w:t>
      </w:r>
      <w:r w:rsidRPr="00C44889">
        <w:rPr>
          <w:rFonts w:ascii="Times New Roman" w:hAnsi="Times New Roman" w:cs="Times New Roman"/>
          <w:vertAlign w:val="superscript"/>
        </w:rPr>
        <w:footnoteReference w:id="21"/>
      </w:r>
      <w:r w:rsidRPr="00C44889">
        <w:rPr>
          <w:rFonts w:ascii="Times New Roman" w:hAnsi="Times New Roman" w:cs="Times New Roman"/>
        </w:rPr>
        <w:t>. The person shall then be granted the first right to apply for a prospecting or mining license or permit over the area of discovery within 90 days from the date of reporting after which a mining right may be granted to the person. A mineral right is granted by the government to empower the holder to discover, explore, and extract minerals from the earth, and to receive royalties and other benefits in respect of the minerals</w:t>
      </w:r>
      <w:r w:rsidR="00854A6F">
        <w:rPr>
          <w:rFonts w:ascii="Times New Roman" w:hAnsi="Times New Roman" w:cs="Times New Roman"/>
        </w:rPr>
        <w:t xml:space="preserve"> </w:t>
      </w:r>
      <w:r w:rsidRPr="00C44889">
        <w:rPr>
          <w:rFonts w:ascii="Times New Roman" w:hAnsi="Times New Roman" w:cs="Times New Roman"/>
        </w:rPr>
        <w:t>extracted.</w:t>
      </w:r>
    </w:p>
    <w:p w14:paraId="7B8F5429" w14:textId="4E4AEA52" w:rsidR="007710CE" w:rsidRPr="00C44889" w:rsidRDefault="00865F69" w:rsidP="00D66CCB">
      <w:pPr>
        <w:jc w:val="both"/>
        <w:rPr>
          <w:rFonts w:ascii="Times New Roman" w:hAnsi="Times New Roman" w:cs="Times New Roman"/>
          <w:b/>
          <w:u w:val="single"/>
        </w:rPr>
      </w:pPr>
      <w:r w:rsidRPr="00C44889">
        <w:rPr>
          <w:rFonts w:ascii="Times New Roman" w:hAnsi="Times New Roman" w:cs="Times New Roman"/>
          <w:b/>
          <w:u w:val="single"/>
        </w:rPr>
        <w:t>Res Communis</w:t>
      </w:r>
    </w:p>
    <w:p w14:paraId="55EE0D50" w14:textId="59DD97CB" w:rsidR="00854A6F" w:rsidRPr="00C44889" w:rsidRDefault="007710CE" w:rsidP="00D66CCB">
      <w:pPr>
        <w:jc w:val="both"/>
        <w:rPr>
          <w:rFonts w:ascii="Times New Roman" w:hAnsi="Times New Roman" w:cs="Times New Roman"/>
        </w:rPr>
      </w:pPr>
      <w:r w:rsidRPr="00C44889">
        <w:rPr>
          <w:rFonts w:ascii="Times New Roman" w:hAnsi="Times New Roman" w:cs="Times New Roman"/>
        </w:rPr>
        <w:lastRenderedPageBreak/>
        <w:t xml:space="preserve">Res communis refers to an area of territory that is not subject to the legal title of any state. These territories belong to no one in particular and therefore do not fall under the land ownership regime. They include: </w:t>
      </w:r>
    </w:p>
    <w:p w14:paraId="4AF89FD8" w14:textId="27C7E767" w:rsidR="007710CE" w:rsidRPr="00854A6F" w:rsidRDefault="00854A6F" w:rsidP="00854A6F">
      <w:pPr>
        <w:pStyle w:val="ListParagraph"/>
        <w:numPr>
          <w:ilvl w:val="0"/>
          <w:numId w:val="3"/>
        </w:numPr>
        <w:jc w:val="both"/>
        <w:rPr>
          <w:rFonts w:ascii="Times New Roman" w:hAnsi="Times New Roman" w:cs="Times New Roman"/>
          <w:b/>
          <w:u w:val="single"/>
        </w:rPr>
      </w:pPr>
      <w:r w:rsidRPr="00854A6F">
        <w:rPr>
          <w:rFonts w:ascii="Times New Roman" w:hAnsi="Times New Roman" w:cs="Times New Roman"/>
          <w:b/>
          <w:u w:val="single"/>
        </w:rPr>
        <w:t xml:space="preserve">The high seas </w:t>
      </w:r>
    </w:p>
    <w:p w14:paraId="3F18F7C9" w14:textId="4B731CF1" w:rsidR="007710CE" w:rsidRPr="00C44889" w:rsidRDefault="007710CE" w:rsidP="00D66CCB">
      <w:pPr>
        <w:jc w:val="both"/>
        <w:rPr>
          <w:rFonts w:ascii="Times New Roman" w:hAnsi="Times New Roman" w:cs="Times New Roman"/>
        </w:rPr>
      </w:pPr>
      <w:r w:rsidRPr="00C44889">
        <w:rPr>
          <w:rFonts w:ascii="Times New Roman" w:hAnsi="Times New Roman" w:cs="Times New Roman"/>
        </w:rPr>
        <w:t xml:space="preserve">The Constitutional and statutory definition of land only includes marine waters in the territorial sea and exclusive economic zone. This definition does not include the high seas. </w:t>
      </w:r>
      <w:bookmarkStart w:id="6" w:name="_Hlk158539670"/>
      <w:r w:rsidRPr="00C44889">
        <w:rPr>
          <w:rFonts w:ascii="Times New Roman" w:hAnsi="Times New Roman" w:cs="Times New Roman"/>
        </w:rPr>
        <w:t>Article 86 of the UN Convention on the Law of the Sea defines the high seas as parts of the sea that are not included in the exclusive economic zone, in the territorial sea or in the internal waters of a State, or in the archipelagic waters of an archipelagic state.</w:t>
      </w:r>
      <w:bookmarkEnd w:id="6"/>
      <w:r w:rsidRPr="00C44889">
        <w:rPr>
          <w:rFonts w:ascii="Times New Roman" w:hAnsi="Times New Roman" w:cs="Times New Roman"/>
        </w:rPr>
        <w:t xml:space="preserve"> The high seas are open to all states and states are prohibited from purporting to subject any part of the high seas to its sovereignty</w:t>
      </w:r>
      <w:r w:rsidRPr="00C44889">
        <w:rPr>
          <w:rFonts w:ascii="Times New Roman" w:hAnsi="Times New Roman" w:cs="Times New Roman"/>
          <w:vertAlign w:val="superscript"/>
        </w:rPr>
        <w:footnoteReference w:id="22"/>
      </w:r>
      <w:r w:rsidRPr="00C44889">
        <w:rPr>
          <w:rFonts w:ascii="Times New Roman" w:hAnsi="Times New Roman" w:cs="Times New Roman"/>
        </w:rPr>
        <w:t xml:space="preserve">. All states may exercise freedoms such as navigation, overflight and fishing within the parameters of the UNCLOS. </w:t>
      </w:r>
    </w:p>
    <w:p w14:paraId="3BE6BD73" w14:textId="460C687A" w:rsidR="007710CE" w:rsidRPr="00854A6F" w:rsidRDefault="00854A6F" w:rsidP="00854A6F">
      <w:pPr>
        <w:pStyle w:val="ListParagraph"/>
        <w:numPr>
          <w:ilvl w:val="0"/>
          <w:numId w:val="3"/>
        </w:numPr>
        <w:jc w:val="both"/>
        <w:rPr>
          <w:rFonts w:ascii="Times New Roman" w:hAnsi="Times New Roman" w:cs="Times New Roman"/>
          <w:b/>
          <w:u w:val="single"/>
        </w:rPr>
      </w:pPr>
      <w:r w:rsidRPr="00854A6F">
        <w:rPr>
          <w:rFonts w:ascii="Times New Roman" w:hAnsi="Times New Roman" w:cs="Times New Roman"/>
          <w:b/>
          <w:u w:val="single"/>
        </w:rPr>
        <w:t xml:space="preserve">Outer space </w:t>
      </w:r>
    </w:p>
    <w:p w14:paraId="1DFEC00B" w14:textId="5323D8C5" w:rsidR="007710CE" w:rsidRPr="00C44889" w:rsidRDefault="007710CE" w:rsidP="00D66CCB">
      <w:pPr>
        <w:jc w:val="both"/>
        <w:rPr>
          <w:rFonts w:ascii="Times New Roman" w:hAnsi="Times New Roman" w:cs="Times New Roman"/>
        </w:rPr>
      </w:pPr>
      <w:r w:rsidRPr="00C44889">
        <w:rPr>
          <w:rFonts w:ascii="Times New Roman" w:hAnsi="Times New Roman" w:cs="Times New Roman"/>
        </w:rPr>
        <w:t>The statutory definition of land includes the air space above the earth surface whereas, the common law ‘</w:t>
      </w:r>
      <w:r w:rsidR="00865F69" w:rsidRPr="00C44889">
        <w:rPr>
          <w:rFonts w:ascii="Times New Roman" w:hAnsi="Times New Roman" w:cs="Times New Roman"/>
        </w:rPr>
        <w:t>cuius</w:t>
      </w:r>
      <w:r w:rsidRPr="00C44889">
        <w:rPr>
          <w:rFonts w:ascii="Times New Roman" w:hAnsi="Times New Roman" w:cs="Times New Roman"/>
        </w:rPr>
        <w:t xml:space="preserve"> principle’ purports that the landowner owns everything up to the ‘</w:t>
      </w:r>
      <w:r w:rsidR="00865F69" w:rsidRPr="00C44889">
        <w:rPr>
          <w:rFonts w:ascii="Times New Roman" w:hAnsi="Times New Roman" w:cs="Times New Roman"/>
        </w:rPr>
        <w:t>heavens</w:t>
      </w:r>
      <w:r w:rsidRPr="00C44889">
        <w:rPr>
          <w:rFonts w:ascii="Times New Roman" w:hAnsi="Times New Roman" w:cs="Times New Roman"/>
        </w:rPr>
        <w:t xml:space="preserve">. </w:t>
      </w:r>
      <w:r w:rsidR="00865F69" w:rsidRPr="00C44889">
        <w:rPr>
          <w:rFonts w:ascii="Times New Roman" w:hAnsi="Times New Roman" w:cs="Times New Roman"/>
        </w:rPr>
        <w:t>However,</w:t>
      </w:r>
      <w:r w:rsidRPr="00C44889">
        <w:rPr>
          <w:rFonts w:ascii="Times New Roman" w:hAnsi="Times New Roman" w:cs="Times New Roman"/>
        </w:rPr>
        <w:t xml:space="preserve"> this is not entirely the case, because the ownership of the air space above one's property is limited to only that which is necessary for the person's ordinary use and enjoyment. </w:t>
      </w:r>
    </w:p>
    <w:p w14:paraId="511A229D" w14:textId="2B7FB69C" w:rsidR="007710CE" w:rsidRPr="00C44889" w:rsidRDefault="007710CE" w:rsidP="00D66CCB">
      <w:pPr>
        <w:jc w:val="both"/>
        <w:rPr>
          <w:rFonts w:ascii="Times New Roman" w:hAnsi="Times New Roman" w:cs="Times New Roman"/>
        </w:rPr>
      </w:pPr>
      <w:r w:rsidRPr="00C44889">
        <w:rPr>
          <w:rFonts w:ascii="Times New Roman" w:hAnsi="Times New Roman" w:cs="Times New Roman"/>
        </w:rPr>
        <w:t xml:space="preserve">Article II of the UN Treaties and Principles on Outer Space expressly forbids national appropriation by claims of sovereignty, use or occupation of outer space, including the moon and other celestial bodies. The exploration and use of outer space </w:t>
      </w:r>
      <w:r w:rsidR="00865F69" w:rsidRPr="00C44889">
        <w:rPr>
          <w:rFonts w:ascii="Times New Roman" w:hAnsi="Times New Roman" w:cs="Times New Roman"/>
        </w:rPr>
        <w:t>are</w:t>
      </w:r>
      <w:r w:rsidRPr="00C44889">
        <w:rPr>
          <w:rFonts w:ascii="Times New Roman" w:hAnsi="Times New Roman" w:cs="Times New Roman"/>
        </w:rPr>
        <w:t xml:space="preserve"> to be carried out for the benefit and in the interests of all countries without discrimination of any kind, and in accordance with international law, and there shall be free access to all areas of celestial bodies</w:t>
      </w:r>
      <w:r w:rsidR="00D40CE6">
        <w:rPr>
          <w:rFonts w:ascii="Times New Roman" w:hAnsi="Times New Roman" w:cs="Times New Roman"/>
        </w:rPr>
        <w:t>.</w:t>
      </w:r>
    </w:p>
    <w:p w14:paraId="445E8116" w14:textId="6F955597" w:rsidR="00EB66E8" w:rsidRDefault="00C44889" w:rsidP="00D66CCB">
      <w:pPr>
        <w:jc w:val="both"/>
        <w:rPr>
          <w:rFonts w:ascii="Times New Roman" w:hAnsi="Times New Roman" w:cs="Times New Roman"/>
          <w:b/>
          <w:bCs/>
          <w:u w:val="single"/>
        </w:rPr>
      </w:pPr>
      <w:r w:rsidRPr="00C44889">
        <w:rPr>
          <w:rFonts w:ascii="Times New Roman" w:hAnsi="Times New Roman" w:cs="Times New Roman"/>
          <w:b/>
          <w:bCs/>
          <w:u w:val="single"/>
        </w:rPr>
        <w:t>CONCLUSION</w:t>
      </w:r>
    </w:p>
    <w:p w14:paraId="4F0164AF" w14:textId="403A727D" w:rsidR="00BC7862" w:rsidRDefault="00BC7862" w:rsidP="00D66CCB">
      <w:pPr>
        <w:jc w:val="both"/>
        <w:rPr>
          <w:rFonts w:ascii="Times New Roman" w:hAnsi="Times New Roman" w:cs="Times New Roman"/>
          <w:b/>
          <w:bCs/>
          <w:u w:val="single"/>
        </w:rPr>
      </w:pPr>
      <w:r>
        <w:rPr>
          <w:rFonts w:ascii="Times New Roman" w:hAnsi="Times New Roman" w:cs="Times New Roman"/>
          <w:b/>
          <w:bCs/>
          <w:u w:val="single"/>
        </w:rPr>
        <w:t>Common Law</w:t>
      </w:r>
    </w:p>
    <w:p w14:paraId="48A3E172" w14:textId="068BCAFC" w:rsidR="00BC7862" w:rsidRDefault="00EB66E8" w:rsidP="00D66CCB">
      <w:pPr>
        <w:jc w:val="both"/>
        <w:rPr>
          <w:rFonts w:ascii="Times New Roman" w:hAnsi="Times New Roman" w:cs="Times New Roman"/>
        </w:rPr>
      </w:pPr>
      <w:r>
        <w:rPr>
          <w:rFonts w:ascii="Times New Roman" w:hAnsi="Times New Roman" w:cs="Times New Roman"/>
        </w:rPr>
        <w:t xml:space="preserve">Firm C concludes that at </w:t>
      </w:r>
      <w:r w:rsidR="00C44889" w:rsidRPr="00C44889">
        <w:rPr>
          <w:rFonts w:ascii="Times New Roman" w:hAnsi="Times New Roman" w:cs="Times New Roman"/>
        </w:rPr>
        <w:t>common law</w:t>
      </w:r>
      <w:r>
        <w:rPr>
          <w:rFonts w:ascii="Times New Roman" w:hAnsi="Times New Roman" w:cs="Times New Roman"/>
        </w:rPr>
        <w:t>,</w:t>
      </w:r>
      <w:r w:rsidR="00C44889" w:rsidRPr="00C44889">
        <w:rPr>
          <w:rFonts w:ascii="Times New Roman" w:hAnsi="Times New Roman" w:cs="Times New Roman"/>
        </w:rPr>
        <w:t xml:space="preserve"> the King’s Courts stipulated that all valuable </w:t>
      </w:r>
      <w:r w:rsidR="00BC7862">
        <w:rPr>
          <w:rFonts w:ascii="Times New Roman" w:hAnsi="Times New Roman" w:cs="Times New Roman"/>
        </w:rPr>
        <w:t>precious metals</w:t>
      </w:r>
      <w:r w:rsidR="00C44889" w:rsidRPr="00C44889">
        <w:rPr>
          <w:rFonts w:ascii="Times New Roman" w:hAnsi="Times New Roman" w:cs="Times New Roman"/>
        </w:rPr>
        <w:t xml:space="preserve"> belonged to the crown.</w:t>
      </w:r>
      <w:r w:rsidR="00BC7862">
        <w:rPr>
          <w:rFonts w:ascii="Times New Roman" w:hAnsi="Times New Roman" w:cs="Times New Roman"/>
        </w:rPr>
        <w:t xml:space="preserve"> Furthermore,</w:t>
      </w:r>
      <w:r w:rsidR="00BC7862" w:rsidRPr="00BC7862">
        <w:rPr>
          <w:rFonts w:ascii="Times New Roman" w:hAnsi="Times New Roman" w:cs="Times New Roman"/>
        </w:rPr>
        <w:t xml:space="preserve"> when referring to a specific parcel, the word "land" in common law denoted the Earth's surface, the soil from the Earth's center to the surface, and the column of air above the surface. It covered anything that was attached to or growing on soil, including crops, trees, and structures. </w:t>
      </w:r>
      <w:r w:rsidR="00BC7862">
        <w:rPr>
          <w:rFonts w:ascii="Times New Roman" w:hAnsi="Times New Roman" w:cs="Times New Roman"/>
        </w:rPr>
        <w:t>Also, important to note is that s</w:t>
      </w:r>
      <w:r w:rsidR="00BC7862" w:rsidRPr="00BC7862">
        <w:rPr>
          <w:rFonts w:ascii="Times New Roman" w:hAnsi="Times New Roman" w:cs="Times New Roman"/>
        </w:rPr>
        <w:t xml:space="preserve">uch artificial attachment must be for permanent purpose. </w:t>
      </w:r>
      <w:r w:rsidR="00BC7862">
        <w:rPr>
          <w:rFonts w:ascii="Times New Roman" w:hAnsi="Times New Roman" w:cs="Times New Roman"/>
        </w:rPr>
        <w:t>Lastly,</w:t>
      </w:r>
      <w:r w:rsidR="00BC7862" w:rsidRPr="00BC7862">
        <w:rPr>
          <w:rFonts w:ascii="Times New Roman" w:hAnsi="Times New Roman" w:cs="Times New Roman"/>
        </w:rPr>
        <w:t xml:space="preserve"> land can be bought, sold and owned</w:t>
      </w:r>
      <w:r w:rsidR="00BC7862">
        <w:rPr>
          <w:rFonts w:ascii="Times New Roman" w:hAnsi="Times New Roman" w:cs="Times New Roman"/>
        </w:rPr>
        <w:t xml:space="preserve"> despite </w:t>
      </w:r>
      <w:r w:rsidR="00865F69">
        <w:rPr>
          <w:rFonts w:ascii="Times New Roman" w:hAnsi="Times New Roman" w:cs="Times New Roman"/>
        </w:rPr>
        <w:t>being</w:t>
      </w:r>
      <w:r w:rsidR="00BC7862" w:rsidRPr="00BC7862">
        <w:rPr>
          <w:rFonts w:ascii="Times New Roman" w:hAnsi="Times New Roman" w:cs="Times New Roman"/>
        </w:rPr>
        <w:t xml:space="preserve"> </w:t>
      </w:r>
      <w:r w:rsidR="00BC7862" w:rsidRPr="00BC7862">
        <w:rPr>
          <w:rFonts w:ascii="Times New Roman" w:hAnsi="Times New Roman" w:cs="Times New Roman"/>
          <w:b/>
          <w:bCs/>
          <w:i/>
          <w:iCs/>
        </w:rPr>
        <w:t>immovable</w:t>
      </w:r>
      <w:r w:rsidR="00BC7862" w:rsidRPr="00BC7862">
        <w:rPr>
          <w:rFonts w:ascii="Times New Roman" w:hAnsi="Times New Roman" w:cs="Times New Roman"/>
        </w:rPr>
        <w:t xml:space="preserve"> and </w:t>
      </w:r>
      <w:r w:rsidR="00BC7862" w:rsidRPr="00BC7862">
        <w:rPr>
          <w:rFonts w:ascii="Times New Roman" w:hAnsi="Times New Roman" w:cs="Times New Roman"/>
          <w:b/>
          <w:bCs/>
          <w:i/>
          <w:iCs/>
        </w:rPr>
        <w:t>permanent</w:t>
      </w:r>
      <w:r w:rsidR="00BC7862" w:rsidRPr="00BC7862">
        <w:rPr>
          <w:rFonts w:ascii="Times New Roman" w:hAnsi="Times New Roman" w:cs="Times New Roman"/>
        </w:rPr>
        <w:t>.</w:t>
      </w:r>
    </w:p>
    <w:p w14:paraId="4CDF9846" w14:textId="0BB786E0" w:rsidR="00BC7862" w:rsidRPr="00BC7862" w:rsidRDefault="00BC7862" w:rsidP="00D66CCB">
      <w:pPr>
        <w:jc w:val="both"/>
        <w:rPr>
          <w:rFonts w:ascii="Times New Roman" w:hAnsi="Times New Roman" w:cs="Times New Roman"/>
          <w:b/>
          <w:bCs/>
          <w:u w:val="single"/>
        </w:rPr>
      </w:pPr>
      <w:r>
        <w:rPr>
          <w:rFonts w:ascii="Times New Roman" w:hAnsi="Times New Roman" w:cs="Times New Roman"/>
        </w:rPr>
        <w:t xml:space="preserve"> </w:t>
      </w:r>
      <w:r>
        <w:rPr>
          <w:rFonts w:ascii="Times New Roman" w:hAnsi="Times New Roman" w:cs="Times New Roman"/>
          <w:b/>
          <w:bCs/>
          <w:u w:val="single"/>
        </w:rPr>
        <w:t>Case Law</w:t>
      </w:r>
    </w:p>
    <w:p w14:paraId="7FD8D358" w14:textId="1A2A37FF" w:rsidR="00D40CE6" w:rsidRPr="006A5021" w:rsidRDefault="00C44889" w:rsidP="00D66CCB">
      <w:pPr>
        <w:jc w:val="both"/>
        <w:rPr>
          <w:rFonts w:ascii="Times New Roman" w:hAnsi="Times New Roman" w:cs="Times New Roman"/>
        </w:rPr>
      </w:pPr>
      <w:r w:rsidRPr="00C44889">
        <w:rPr>
          <w:rFonts w:ascii="Times New Roman" w:hAnsi="Times New Roman" w:cs="Times New Roman"/>
        </w:rPr>
        <w:t xml:space="preserve">Case Law seems to have facets that elaborate further the sections encapsulated by these common law principles. In actual sense these definitions are all intertwined and stem from case laws at various Kings courts starting from the year 1066 which later become acceptable as common law, which become codified into statutory definitions and acceptable legal principles. </w:t>
      </w:r>
    </w:p>
    <w:p w14:paraId="147F7ECD" w14:textId="7052AA59" w:rsidR="00CA3D58" w:rsidRDefault="00CA3D58" w:rsidP="00D66CCB">
      <w:pPr>
        <w:jc w:val="both"/>
        <w:rPr>
          <w:rFonts w:ascii="Times New Roman" w:hAnsi="Times New Roman" w:cs="Times New Roman"/>
          <w:b/>
          <w:bCs/>
          <w:u w:val="single"/>
        </w:rPr>
      </w:pPr>
      <w:r w:rsidRPr="00CA3D58">
        <w:rPr>
          <w:rFonts w:ascii="Times New Roman" w:hAnsi="Times New Roman" w:cs="Times New Roman"/>
          <w:b/>
          <w:bCs/>
          <w:u w:val="single"/>
        </w:rPr>
        <w:lastRenderedPageBreak/>
        <w:t>GENERAL DEFINITIONS</w:t>
      </w:r>
    </w:p>
    <w:p w14:paraId="1F411085" w14:textId="77777777" w:rsidR="006A5021" w:rsidRDefault="00CA3D58" w:rsidP="00CA3D58">
      <w:pPr>
        <w:jc w:val="both"/>
        <w:rPr>
          <w:rFonts w:ascii="Times New Roman" w:hAnsi="Times New Roman" w:cs="Times New Roman"/>
        </w:rPr>
      </w:pPr>
      <w:r w:rsidRPr="00CA3D58">
        <w:rPr>
          <w:rFonts w:ascii="Times New Roman" w:hAnsi="Times New Roman" w:cs="Times New Roman"/>
        </w:rPr>
        <w:t xml:space="preserve">In </w:t>
      </w:r>
      <w:r w:rsidRPr="00CA3D58">
        <w:rPr>
          <w:rFonts w:ascii="Times New Roman" w:hAnsi="Times New Roman" w:cs="Times New Roman"/>
          <w:i/>
          <w:iCs/>
          <w:u w:val="single"/>
        </w:rPr>
        <w:t>Co-operative Bank of Kenya Limited v Patrick Kangethe Njuguna &amp; 5 others [2017</w:t>
      </w:r>
      <w:r w:rsidRPr="00CA3D58">
        <w:rPr>
          <w:rFonts w:ascii="Times New Roman" w:hAnsi="Times New Roman" w:cs="Times New Roman"/>
          <w:i/>
          <w:iCs/>
        </w:rPr>
        <w:t>]</w:t>
      </w:r>
      <w:r w:rsidRPr="00CA3D58">
        <w:rPr>
          <w:rFonts w:ascii="Times New Roman" w:hAnsi="Times New Roman" w:cs="Times New Roman"/>
        </w:rPr>
        <w:t>, the appellate court on the definition of land states that 29. To begin with, Article 260 of the Constitution, states that unless the context requires otherwise, ‘land’ includes-</w:t>
      </w:r>
    </w:p>
    <w:p w14:paraId="50754E8E" w14:textId="21BFDFFF" w:rsidR="006A5021" w:rsidRDefault="00CA3D58" w:rsidP="006A5021">
      <w:pPr>
        <w:spacing w:after="0" w:line="240" w:lineRule="auto"/>
        <w:rPr>
          <w:rFonts w:ascii="Times New Roman" w:hAnsi="Times New Roman" w:cs="Times New Roman"/>
        </w:rPr>
      </w:pPr>
      <w:r w:rsidRPr="00CA3D58">
        <w:rPr>
          <w:rFonts w:ascii="Times New Roman" w:hAnsi="Times New Roman" w:cs="Times New Roman"/>
        </w:rPr>
        <w:t xml:space="preserve">a) The surface of the earth and the subsurface rock; </w:t>
      </w:r>
    </w:p>
    <w:p w14:paraId="028C0615" w14:textId="77777777" w:rsidR="006A5021" w:rsidRDefault="00CA3D58" w:rsidP="006A5021">
      <w:pPr>
        <w:spacing w:after="0" w:line="240" w:lineRule="auto"/>
        <w:rPr>
          <w:rFonts w:ascii="Times New Roman" w:hAnsi="Times New Roman" w:cs="Times New Roman"/>
        </w:rPr>
      </w:pPr>
      <w:r w:rsidRPr="00CA3D58">
        <w:rPr>
          <w:rFonts w:ascii="Times New Roman" w:hAnsi="Times New Roman" w:cs="Times New Roman"/>
        </w:rPr>
        <w:t xml:space="preserve">b) Any body of water on or under the surface; </w:t>
      </w:r>
    </w:p>
    <w:p w14:paraId="21EF04F0" w14:textId="77777777" w:rsidR="006A5021" w:rsidRDefault="00CA3D58" w:rsidP="006A5021">
      <w:pPr>
        <w:spacing w:after="0" w:line="240" w:lineRule="auto"/>
        <w:rPr>
          <w:rFonts w:ascii="Times New Roman" w:hAnsi="Times New Roman" w:cs="Times New Roman"/>
        </w:rPr>
      </w:pPr>
      <w:r w:rsidRPr="00CA3D58">
        <w:rPr>
          <w:rFonts w:ascii="Times New Roman" w:hAnsi="Times New Roman" w:cs="Times New Roman"/>
        </w:rPr>
        <w:t xml:space="preserve">c) Marine waters in the territorial sea and exclusive economic zone; </w:t>
      </w:r>
    </w:p>
    <w:p w14:paraId="4CF302D1" w14:textId="77777777" w:rsidR="006A5021" w:rsidRDefault="00CA3D58" w:rsidP="006A5021">
      <w:pPr>
        <w:spacing w:after="0" w:line="240" w:lineRule="auto"/>
        <w:rPr>
          <w:rFonts w:ascii="Times New Roman" w:hAnsi="Times New Roman" w:cs="Times New Roman"/>
        </w:rPr>
      </w:pPr>
      <w:r w:rsidRPr="00CA3D58">
        <w:rPr>
          <w:rFonts w:ascii="Times New Roman" w:hAnsi="Times New Roman" w:cs="Times New Roman"/>
        </w:rPr>
        <w:t xml:space="preserve">d) Natural resources completely contained on or under the surface; and </w:t>
      </w:r>
    </w:p>
    <w:p w14:paraId="7EE2B3CF" w14:textId="05016FC4" w:rsidR="00CA3D58" w:rsidRDefault="00CA3D58" w:rsidP="006A5021">
      <w:pPr>
        <w:spacing w:after="0" w:line="240" w:lineRule="auto"/>
        <w:rPr>
          <w:rFonts w:ascii="Times New Roman" w:hAnsi="Times New Roman" w:cs="Times New Roman"/>
        </w:rPr>
      </w:pPr>
      <w:r w:rsidRPr="00CA3D58">
        <w:rPr>
          <w:rFonts w:ascii="Times New Roman" w:hAnsi="Times New Roman" w:cs="Times New Roman"/>
        </w:rPr>
        <w:t>e) The air space above the surface.”</w:t>
      </w:r>
    </w:p>
    <w:p w14:paraId="23295CD7" w14:textId="77777777" w:rsidR="006A5021" w:rsidRPr="00CA3D58" w:rsidRDefault="006A5021" w:rsidP="006A5021">
      <w:pPr>
        <w:spacing w:after="0" w:line="240" w:lineRule="auto"/>
        <w:rPr>
          <w:rFonts w:ascii="Times New Roman" w:hAnsi="Times New Roman" w:cs="Times New Roman"/>
        </w:rPr>
      </w:pPr>
    </w:p>
    <w:p w14:paraId="2E5E025B" w14:textId="11488CDC" w:rsidR="00CA3D58" w:rsidRPr="00CA3D58" w:rsidRDefault="00CA3D58" w:rsidP="00CA3D58">
      <w:pPr>
        <w:jc w:val="both"/>
        <w:rPr>
          <w:rFonts w:ascii="Times New Roman" w:hAnsi="Times New Roman" w:cs="Times New Roman"/>
        </w:rPr>
      </w:pPr>
      <w:r w:rsidRPr="00CA3D58">
        <w:rPr>
          <w:rFonts w:ascii="Times New Roman" w:hAnsi="Times New Roman" w:cs="Times New Roman"/>
        </w:rPr>
        <w:t xml:space="preserve">The learned judge O. A Angote in the ruling of </w:t>
      </w:r>
      <w:r w:rsidRPr="00CA3D58">
        <w:rPr>
          <w:rFonts w:ascii="Times New Roman" w:hAnsi="Times New Roman" w:cs="Times New Roman"/>
          <w:u w:val="single"/>
        </w:rPr>
        <w:t>Alwi Mohamed Alwi v Swaleh Omar Awadh [2015]</w:t>
      </w:r>
      <w:r w:rsidRPr="00CA3D58">
        <w:rPr>
          <w:rFonts w:ascii="Times New Roman" w:hAnsi="Times New Roman" w:cs="Times New Roman"/>
        </w:rPr>
        <w:t xml:space="preserve"> stated that </w:t>
      </w:r>
      <w:r w:rsidR="00865F69" w:rsidRPr="00CA3D58">
        <w:rPr>
          <w:rFonts w:ascii="Times New Roman" w:hAnsi="Times New Roman" w:cs="Times New Roman"/>
        </w:rPr>
        <w:t>“land</w:t>
      </w:r>
      <w:r w:rsidRPr="00CA3D58">
        <w:rPr>
          <w:rFonts w:ascii="Times New Roman" w:hAnsi="Times New Roman" w:cs="Times New Roman"/>
        </w:rPr>
        <w:t xml:space="preserve"> has been defined by the Constitution to include the surface of the earth and the subsurface rock</w:t>
      </w:r>
      <w:r w:rsidR="006A5021">
        <w:rPr>
          <w:rFonts w:ascii="Times New Roman" w:hAnsi="Times New Roman" w:cs="Times New Roman"/>
        </w:rPr>
        <w:t>.</w:t>
      </w:r>
      <w:r w:rsidRPr="00CA3D58">
        <w:rPr>
          <w:rFonts w:ascii="Times New Roman" w:hAnsi="Times New Roman" w:cs="Times New Roman"/>
        </w:rPr>
        <w:t>”</w:t>
      </w:r>
    </w:p>
    <w:p w14:paraId="1FD8A48A" w14:textId="4BA60E5C" w:rsidR="00CA3D58" w:rsidRPr="00C44889" w:rsidRDefault="00C44889" w:rsidP="00D66CCB">
      <w:pPr>
        <w:jc w:val="both"/>
        <w:rPr>
          <w:rFonts w:ascii="Times New Roman" w:hAnsi="Times New Roman" w:cs="Times New Roman"/>
        </w:rPr>
      </w:pPr>
      <w:r w:rsidRPr="00C44889">
        <w:rPr>
          <w:rFonts w:ascii="Times New Roman" w:hAnsi="Times New Roman" w:cs="Times New Roman"/>
        </w:rPr>
        <w:t xml:space="preserve">As far as </w:t>
      </w:r>
      <w:r w:rsidRPr="00C44889">
        <w:rPr>
          <w:rFonts w:ascii="Times New Roman" w:hAnsi="Times New Roman" w:cs="Times New Roman"/>
          <w:b/>
          <w:bCs/>
          <w:i/>
          <w:iCs/>
        </w:rPr>
        <w:t>cuius est solum, eius est usque ad coelum et ad inferos</w:t>
      </w:r>
      <w:r w:rsidR="00645BC4">
        <w:rPr>
          <w:rFonts w:ascii="Times New Roman" w:hAnsi="Times New Roman" w:cs="Times New Roman"/>
          <w:b/>
          <w:bCs/>
          <w:i/>
          <w:iCs/>
        </w:rPr>
        <w:t xml:space="preserve"> </w:t>
      </w:r>
      <w:r w:rsidR="00645BC4">
        <w:rPr>
          <w:rFonts w:ascii="Times New Roman" w:hAnsi="Times New Roman" w:cs="Times New Roman"/>
        </w:rPr>
        <w:t>doctrine</w:t>
      </w:r>
      <w:r w:rsidRPr="00C44889">
        <w:rPr>
          <w:rFonts w:ascii="Times New Roman" w:hAnsi="Times New Roman" w:cs="Times New Roman"/>
          <w:b/>
          <w:bCs/>
          <w:i/>
          <w:iCs/>
        </w:rPr>
        <w:t xml:space="preserve"> </w:t>
      </w:r>
      <w:r w:rsidRPr="00C44889">
        <w:rPr>
          <w:rFonts w:ascii="Times New Roman" w:hAnsi="Times New Roman" w:cs="Times New Roman"/>
        </w:rPr>
        <w:t xml:space="preserve">is concerned the following cases are applicable.  </w:t>
      </w:r>
    </w:p>
    <w:p w14:paraId="432C4C5F" w14:textId="21AF5587" w:rsidR="00C44889" w:rsidRDefault="00C44889" w:rsidP="00D66CCB">
      <w:pPr>
        <w:jc w:val="both"/>
        <w:rPr>
          <w:rFonts w:ascii="Times New Roman" w:hAnsi="Times New Roman" w:cs="Times New Roman"/>
          <w:b/>
          <w:u w:val="single"/>
        </w:rPr>
      </w:pPr>
      <w:r w:rsidRPr="00C44889">
        <w:rPr>
          <w:rFonts w:ascii="Times New Roman" w:hAnsi="Times New Roman" w:cs="Times New Roman"/>
          <w:b/>
          <w:u w:val="single"/>
        </w:rPr>
        <w:t>BELOW THE SURFACE</w:t>
      </w:r>
    </w:p>
    <w:p w14:paraId="5E70E7DE" w14:textId="5DD1527E" w:rsidR="00645BC4" w:rsidRPr="00645BC4" w:rsidRDefault="00645BC4" w:rsidP="00D66CCB">
      <w:pPr>
        <w:jc w:val="both"/>
        <w:rPr>
          <w:rFonts w:ascii="Times New Roman" w:hAnsi="Times New Roman" w:cs="Times New Roman"/>
          <w:bCs/>
        </w:rPr>
      </w:pPr>
      <w:r w:rsidRPr="00645BC4">
        <w:rPr>
          <w:rFonts w:ascii="Times New Roman" w:hAnsi="Times New Roman" w:cs="Times New Roman"/>
          <w:bCs/>
        </w:rPr>
        <w:t>In</w:t>
      </w:r>
      <w:r w:rsidRPr="00645BC4">
        <w:rPr>
          <w:rFonts w:ascii="Times New Roman" w:hAnsi="Times New Roman" w:cs="Times New Roman"/>
          <w:b/>
          <w:u w:val="single"/>
        </w:rPr>
        <w:t xml:space="preserve"> </w:t>
      </w:r>
      <w:r w:rsidRPr="00645BC4">
        <w:rPr>
          <w:rFonts w:ascii="Times New Roman" w:hAnsi="Times New Roman" w:cs="Times New Roman"/>
          <w:bCs/>
          <w:u w:val="single"/>
        </w:rPr>
        <w:t>Mombasa Civil Appeal No. 83 of 2016 Co-Operative Bank of Kenya Limited V</w:t>
      </w:r>
      <w:r w:rsidR="00CA3D58">
        <w:rPr>
          <w:rFonts w:ascii="Times New Roman" w:hAnsi="Times New Roman" w:cs="Times New Roman"/>
          <w:bCs/>
          <w:u w:val="single"/>
        </w:rPr>
        <w:t>s</w:t>
      </w:r>
      <w:r w:rsidRPr="00645BC4">
        <w:rPr>
          <w:rFonts w:ascii="Times New Roman" w:hAnsi="Times New Roman" w:cs="Times New Roman"/>
          <w:bCs/>
          <w:u w:val="single"/>
        </w:rPr>
        <w:t xml:space="preserve"> Patrick Kangethe Njuguna &amp; 5 others</w:t>
      </w:r>
      <w:r w:rsidRPr="00645BC4">
        <w:rPr>
          <w:rFonts w:ascii="Times New Roman" w:hAnsi="Times New Roman" w:cs="Times New Roman"/>
          <w:b/>
          <w:u w:val="single"/>
        </w:rPr>
        <w:t xml:space="preserve"> </w:t>
      </w:r>
      <w:r w:rsidRPr="00645BC4">
        <w:rPr>
          <w:rFonts w:ascii="Times New Roman" w:hAnsi="Times New Roman" w:cs="Times New Roman"/>
          <w:bCs/>
        </w:rPr>
        <w:t xml:space="preserve">the court of appeal stated as follows: </w:t>
      </w:r>
      <w:r w:rsidR="00D66CCB">
        <w:rPr>
          <w:rFonts w:ascii="Times New Roman" w:hAnsi="Times New Roman" w:cs="Times New Roman"/>
          <w:bCs/>
        </w:rPr>
        <w:t>T</w:t>
      </w:r>
      <w:r w:rsidRPr="00645BC4">
        <w:rPr>
          <w:rFonts w:ascii="Times New Roman" w:hAnsi="Times New Roman" w:cs="Times New Roman"/>
          <w:bCs/>
        </w:rPr>
        <w:t>he doctrine defines land as the surface thereof, everything above it and below it as well. The doctrine restricts the definition of land use to necessary and ordinary use and enjoyment of the land and structures upon it.</w:t>
      </w:r>
    </w:p>
    <w:p w14:paraId="72FEBB1A" w14:textId="77777777" w:rsidR="00D66CCB" w:rsidRDefault="00C44889" w:rsidP="00D66CCB">
      <w:pPr>
        <w:jc w:val="both"/>
        <w:rPr>
          <w:rFonts w:ascii="Times New Roman" w:hAnsi="Times New Roman" w:cs="Times New Roman"/>
        </w:rPr>
      </w:pPr>
      <w:r w:rsidRPr="00C44889">
        <w:rPr>
          <w:rFonts w:ascii="Times New Roman" w:hAnsi="Times New Roman" w:cs="Times New Roman"/>
        </w:rPr>
        <w:t xml:space="preserve">The Crown or State has a claim to precious minerals or natural resources that are found, as well as valuable treasure, dating back to the </w:t>
      </w:r>
      <w:r w:rsidRPr="00C44889">
        <w:rPr>
          <w:rFonts w:ascii="Times New Roman" w:hAnsi="Times New Roman" w:cs="Times New Roman"/>
          <w:u w:val="single"/>
        </w:rPr>
        <w:t>Case of Mines</w:t>
      </w:r>
      <w:r w:rsidRPr="00C44889">
        <w:rPr>
          <w:rFonts w:ascii="Times New Roman" w:hAnsi="Times New Roman" w:cs="Times New Roman"/>
        </w:rPr>
        <w:t xml:space="preserve"> in the 16th century. </w:t>
      </w:r>
    </w:p>
    <w:p w14:paraId="1F1EB81C" w14:textId="52757178" w:rsidR="00C44889" w:rsidRPr="00C44889" w:rsidRDefault="00C44889" w:rsidP="00D66CCB">
      <w:pPr>
        <w:jc w:val="both"/>
        <w:rPr>
          <w:rFonts w:ascii="Times New Roman" w:hAnsi="Times New Roman" w:cs="Times New Roman"/>
        </w:rPr>
      </w:pPr>
      <w:r w:rsidRPr="00C44889">
        <w:rPr>
          <w:rFonts w:ascii="Times New Roman" w:hAnsi="Times New Roman" w:cs="Times New Roman"/>
        </w:rPr>
        <w:t xml:space="preserve">In </w:t>
      </w:r>
      <w:r w:rsidRPr="00C44889">
        <w:rPr>
          <w:rFonts w:ascii="Times New Roman" w:hAnsi="Times New Roman" w:cs="Times New Roman"/>
          <w:u w:val="single"/>
        </w:rPr>
        <w:t>Waverly Borough Council v Fletcher (1995)</w:t>
      </w:r>
      <w:r w:rsidRPr="00C44889">
        <w:rPr>
          <w:rFonts w:ascii="Times New Roman" w:hAnsi="Times New Roman" w:cs="Times New Roman"/>
        </w:rPr>
        <w:t xml:space="preserve"> </w:t>
      </w:r>
      <w:r w:rsidR="00D66CCB">
        <w:rPr>
          <w:rFonts w:ascii="Times New Roman" w:hAnsi="Times New Roman" w:cs="Times New Roman"/>
        </w:rPr>
        <w:t>t</w:t>
      </w:r>
      <w:r w:rsidRPr="00C44889">
        <w:rPr>
          <w:rFonts w:ascii="Times New Roman" w:hAnsi="Times New Roman" w:cs="Times New Roman"/>
        </w:rPr>
        <w:t xml:space="preserve">he Park was open to the public for leisure and recreational use and Mr. Fletcher was a lawful visitor to the park. He found a medieval gold brooch which was nine inches below the surface. The Council then brought an action against Mr. Fletcher claiming ownership of the brooch. It was held that the brooch belonged to the Council as owners of the land in which it was found. </w:t>
      </w:r>
    </w:p>
    <w:p w14:paraId="5BAFA7C3" w14:textId="552D1634" w:rsidR="00C44889" w:rsidRPr="00C44889" w:rsidRDefault="00C44889" w:rsidP="00D66CCB">
      <w:pPr>
        <w:jc w:val="both"/>
        <w:rPr>
          <w:rFonts w:ascii="Times New Roman" w:hAnsi="Times New Roman" w:cs="Times New Roman"/>
        </w:rPr>
      </w:pPr>
      <w:r w:rsidRPr="00C44889">
        <w:rPr>
          <w:rFonts w:ascii="Times New Roman" w:hAnsi="Times New Roman" w:cs="Times New Roman"/>
        </w:rPr>
        <w:t>In the case of E</w:t>
      </w:r>
      <w:r w:rsidRPr="00C44889">
        <w:rPr>
          <w:rFonts w:ascii="Times New Roman" w:hAnsi="Times New Roman" w:cs="Times New Roman"/>
          <w:u w:val="single"/>
        </w:rPr>
        <w:t>lwes v Brigg Gas co (1886)</w:t>
      </w:r>
      <w:r w:rsidRPr="00C44889">
        <w:rPr>
          <w:rFonts w:ascii="Times New Roman" w:hAnsi="Times New Roman" w:cs="Times New Roman"/>
        </w:rPr>
        <w:t xml:space="preserve"> a prehistoric boat was found by a tenant six feet below the surface of his land. The plaintiff was the owner of the ground, which included everything below the surface all the way to the earth's center. As a result, the boat belonged to the plaintiff. Since the plaintiff was now in possession of the chattel, it follows that he was entitled to the chattel's property. It was evident that the original owner's right could not be shown since it had been lost for eons.</w:t>
      </w:r>
    </w:p>
    <w:p w14:paraId="7CC3CF0F" w14:textId="3A247F68" w:rsidR="00C44889" w:rsidRDefault="00C44889" w:rsidP="00D66CCB">
      <w:pPr>
        <w:jc w:val="both"/>
        <w:rPr>
          <w:rFonts w:ascii="Times New Roman" w:hAnsi="Times New Roman" w:cs="Times New Roman"/>
          <w:b/>
          <w:u w:val="single"/>
        </w:rPr>
      </w:pPr>
      <w:r w:rsidRPr="00C44889">
        <w:rPr>
          <w:rFonts w:ascii="Times New Roman" w:hAnsi="Times New Roman" w:cs="Times New Roman"/>
          <w:b/>
          <w:u w:val="single"/>
        </w:rPr>
        <w:t xml:space="preserve">ABOVE THE SURFACE </w:t>
      </w:r>
    </w:p>
    <w:p w14:paraId="25387CE5" w14:textId="3B614362" w:rsidR="00D66CCB" w:rsidRPr="00D66CCB" w:rsidRDefault="00D66CCB" w:rsidP="00D66CCB">
      <w:pPr>
        <w:jc w:val="both"/>
        <w:rPr>
          <w:rFonts w:ascii="Times New Roman" w:hAnsi="Times New Roman" w:cs="Times New Roman"/>
          <w:bCs/>
        </w:rPr>
      </w:pPr>
      <w:r w:rsidRPr="00D66CCB">
        <w:rPr>
          <w:rFonts w:ascii="Times New Roman" w:hAnsi="Times New Roman" w:cs="Times New Roman"/>
          <w:bCs/>
        </w:rPr>
        <w:t xml:space="preserve">In </w:t>
      </w:r>
      <w:r w:rsidRPr="00D66CCB">
        <w:rPr>
          <w:rFonts w:ascii="Times New Roman" w:hAnsi="Times New Roman" w:cs="Times New Roman"/>
          <w:bCs/>
          <w:u w:val="single"/>
        </w:rPr>
        <w:t>Holland v. Hodgson</w:t>
      </w:r>
      <w:r w:rsidRPr="00D66CCB">
        <w:rPr>
          <w:rFonts w:ascii="Times New Roman" w:hAnsi="Times New Roman" w:cs="Times New Roman"/>
          <w:bCs/>
        </w:rPr>
        <w:t>, Blackburn J. determined that an object that is sitting on the ground and is simply "attached" by gravity will not be considered a part of the land, even if it is possible that the parties "intended" something different, or more accurately, what the parties reasonably expected. Simple items, such as drapes and rugs, or houseboats, are not considered land; nevertheless, more difficult items, such as plugs and taps, are.</w:t>
      </w:r>
    </w:p>
    <w:p w14:paraId="7EEB6FE0" w14:textId="77777777" w:rsidR="00C44889" w:rsidRPr="00C44889" w:rsidRDefault="00C44889" w:rsidP="00D66CCB">
      <w:pPr>
        <w:jc w:val="both"/>
        <w:rPr>
          <w:rFonts w:ascii="Times New Roman" w:hAnsi="Times New Roman" w:cs="Times New Roman"/>
        </w:rPr>
      </w:pPr>
      <w:r w:rsidRPr="00C44889">
        <w:rPr>
          <w:rFonts w:ascii="Times New Roman" w:hAnsi="Times New Roman" w:cs="Times New Roman"/>
          <w:u w:val="single"/>
        </w:rPr>
        <w:lastRenderedPageBreak/>
        <w:t>In Kelsen v. Imperial Tobacco</w:t>
      </w:r>
      <w:r w:rsidRPr="00C44889">
        <w:rPr>
          <w:rFonts w:ascii="Times New Roman" w:hAnsi="Times New Roman" w:cs="Times New Roman"/>
        </w:rPr>
        <w:t xml:space="preserve"> the defendant was the owner of the freehold of the property from which he operated a wholesale tobacco company. He lived in an apartment and operated a tobacconist store from a portion of the property that he leased to the claimant. A sign that was put up by the defendant four inches overflowed the claimant's airspace. In order to stop the trespassing of the airspace, an injunction was issued stating that even the air space above the land formed part of the land.</w:t>
      </w:r>
    </w:p>
    <w:p w14:paraId="292FE747" w14:textId="77777777" w:rsidR="00C44889" w:rsidRPr="00C44889" w:rsidRDefault="00C44889" w:rsidP="00D66CCB">
      <w:pPr>
        <w:jc w:val="both"/>
        <w:rPr>
          <w:rFonts w:ascii="Times New Roman" w:hAnsi="Times New Roman" w:cs="Times New Roman"/>
        </w:rPr>
      </w:pPr>
      <w:r w:rsidRPr="00C44889">
        <w:rPr>
          <w:rFonts w:ascii="Times New Roman" w:hAnsi="Times New Roman" w:cs="Times New Roman"/>
        </w:rPr>
        <w:t>As far as</w:t>
      </w:r>
      <w:r w:rsidRPr="00C44889">
        <w:rPr>
          <w:rFonts w:ascii="Times New Roman" w:hAnsi="Times New Roman" w:cs="Times New Roman"/>
          <w:b/>
          <w:bCs/>
          <w:i/>
        </w:rPr>
        <w:t xml:space="preserve"> quic quid plantatur solo solo cedit </w:t>
      </w:r>
      <w:r w:rsidRPr="00C44889">
        <w:rPr>
          <w:rFonts w:ascii="Times New Roman" w:hAnsi="Times New Roman" w:cs="Times New Roman"/>
          <w:iCs/>
        </w:rPr>
        <w:t xml:space="preserve">is concerned </w:t>
      </w:r>
      <w:r w:rsidRPr="00C44889">
        <w:rPr>
          <w:rFonts w:ascii="Times New Roman" w:hAnsi="Times New Roman" w:cs="Times New Roman"/>
        </w:rPr>
        <w:t xml:space="preserve">these cases will suffice as perfect examples. </w:t>
      </w:r>
    </w:p>
    <w:p w14:paraId="2DC84EDC" w14:textId="5BA88B10" w:rsidR="00C44889" w:rsidRPr="00C44889" w:rsidRDefault="00C44889" w:rsidP="00D66CCB">
      <w:pPr>
        <w:jc w:val="both"/>
        <w:rPr>
          <w:rFonts w:ascii="Times New Roman" w:hAnsi="Times New Roman" w:cs="Times New Roman"/>
        </w:rPr>
      </w:pPr>
      <w:r w:rsidRPr="00C44889">
        <w:rPr>
          <w:rFonts w:ascii="Times New Roman" w:hAnsi="Times New Roman" w:cs="Times New Roman"/>
        </w:rPr>
        <w:t xml:space="preserve">In </w:t>
      </w:r>
      <w:r w:rsidRPr="00C44889">
        <w:rPr>
          <w:rFonts w:ascii="Times New Roman" w:hAnsi="Times New Roman" w:cs="Times New Roman"/>
          <w:u w:val="single"/>
        </w:rPr>
        <w:t>Elitestone v Morris [1997]</w:t>
      </w:r>
      <w:r w:rsidRPr="00C44889">
        <w:rPr>
          <w:rFonts w:ascii="Times New Roman" w:hAnsi="Times New Roman" w:cs="Times New Roman"/>
        </w:rPr>
        <w:t xml:space="preserve"> in the House of Lords, Elites</w:t>
      </w:r>
      <w:r w:rsidR="00865F69">
        <w:rPr>
          <w:rFonts w:ascii="Times New Roman" w:hAnsi="Times New Roman" w:cs="Times New Roman"/>
        </w:rPr>
        <w:t>t</w:t>
      </w:r>
      <w:r w:rsidRPr="00C44889">
        <w:rPr>
          <w:rFonts w:ascii="Times New Roman" w:hAnsi="Times New Roman" w:cs="Times New Roman"/>
        </w:rPr>
        <w:t xml:space="preserve">one wished to demolish the properties on the land with a view to redevelopment. Elitestone brought proceeding against all the residence seeking possession of the land. </w:t>
      </w:r>
      <w:r w:rsidR="00865F69" w:rsidRPr="00C44889">
        <w:rPr>
          <w:rFonts w:ascii="Times New Roman" w:hAnsi="Times New Roman" w:cs="Times New Roman"/>
        </w:rPr>
        <w:t>Mr.</w:t>
      </w:r>
      <w:r w:rsidRPr="00C44889">
        <w:rPr>
          <w:rFonts w:ascii="Times New Roman" w:hAnsi="Times New Roman" w:cs="Times New Roman"/>
        </w:rPr>
        <w:t xml:space="preserve"> Morris defended the action claiming protection under the Rent Acts. The Rent Act would only protect </w:t>
      </w:r>
      <w:r w:rsidR="00865F69" w:rsidRPr="00C44889">
        <w:rPr>
          <w:rFonts w:ascii="Times New Roman" w:hAnsi="Times New Roman" w:cs="Times New Roman"/>
        </w:rPr>
        <w:t>Mr.</w:t>
      </w:r>
      <w:r w:rsidRPr="00C44889">
        <w:rPr>
          <w:rFonts w:ascii="Times New Roman" w:hAnsi="Times New Roman" w:cs="Times New Roman"/>
        </w:rPr>
        <w:t xml:space="preserve"> Morris if the bungalow formed part of the realty. Elitestone argued that the bungalow was separate from the land since it rested on its own weight on concrete pillars and was not physically attached to the land.</w:t>
      </w:r>
    </w:p>
    <w:p w14:paraId="71EE70C5" w14:textId="3A647678" w:rsidR="00D40CE6" w:rsidRPr="00C44889" w:rsidRDefault="00C44889" w:rsidP="00D66CCB">
      <w:pPr>
        <w:jc w:val="both"/>
        <w:rPr>
          <w:rFonts w:ascii="Times New Roman" w:hAnsi="Times New Roman" w:cs="Times New Roman"/>
        </w:rPr>
      </w:pPr>
      <w:r w:rsidRPr="00C44889">
        <w:rPr>
          <w:rFonts w:ascii="Times New Roman" w:hAnsi="Times New Roman" w:cs="Times New Roman"/>
        </w:rPr>
        <w:t xml:space="preserve">In the case of </w:t>
      </w:r>
      <w:r w:rsidRPr="00C44889">
        <w:rPr>
          <w:rFonts w:ascii="Times New Roman" w:hAnsi="Times New Roman" w:cs="Times New Roman"/>
          <w:u w:val="single"/>
        </w:rPr>
        <w:t>Mew &amp; Anor v Tristmire [2012</w:t>
      </w:r>
      <w:r w:rsidR="00865F69" w:rsidRPr="00C44889">
        <w:rPr>
          <w:rFonts w:ascii="Times New Roman" w:hAnsi="Times New Roman" w:cs="Times New Roman"/>
          <w:u w:val="single"/>
        </w:rPr>
        <w:t>]</w:t>
      </w:r>
      <w:r w:rsidR="00865F69" w:rsidRPr="00C44889">
        <w:rPr>
          <w:rFonts w:ascii="Times New Roman" w:hAnsi="Times New Roman" w:cs="Times New Roman"/>
        </w:rPr>
        <w:t xml:space="preserve"> in</w:t>
      </w:r>
      <w:r w:rsidRPr="00C44889">
        <w:rPr>
          <w:rFonts w:ascii="Times New Roman" w:hAnsi="Times New Roman" w:cs="Times New Roman"/>
        </w:rPr>
        <w:t xml:space="preserve"> the Court of Appeal the two houseboats, "Emily" and "Watershed," were to be determined by the Court of Appeal as to whether they were chattels or a component of the real estate and so comprised a living place. Under the Housing Act of 1988, the defendants who owned and occupied the boats would not be subject to eviction if they were a component of the real estate. </w:t>
      </w:r>
      <w:r w:rsidR="00854A6F">
        <w:rPr>
          <w:rFonts w:ascii="Times New Roman" w:hAnsi="Times New Roman" w:cs="Times New Roman"/>
        </w:rPr>
        <w:t xml:space="preserve"> </w:t>
      </w:r>
      <w:r w:rsidRPr="00C44889">
        <w:rPr>
          <w:rFonts w:ascii="Times New Roman" w:hAnsi="Times New Roman" w:cs="Times New Roman"/>
        </w:rPr>
        <w:t>Even while a home is momentarily linked to utilities like electricity and water, it may still be considered chattel if it is built using detachable parts, either as a single unit or as separate units. However, a home that is built in a manner that makes it impossible to remove without destroying it cannot have been meant to remain a chattel. It had to be intended to be a component of the property.</w:t>
      </w:r>
    </w:p>
    <w:p w14:paraId="49AE03AE" w14:textId="7CAB9A19" w:rsidR="00C44889" w:rsidRPr="00D40CE6" w:rsidRDefault="006A5021" w:rsidP="00D66CCB">
      <w:pPr>
        <w:jc w:val="both"/>
        <w:rPr>
          <w:rFonts w:ascii="Times New Roman" w:hAnsi="Times New Roman" w:cs="Times New Roman"/>
          <w:b/>
          <w:bCs/>
          <w:u w:val="single"/>
        </w:rPr>
      </w:pPr>
      <w:r w:rsidRPr="00D40CE6">
        <w:rPr>
          <w:rFonts w:ascii="Times New Roman" w:hAnsi="Times New Roman" w:cs="Times New Roman"/>
          <w:b/>
          <w:bCs/>
          <w:u w:val="single"/>
        </w:rPr>
        <w:t>EXCEPTIONS TO THE STATUORY DEFINITIONS UNDER KENYAN LAW</w:t>
      </w:r>
    </w:p>
    <w:p w14:paraId="0559CD82" w14:textId="7C132402" w:rsidR="006A5021" w:rsidRDefault="006A5021" w:rsidP="002B0EAB">
      <w:pPr>
        <w:pStyle w:val="ListParagraph"/>
        <w:numPr>
          <w:ilvl w:val="0"/>
          <w:numId w:val="6"/>
        </w:numPr>
        <w:jc w:val="both"/>
        <w:rPr>
          <w:rFonts w:ascii="Times New Roman" w:hAnsi="Times New Roman" w:cs="Times New Roman"/>
        </w:rPr>
      </w:pPr>
      <w:bookmarkStart w:id="7" w:name="_Hlk158547465"/>
      <w:r w:rsidRPr="00D40CE6">
        <w:rPr>
          <w:rFonts w:ascii="Times New Roman" w:hAnsi="Times New Roman" w:cs="Times New Roman"/>
        </w:rPr>
        <w:t>The Water Act of 2016 section 7, states that, “no conveyance, lease or other instrument shall convey, assure, demise, transfer or vest in any person any property, right, interest or privilege in respect of any water resource except as may be prescribed under this Act.</w:t>
      </w:r>
    </w:p>
    <w:p w14:paraId="2ADA056A" w14:textId="435DB14B" w:rsidR="00D40CE6" w:rsidRDefault="00D40CE6" w:rsidP="002B0EAB">
      <w:pPr>
        <w:pStyle w:val="ListParagraph"/>
        <w:numPr>
          <w:ilvl w:val="0"/>
          <w:numId w:val="6"/>
        </w:numPr>
        <w:jc w:val="both"/>
        <w:rPr>
          <w:rFonts w:ascii="Times New Roman" w:hAnsi="Times New Roman" w:cs="Times New Roman"/>
        </w:rPr>
      </w:pPr>
      <w:r w:rsidRPr="00D40CE6">
        <w:rPr>
          <w:rFonts w:ascii="Times New Roman" w:hAnsi="Times New Roman" w:cs="Times New Roman"/>
        </w:rPr>
        <w:t>Section 6 of the Mining Act 2016 Act specifies that every mineral is the property of the Republic and is held by the national government on behalf of the people of Kenya. Therefore, the national government exercises control over the minerals regardless of who owns the land on or under which the mineral is found.</w:t>
      </w:r>
    </w:p>
    <w:bookmarkEnd w:id="7"/>
    <w:p w14:paraId="7C6771DE" w14:textId="77777777" w:rsidR="00D40CE6" w:rsidRDefault="00D40CE6" w:rsidP="00D40CE6">
      <w:pPr>
        <w:pStyle w:val="ListParagraph"/>
        <w:ind w:left="1440"/>
        <w:jc w:val="both"/>
        <w:rPr>
          <w:rFonts w:ascii="Times New Roman" w:hAnsi="Times New Roman" w:cs="Times New Roman"/>
        </w:rPr>
      </w:pPr>
    </w:p>
    <w:p w14:paraId="5603F7A8" w14:textId="278859DF" w:rsidR="00D40CE6" w:rsidRDefault="00D40CE6" w:rsidP="002B0EAB">
      <w:pPr>
        <w:pStyle w:val="ListParagraph"/>
        <w:numPr>
          <w:ilvl w:val="0"/>
          <w:numId w:val="6"/>
        </w:numPr>
        <w:jc w:val="both"/>
        <w:rPr>
          <w:rFonts w:ascii="Times New Roman" w:hAnsi="Times New Roman" w:cs="Times New Roman"/>
        </w:rPr>
      </w:pPr>
      <w:r w:rsidRPr="00D40CE6">
        <w:rPr>
          <w:rFonts w:ascii="Times New Roman" w:hAnsi="Times New Roman" w:cs="Times New Roman"/>
        </w:rPr>
        <w:t>Article 86 of the UN Convention on the Law of the Sea defines the high seas as parts of the sea that are not included in the exclusive economic zone, in the territorial sea or in the internal waters of a State, or in the archipelagic waters of an archipelagic state.</w:t>
      </w:r>
    </w:p>
    <w:p w14:paraId="6F64C514" w14:textId="77777777" w:rsidR="00D40CE6" w:rsidRPr="00D40CE6" w:rsidRDefault="00D40CE6" w:rsidP="00D40CE6">
      <w:pPr>
        <w:pStyle w:val="ListParagraph"/>
        <w:rPr>
          <w:rFonts w:ascii="Times New Roman" w:hAnsi="Times New Roman" w:cs="Times New Roman"/>
        </w:rPr>
      </w:pPr>
    </w:p>
    <w:p w14:paraId="34EC7C2E" w14:textId="6B307F2F" w:rsidR="00D40CE6" w:rsidRPr="00D40CE6" w:rsidRDefault="00D40CE6" w:rsidP="002B0EAB">
      <w:pPr>
        <w:pStyle w:val="ListParagraph"/>
        <w:numPr>
          <w:ilvl w:val="0"/>
          <w:numId w:val="6"/>
        </w:numPr>
        <w:jc w:val="both"/>
        <w:rPr>
          <w:rFonts w:ascii="Times New Roman" w:hAnsi="Times New Roman" w:cs="Times New Roman"/>
        </w:rPr>
      </w:pPr>
      <w:r w:rsidRPr="00D40CE6">
        <w:rPr>
          <w:rFonts w:ascii="Times New Roman" w:hAnsi="Times New Roman" w:cs="Times New Roman"/>
        </w:rPr>
        <w:t xml:space="preserve">Article II of the UN Treaties and Principles on Outer Space expressly forbids national appropriation by claims of sovereignty, use or occupation of outer space, including the moon and other celestial bodies. The exploration and use of outer space </w:t>
      </w:r>
      <w:r w:rsidR="00865F69" w:rsidRPr="00D40CE6">
        <w:rPr>
          <w:rFonts w:ascii="Times New Roman" w:hAnsi="Times New Roman" w:cs="Times New Roman"/>
        </w:rPr>
        <w:t>are</w:t>
      </w:r>
      <w:r w:rsidRPr="00D40CE6">
        <w:rPr>
          <w:rFonts w:ascii="Times New Roman" w:hAnsi="Times New Roman" w:cs="Times New Roman"/>
        </w:rPr>
        <w:t xml:space="preserve"> to be carried out for the benefit and in the interests of all countries without discrimination of any kind, and in accordance with international law, and there shall be free access to all areas of celestial bodies</w:t>
      </w:r>
    </w:p>
    <w:p w14:paraId="5E43BC13" w14:textId="612DAF45" w:rsidR="006A5021" w:rsidRPr="00C44889" w:rsidRDefault="006A5021" w:rsidP="00D66CCB">
      <w:pPr>
        <w:jc w:val="both"/>
        <w:rPr>
          <w:rFonts w:ascii="Times New Roman" w:hAnsi="Times New Roman" w:cs="Times New Roman"/>
        </w:rPr>
      </w:pPr>
    </w:p>
    <w:p w14:paraId="33D01117" w14:textId="77777777" w:rsidR="007710CE" w:rsidRPr="009D4CE1" w:rsidRDefault="007710CE" w:rsidP="00D66CCB">
      <w:pPr>
        <w:jc w:val="both"/>
      </w:pPr>
    </w:p>
    <w:p w14:paraId="502C61E4" w14:textId="77777777" w:rsidR="009D4CE1" w:rsidRPr="009D4CE1" w:rsidRDefault="009D4CE1" w:rsidP="00D66CCB">
      <w:pPr>
        <w:jc w:val="both"/>
      </w:pPr>
    </w:p>
    <w:p w14:paraId="51B44D0E" w14:textId="77777777" w:rsidR="009D4CE1" w:rsidRPr="009D4CE1" w:rsidRDefault="009D4CE1" w:rsidP="00D66CCB">
      <w:pPr>
        <w:jc w:val="both"/>
      </w:pPr>
    </w:p>
    <w:p w14:paraId="0CFCFB24" w14:textId="77777777" w:rsidR="00D32411" w:rsidRDefault="00D32411" w:rsidP="00D66CCB">
      <w:pPr>
        <w:jc w:val="both"/>
      </w:pPr>
    </w:p>
    <w:sectPr w:rsidR="00D324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B5E12" w14:textId="77777777" w:rsidR="00B115EC" w:rsidRDefault="00B115EC" w:rsidP="009D4CE1">
      <w:pPr>
        <w:spacing w:after="0" w:line="240" w:lineRule="auto"/>
      </w:pPr>
      <w:r>
        <w:separator/>
      </w:r>
    </w:p>
  </w:endnote>
  <w:endnote w:type="continuationSeparator" w:id="0">
    <w:p w14:paraId="6147C074" w14:textId="77777777" w:rsidR="00B115EC" w:rsidRDefault="00B115EC" w:rsidP="009D4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7B0DC" w14:textId="77777777" w:rsidR="00B115EC" w:rsidRDefault="00B115EC" w:rsidP="009D4CE1">
      <w:pPr>
        <w:spacing w:after="0" w:line="240" w:lineRule="auto"/>
      </w:pPr>
      <w:r>
        <w:separator/>
      </w:r>
    </w:p>
  </w:footnote>
  <w:footnote w:type="continuationSeparator" w:id="0">
    <w:p w14:paraId="6CEEFAE8" w14:textId="77777777" w:rsidR="00B115EC" w:rsidRDefault="00B115EC" w:rsidP="009D4CE1">
      <w:pPr>
        <w:spacing w:after="0" w:line="240" w:lineRule="auto"/>
      </w:pPr>
      <w:r>
        <w:continuationSeparator/>
      </w:r>
    </w:p>
  </w:footnote>
  <w:footnote w:id="1">
    <w:p w14:paraId="606271CF" w14:textId="77777777" w:rsidR="009D4CE1" w:rsidRPr="00DF4896" w:rsidRDefault="009D4CE1" w:rsidP="009D4CE1">
      <w:pPr>
        <w:pStyle w:val="FootnoteText"/>
        <w:rPr>
          <w:sz w:val="18"/>
          <w:szCs w:val="18"/>
        </w:rPr>
      </w:pPr>
      <w:r w:rsidRPr="00DF4896">
        <w:rPr>
          <w:rStyle w:val="FootnoteReference"/>
          <w:sz w:val="18"/>
          <w:szCs w:val="18"/>
        </w:rPr>
        <w:footnoteRef/>
      </w:r>
      <w:r w:rsidRPr="00DF4896">
        <w:rPr>
          <w:sz w:val="18"/>
          <w:szCs w:val="18"/>
        </w:rPr>
        <w:t xml:space="preserve"> </w:t>
      </w:r>
      <w:r>
        <w:rPr>
          <w:sz w:val="18"/>
          <w:szCs w:val="18"/>
        </w:rPr>
        <w:t>Frank Malcolm Hallmann</w:t>
      </w:r>
      <w:r w:rsidRPr="00DF4896">
        <w:rPr>
          <w:sz w:val="18"/>
          <w:szCs w:val="18"/>
        </w:rPr>
        <w:t>,</w:t>
      </w:r>
      <w:r>
        <w:rPr>
          <w:sz w:val="18"/>
          <w:szCs w:val="18"/>
        </w:rPr>
        <w:t xml:space="preserve"> </w:t>
      </w:r>
      <w:r w:rsidRPr="00CC2468">
        <w:rPr>
          <w:i/>
          <w:iCs/>
          <w:sz w:val="18"/>
          <w:szCs w:val="18"/>
        </w:rPr>
        <w:t>Hallmann's Legal Aspects of Boundary Surveying as Apply in New South Wales</w:t>
      </w:r>
      <w:r>
        <w:rPr>
          <w:sz w:val="18"/>
          <w:szCs w:val="18"/>
        </w:rPr>
        <w:t xml:space="preserve"> (</w:t>
      </w:r>
      <w:r w:rsidRPr="00CC2468">
        <w:rPr>
          <w:sz w:val="18"/>
          <w:szCs w:val="18"/>
        </w:rPr>
        <w:t>Institution of Surveyors, Australia, New South Wales Division 1994</w:t>
      </w:r>
      <w:r>
        <w:rPr>
          <w:sz w:val="18"/>
          <w:szCs w:val="18"/>
        </w:rPr>
        <w:t xml:space="preserve">) </w:t>
      </w:r>
      <w:r w:rsidRPr="00DF4896">
        <w:rPr>
          <w:sz w:val="18"/>
          <w:szCs w:val="18"/>
        </w:rPr>
        <w:t>9.1</w:t>
      </w:r>
    </w:p>
  </w:footnote>
  <w:footnote w:id="2">
    <w:p w14:paraId="3BB4F1BC" w14:textId="77777777" w:rsidR="009D4CE1" w:rsidRPr="00DF4896" w:rsidRDefault="009D4CE1" w:rsidP="009D4CE1">
      <w:pPr>
        <w:autoSpaceDE w:val="0"/>
        <w:autoSpaceDN w:val="0"/>
        <w:adjustRightInd w:val="0"/>
        <w:contextualSpacing/>
        <w:jc w:val="both"/>
        <w:rPr>
          <w:sz w:val="18"/>
          <w:szCs w:val="18"/>
        </w:rPr>
      </w:pPr>
      <w:r w:rsidRPr="00DF4896">
        <w:rPr>
          <w:rStyle w:val="FootnoteReference"/>
          <w:sz w:val="18"/>
          <w:szCs w:val="18"/>
        </w:rPr>
        <w:footnoteRef/>
      </w:r>
      <w:r w:rsidRPr="00DF4896">
        <w:rPr>
          <w:sz w:val="18"/>
          <w:szCs w:val="18"/>
        </w:rPr>
        <w:t xml:space="preserve"> Gray, K. J. &amp; Symes, P. D., </w:t>
      </w:r>
      <w:r w:rsidRPr="00DF4896">
        <w:rPr>
          <w:i/>
          <w:sz w:val="18"/>
          <w:szCs w:val="18"/>
        </w:rPr>
        <w:t>Real Property and Real People: Principles of Land Law</w:t>
      </w:r>
      <w:r w:rsidRPr="00DF4896">
        <w:rPr>
          <w:sz w:val="18"/>
          <w:szCs w:val="18"/>
        </w:rPr>
        <w:t>, (London: Butterworths, 1981), p</w:t>
      </w:r>
      <w:r>
        <w:rPr>
          <w:sz w:val="18"/>
          <w:szCs w:val="18"/>
        </w:rPr>
        <w:t xml:space="preserve"> </w:t>
      </w:r>
      <w:r w:rsidRPr="00DF4896">
        <w:rPr>
          <w:sz w:val="18"/>
          <w:szCs w:val="18"/>
        </w:rPr>
        <w:t xml:space="preserve">51. </w:t>
      </w:r>
    </w:p>
  </w:footnote>
  <w:footnote w:id="3">
    <w:p w14:paraId="27AA837A" w14:textId="77777777" w:rsidR="009D4CE1" w:rsidRPr="00DF4896" w:rsidRDefault="009D4CE1" w:rsidP="009D4CE1">
      <w:pPr>
        <w:pStyle w:val="FootnoteText"/>
        <w:contextualSpacing/>
        <w:rPr>
          <w:sz w:val="18"/>
          <w:szCs w:val="18"/>
        </w:rPr>
      </w:pPr>
      <w:r w:rsidRPr="00DF4896">
        <w:rPr>
          <w:rStyle w:val="FootnoteReference"/>
          <w:sz w:val="18"/>
          <w:szCs w:val="18"/>
        </w:rPr>
        <w:footnoteRef/>
      </w:r>
      <w:r w:rsidRPr="00DF4896">
        <w:rPr>
          <w:sz w:val="18"/>
          <w:szCs w:val="18"/>
        </w:rPr>
        <w:t xml:space="preserve"> </w:t>
      </w:r>
      <w:r w:rsidRPr="00DF4896">
        <w:rPr>
          <w:i/>
          <w:sz w:val="18"/>
          <w:szCs w:val="18"/>
        </w:rPr>
        <w:t>Lloyd v Jones</w:t>
      </w:r>
      <w:r w:rsidRPr="00DF4896">
        <w:rPr>
          <w:sz w:val="18"/>
          <w:szCs w:val="18"/>
        </w:rPr>
        <w:t xml:space="preserve"> (1848) 6 CB 81 at 90</w:t>
      </w:r>
    </w:p>
  </w:footnote>
  <w:footnote w:id="4">
    <w:p w14:paraId="5382B26A" w14:textId="77777777" w:rsidR="009D4CE1" w:rsidRDefault="009D4CE1" w:rsidP="009D4CE1">
      <w:pPr>
        <w:pStyle w:val="FootnoteText"/>
        <w:contextualSpacing/>
      </w:pPr>
      <w:r w:rsidRPr="00DF4896">
        <w:rPr>
          <w:rStyle w:val="FootnoteReference"/>
          <w:sz w:val="18"/>
          <w:szCs w:val="18"/>
        </w:rPr>
        <w:footnoteRef/>
      </w:r>
      <w:r w:rsidRPr="00DF4896">
        <w:rPr>
          <w:sz w:val="18"/>
          <w:szCs w:val="18"/>
        </w:rPr>
        <w:t xml:space="preserve"> Gray, K. J., &amp; Symes, P. D., </w:t>
      </w:r>
      <w:r w:rsidRPr="00DF4896">
        <w:rPr>
          <w:i/>
          <w:sz w:val="18"/>
          <w:szCs w:val="18"/>
        </w:rPr>
        <w:t>Real Property and Real People: Principles of Land Law,</w:t>
      </w:r>
      <w:r w:rsidRPr="00DF4896">
        <w:rPr>
          <w:sz w:val="18"/>
          <w:szCs w:val="18"/>
        </w:rPr>
        <w:t xml:space="preserve"> (London: Butterworths, 1981), p 51</w:t>
      </w:r>
    </w:p>
  </w:footnote>
  <w:footnote w:id="5">
    <w:p w14:paraId="58037734" w14:textId="77777777" w:rsidR="009D4CE1" w:rsidRPr="00DF4896" w:rsidRDefault="009D4CE1" w:rsidP="009D4CE1">
      <w:pPr>
        <w:autoSpaceDE w:val="0"/>
        <w:autoSpaceDN w:val="0"/>
        <w:adjustRightInd w:val="0"/>
        <w:jc w:val="both"/>
        <w:rPr>
          <w:sz w:val="18"/>
          <w:szCs w:val="18"/>
        </w:rPr>
      </w:pPr>
      <w:r w:rsidRPr="00DF4896">
        <w:rPr>
          <w:rStyle w:val="FootnoteReference"/>
          <w:sz w:val="18"/>
          <w:szCs w:val="18"/>
        </w:rPr>
        <w:footnoteRef/>
      </w:r>
      <w:r w:rsidRPr="00DF4896">
        <w:rPr>
          <w:sz w:val="18"/>
          <w:szCs w:val="18"/>
        </w:rPr>
        <w:t xml:space="preserve"> Coal Industry Nationalization Act, 1946, Petroleum (Product) Act, 1954. See also Gray, K. J., &amp; Symes, P. D., </w:t>
      </w:r>
      <w:r w:rsidRPr="00DF4896">
        <w:rPr>
          <w:i/>
          <w:sz w:val="18"/>
          <w:szCs w:val="18"/>
        </w:rPr>
        <w:t>op. cit</w:t>
      </w:r>
      <w:r w:rsidRPr="00DF4896">
        <w:rPr>
          <w:sz w:val="18"/>
          <w:szCs w:val="18"/>
        </w:rPr>
        <w:t>. p. 51.</w:t>
      </w:r>
    </w:p>
  </w:footnote>
  <w:footnote w:id="6">
    <w:p w14:paraId="1800F8E9" w14:textId="77777777" w:rsidR="009D4CE1" w:rsidRPr="00DF4896" w:rsidRDefault="009D4CE1" w:rsidP="009D4CE1">
      <w:pPr>
        <w:pStyle w:val="FootnoteText"/>
        <w:jc w:val="both"/>
        <w:rPr>
          <w:sz w:val="18"/>
          <w:szCs w:val="18"/>
        </w:rPr>
      </w:pPr>
      <w:r w:rsidRPr="00DF4896">
        <w:rPr>
          <w:rStyle w:val="FootnoteReference"/>
          <w:sz w:val="18"/>
          <w:szCs w:val="18"/>
        </w:rPr>
        <w:footnoteRef/>
      </w:r>
      <w:r w:rsidRPr="00DF4896">
        <w:rPr>
          <w:sz w:val="18"/>
          <w:szCs w:val="18"/>
        </w:rPr>
        <w:t xml:space="preserve"> </w:t>
      </w:r>
      <w:r w:rsidRPr="00DF4896">
        <w:rPr>
          <w:i/>
          <w:sz w:val="18"/>
          <w:szCs w:val="18"/>
        </w:rPr>
        <w:t>Bernstein v Sky views &amp; General Ltd</w:t>
      </w:r>
      <w:r w:rsidRPr="00DF4896">
        <w:rPr>
          <w:sz w:val="18"/>
          <w:szCs w:val="18"/>
        </w:rPr>
        <w:t xml:space="preserve"> [1978] QB 479; </w:t>
      </w:r>
      <w:r w:rsidRPr="00DF4896">
        <w:rPr>
          <w:i/>
          <w:sz w:val="18"/>
          <w:szCs w:val="18"/>
        </w:rPr>
        <w:t>Grigsby v Melville</w:t>
      </w:r>
      <w:r w:rsidRPr="00DF4896">
        <w:rPr>
          <w:sz w:val="18"/>
          <w:szCs w:val="18"/>
        </w:rPr>
        <w:t xml:space="preserve"> [1974] 1 WLR 80</w:t>
      </w:r>
    </w:p>
  </w:footnote>
  <w:footnote w:id="7">
    <w:p w14:paraId="7859AF26" w14:textId="77777777" w:rsidR="009D4CE1" w:rsidRPr="00DF4896" w:rsidRDefault="009D4CE1" w:rsidP="009D4CE1">
      <w:pPr>
        <w:pStyle w:val="FootnoteText"/>
        <w:rPr>
          <w:sz w:val="18"/>
          <w:szCs w:val="18"/>
        </w:rPr>
      </w:pPr>
      <w:r w:rsidRPr="00DF4896">
        <w:rPr>
          <w:rStyle w:val="FootnoteReference"/>
          <w:sz w:val="18"/>
          <w:szCs w:val="18"/>
        </w:rPr>
        <w:footnoteRef/>
      </w:r>
      <w:r w:rsidRPr="00DF4896">
        <w:rPr>
          <w:sz w:val="18"/>
          <w:szCs w:val="18"/>
        </w:rPr>
        <w:t xml:space="preserve"> &lt;https://najianalaw.com/2020/12/11/know-your-maxim-quicquid-plantatur-solo-solo-cedit/&gt; accessed 8 February 2024</w:t>
      </w:r>
    </w:p>
  </w:footnote>
  <w:footnote w:id="8">
    <w:p w14:paraId="23A140F7" w14:textId="77777777" w:rsidR="009D4CE1" w:rsidRPr="00DF4896" w:rsidRDefault="009D4CE1" w:rsidP="009D4CE1">
      <w:pPr>
        <w:pStyle w:val="FootnoteText"/>
        <w:rPr>
          <w:sz w:val="18"/>
          <w:szCs w:val="18"/>
        </w:rPr>
      </w:pPr>
      <w:r w:rsidRPr="00DF4896">
        <w:rPr>
          <w:rStyle w:val="FootnoteReference"/>
          <w:sz w:val="18"/>
          <w:szCs w:val="18"/>
        </w:rPr>
        <w:footnoteRef/>
      </w:r>
      <w:r w:rsidRPr="00DF4896">
        <w:rPr>
          <w:sz w:val="18"/>
          <w:szCs w:val="18"/>
        </w:rPr>
        <w:t xml:space="preserve"> [1872] LR 7 CP 328</w:t>
      </w:r>
    </w:p>
  </w:footnote>
  <w:footnote w:id="9">
    <w:p w14:paraId="7C45F674" w14:textId="77777777" w:rsidR="009D4CE1" w:rsidRPr="00DF4896" w:rsidRDefault="009D4CE1" w:rsidP="009D4CE1">
      <w:pPr>
        <w:pStyle w:val="FootnoteText"/>
        <w:rPr>
          <w:sz w:val="18"/>
          <w:szCs w:val="18"/>
        </w:rPr>
      </w:pPr>
      <w:r w:rsidRPr="00DF4896">
        <w:rPr>
          <w:rStyle w:val="FootnoteReference"/>
          <w:sz w:val="18"/>
          <w:szCs w:val="18"/>
        </w:rPr>
        <w:footnoteRef/>
      </w:r>
      <w:r w:rsidRPr="00DF4896">
        <w:rPr>
          <w:sz w:val="18"/>
          <w:szCs w:val="18"/>
        </w:rPr>
        <w:t xml:space="preserve"> [1997] 73 P &amp; CR D 1</w:t>
      </w:r>
    </w:p>
  </w:footnote>
  <w:footnote w:id="10">
    <w:p w14:paraId="230CBF39" w14:textId="77777777" w:rsidR="009D4CE1" w:rsidRPr="00DF4896" w:rsidRDefault="009D4CE1" w:rsidP="009D4CE1">
      <w:pPr>
        <w:pStyle w:val="FootnoteText"/>
        <w:rPr>
          <w:sz w:val="18"/>
          <w:szCs w:val="18"/>
        </w:rPr>
      </w:pPr>
      <w:r w:rsidRPr="00DF4896">
        <w:rPr>
          <w:rStyle w:val="FootnoteReference"/>
          <w:sz w:val="18"/>
          <w:szCs w:val="18"/>
        </w:rPr>
        <w:footnoteRef/>
      </w:r>
      <w:r w:rsidRPr="00DF4896">
        <w:rPr>
          <w:sz w:val="18"/>
          <w:szCs w:val="18"/>
        </w:rPr>
        <w:t xml:space="preserve"> [2001] 2 All ER 409</w:t>
      </w:r>
    </w:p>
  </w:footnote>
  <w:footnote w:id="11">
    <w:p w14:paraId="3B10A395" w14:textId="77777777" w:rsidR="009D4CE1" w:rsidRDefault="009D4CE1" w:rsidP="009D4CE1">
      <w:pPr>
        <w:pStyle w:val="FootnoteText"/>
      </w:pPr>
      <w:r w:rsidRPr="00DF4896">
        <w:rPr>
          <w:rStyle w:val="FootnoteReference"/>
          <w:sz w:val="18"/>
          <w:szCs w:val="18"/>
        </w:rPr>
        <w:footnoteRef/>
      </w:r>
      <w:r w:rsidRPr="00DF4896">
        <w:rPr>
          <w:sz w:val="18"/>
          <w:szCs w:val="18"/>
        </w:rPr>
        <w:t xml:space="preserve"> &lt;https://www.academia.edu/34434222/QUIC_QUID_PLANTATUR_SOLO_SOLO_CEDIT&gt; accessed 8 February 2024 </w:t>
      </w:r>
    </w:p>
  </w:footnote>
  <w:footnote w:id="12">
    <w:p w14:paraId="654F0B2A" w14:textId="707981B6" w:rsidR="00D5670D" w:rsidRPr="00D5670D" w:rsidRDefault="00D5670D">
      <w:pPr>
        <w:pStyle w:val="FootnoteText"/>
        <w:rPr>
          <w:lang w:val="en-GB"/>
        </w:rPr>
      </w:pPr>
      <w:r>
        <w:rPr>
          <w:rStyle w:val="FootnoteReference"/>
        </w:rPr>
        <w:footnoteRef/>
      </w:r>
      <w:r>
        <w:t xml:space="preserve"> </w:t>
      </w:r>
      <w:r>
        <w:rPr>
          <w:lang w:val="en-GB"/>
        </w:rPr>
        <w:t>The Constitution of the Republic of Kenya 2020, Article 260</w:t>
      </w:r>
    </w:p>
  </w:footnote>
  <w:footnote w:id="13">
    <w:p w14:paraId="76B9CAB2" w14:textId="3C0A7873" w:rsidR="00D5670D" w:rsidRPr="00D5670D" w:rsidRDefault="00D5670D">
      <w:pPr>
        <w:pStyle w:val="FootnoteText"/>
        <w:rPr>
          <w:lang w:val="en-GB"/>
        </w:rPr>
      </w:pPr>
      <w:r>
        <w:rPr>
          <w:rStyle w:val="FootnoteReference"/>
        </w:rPr>
        <w:footnoteRef/>
      </w:r>
      <w:r>
        <w:t xml:space="preserve"> T</w:t>
      </w:r>
      <w:r w:rsidRPr="00D5670D">
        <w:t>he Land Act No. 6 of 2012</w:t>
      </w:r>
    </w:p>
  </w:footnote>
  <w:footnote w:id="14">
    <w:p w14:paraId="52FDCA48" w14:textId="19C028BF" w:rsidR="00D5670D" w:rsidRPr="00D5670D" w:rsidRDefault="00D5670D">
      <w:pPr>
        <w:pStyle w:val="FootnoteText"/>
        <w:rPr>
          <w:lang w:val="en-GB"/>
        </w:rPr>
      </w:pPr>
      <w:r>
        <w:rPr>
          <w:rStyle w:val="FootnoteReference"/>
        </w:rPr>
        <w:footnoteRef/>
      </w:r>
      <w:r>
        <w:t xml:space="preserve"> The </w:t>
      </w:r>
      <w:r w:rsidRPr="00D5670D">
        <w:t>Land Registration Act of 2012</w:t>
      </w:r>
      <w:r>
        <w:t xml:space="preserve"> </w:t>
      </w:r>
    </w:p>
  </w:footnote>
  <w:footnote w:id="15">
    <w:p w14:paraId="383A6482" w14:textId="77777777" w:rsidR="00E16BE8" w:rsidRDefault="00E16BE8" w:rsidP="00E16BE8">
      <w:pPr>
        <w:pStyle w:val="FootnoteText"/>
      </w:pPr>
      <w:r w:rsidRPr="0DE60329">
        <w:rPr>
          <w:rStyle w:val="FootnoteReference"/>
          <w:rFonts w:ascii="Calibri" w:eastAsia="Calibri" w:hAnsi="Calibri" w:cs="Calibri"/>
        </w:rPr>
        <w:footnoteRef/>
      </w:r>
      <w:r w:rsidRPr="0DE60329">
        <w:rPr>
          <w:rFonts w:ascii="Calibri" w:eastAsia="Calibri" w:hAnsi="Calibri" w:cs="Calibri"/>
        </w:rPr>
        <w:t xml:space="preserve"> Land Control Act</w:t>
      </w:r>
    </w:p>
  </w:footnote>
  <w:footnote w:id="16">
    <w:p w14:paraId="0A3F90E4" w14:textId="4FC38072" w:rsidR="00D5670D" w:rsidRPr="00D5670D" w:rsidRDefault="00D5670D">
      <w:pPr>
        <w:pStyle w:val="FootnoteText"/>
        <w:rPr>
          <w:lang w:val="en-GB"/>
        </w:rPr>
      </w:pPr>
      <w:r>
        <w:rPr>
          <w:rStyle w:val="FootnoteReference"/>
        </w:rPr>
        <w:footnoteRef/>
      </w:r>
      <w:r>
        <w:t xml:space="preserve"> T</w:t>
      </w:r>
      <w:r w:rsidRPr="00D5670D">
        <w:t>he Land Control Act 34 of 1967</w:t>
      </w:r>
    </w:p>
  </w:footnote>
  <w:footnote w:id="17">
    <w:p w14:paraId="72B42001" w14:textId="436F1971" w:rsidR="007710CE" w:rsidRPr="00D5670D" w:rsidRDefault="007710CE" w:rsidP="00D5670D">
      <w:pPr>
        <w:spacing w:after="0"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Erin Ryan, ‘The Public Trust Doctrine, Property, and Society Handbook of Property, Law, and Society (Graham, Davies &amp; Godden, eds, (2022) p. 2</w:t>
      </w:r>
      <w:r w:rsidR="00D5670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Available at: https://ir.law.fsu.edu/articles/724</w:t>
      </w:r>
      <w:r>
        <w:rPr>
          <w:sz w:val="20"/>
          <w:szCs w:val="20"/>
        </w:rPr>
        <w:t xml:space="preserve">  </w:t>
      </w:r>
    </w:p>
  </w:footnote>
  <w:footnote w:id="18">
    <w:p w14:paraId="033CBAE1" w14:textId="63F0B618" w:rsidR="007710CE" w:rsidRDefault="007710CE" w:rsidP="00D5670D">
      <w:pPr>
        <w:spacing w:after="0"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Water Act 2016, S.5</w:t>
      </w:r>
    </w:p>
  </w:footnote>
  <w:footnote w:id="19">
    <w:p w14:paraId="4BDA0E99" w14:textId="5606F4F8" w:rsidR="007710CE" w:rsidRDefault="007710CE" w:rsidP="00D5670D">
      <w:pPr>
        <w:spacing w:after="0"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sidR="00865F69">
        <w:rPr>
          <w:rFonts w:ascii="Times New Roman" w:eastAsia="Times New Roman" w:hAnsi="Times New Roman" w:cs="Times New Roman"/>
          <w:sz w:val="20"/>
          <w:szCs w:val="20"/>
        </w:rPr>
        <w:t>ibid.</w:t>
      </w:r>
      <w:r>
        <w:rPr>
          <w:rFonts w:ascii="Times New Roman" w:eastAsia="Times New Roman" w:hAnsi="Times New Roman" w:cs="Times New Roman"/>
          <w:sz w:val="20"/>
          <w:szCs w:val="20"/>
        </w:rPr>
        <w:t xml:space="preserve"> </w:t>
      </w:r>
      <w:r w:rsidR="00865F69">
        <w:rPr>
          <w:rFonts w:ascii="Times New Roman" w:eastAsia="Times New Roman" w:hAnsi="Times New Roman" w:cs="Times New Roman"/>
          <w:sz w:val="20"/>
          <w:szCs w:val="20"/>
        </w:rPr>
        <w:t>S.6</w:t>
      </w:r>
    </w:p>
  </w:footnote>
  <w:footnote w:id="20">
    <w:p w14:paraId="076EDAA8" w14:textId="77777777" w:rsidR="007710CE" w:rsidRDefault="007710CE" w:rsidP="00D5670D">
      <w:pPr>
        <w:spacing w:after="0"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2018 (eKLR)</w:t>
      </w:r>
    </w:p>
  </w:footnote>
  <w:footnote w:id="21">
    <w:p w14:paraId="42C705B2" w14:textId="77777777" w:rsidR="007710CE" w:rsidRDefault="007710CE" w:rsidP="00D5670D">
      <w:pPr>
        <w:spacing w:after="0"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Mining Act 2016, s. 9(1)</w:t>
      </w:r>
    </w:p>
  </w:footnote>
  <w:footnote w:id="22">
    <w:p w14:paraId="68324D03" w14:textId="77777777" w:rsidR="007710CE" w:rsidRDefault="007710CE" w:rsidP="007710CE">
      <w:pPr>
        <w:spacing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United Nations Convention on the Law of the Sea, Art. 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4495A"/>
    <w:multiLevelType w:val="hybridMultilevel"/>
    <w:tmpl w:val="976696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C7068"/>
    <w:multiLevelType w:val="hybridMultilevel"/>
    <w:tmpl w:val="F0DCA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47DFD"/>
    <w:multiLevelType w:val="hybridMultilevel"/>
    <w:tmpl w:val="53CAFC5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FB51F8"/>
    <w:multiLevelType w:val="hybridMultilevel"/>
    <w:tmpl w:val="BF8E58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F51714"/>
    <w:multiLevelType w:val="hybridMultilevel"/>
    <w:tmpl w:val="43CC3DC8"/>
    <w:lvl w:ilvl="0" w:tplc="611A8F84">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573315EF"/>
    <w:multiLevelType w:val="hybridMultilevel"/>
    <w:tmpl w:val="FC2C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301B14"/>
    <w:multiLevelType w:val="hybridMultilevel"/>
    <w:tmpl w:val="E9C259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
  </w:num>
  <w:num w:numId="3">
    <w:abstractNumId w:val="0"/>
  </w:num>
  <w:num w:numId="4">
    <w:abstractNumId w:val="3"/>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CE1"/>
    <w:rsid w:val="002B0EAB"/>
    <w:rsid w:val="003C7642"/>
    <w:rsid w:val="004A46C3"/>
    <w:rsid w:val="00645BC4"/>
    <w:rsid w:val="00686FA8"/>
    <w:rsid w:val="006A5021"/>
    <w:rsid w:val="007710CE"/>
    <w:rsid w:val="00854A6F"/>
    <w:rsid w:val="00865F69"/>
    <w:rsid w:val="009B646E"/>
    <w:rsid w:val="009D4CE1"/>
    <w:rsid w:val="00AE43DF"/>
    <w:rsid w:val="00B115EC"/>
    <w:rsid w:val="00B76E4B"/>
    <w:rsid w:val="00BC7862"/>
    <w:rsid w:val="00C44889"/>
    <w:rsid w:val="00CA3D58"/>
    <w:rsid w:val="00D32411"/>
    <w:rsid w:val="00D40CE6"/>
    <w:rsid w:val="00D5670D"/>
    <w:rsid w:val="00D66CCB"/>
    <w:rsid w:val="00E143A5"/>
    <w:rsid w:val="00E16BE8"/>
    <w:rsid w:val="00E815E8"/>
    <w:rsid w:val="00EB66E8"/>
    <w:rsid w:val="00F15BCD"/>
    <w:rsid w:val="00F30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DCCF"/>
  <w15:docId w15:val="{C5E0F278-0452-4E0A-8988-217631220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9D4CE1"/>
    <w:rPr>
      <w:vertAlign w:val="superscript"/>
    </w:rPr>
  </w:style>
  <w:style w:type="paragraph" w:styleId="FootnoteText">
    <w:name w:val="footnote text"/>
    <w:basedOn w:val="Normal"/>
    <w:link w:val="FootnoteTextChar"/>
    <w:uiPriority w:val="99"/>
    <w:semiHidden/>
    <w:unhideWhenUsed/>
    <w:rsid w:val="009D4CE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D4CE1"/>
    <w:rPr>
      <w:kern w:val="2"/>
      <w:sz w:val="20"/>
      <w:szCs w:val="20"/>
      <w14:ligatures w14:val="standardContextual"/>
    </w:rPr>
  </w:style>
  <w:style w:type="character" w:styleId="Hyperlink">
    <w:name w:val="Hyperlink"/>
    <w:basedOn w:val="DefaultParagraphFont"/>
    <w:uiPriority w:val="99"/>
    <w:unhideWhenUsed/>
    <w:rsid w:val="009D4CE1"/>
    <w:rPr>
      <w:color w:val="0000FF" w:themeColor="hyperlink"/>
      <w:u w:val="single"/>
    </w:rPr>
  </w:style>
  <w:style w:type="paragraph" w:styleId="ListParagraph">
    <w:name w:val="List Paragraph"/>
    <w:basedOn w:val="Normal"/>
    <w:uiPriority w:val="34"/>
    <w:qFormat/>
    <w:rsid w:val="00C448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957934">
      <w:bodyDiv w:val="1"/>
      <w:marLeft w:val="0"/>
      <w:marRight w:val="0"/>
      <w:marTop w:val="0"/>
      <w:marBottom w:val="0"/>
      <w:divBdr>
        <w:top w:val="none" w:sz="0" w:space="0" w:color="auto"/>
        <w:left w:val="none" w:sz="0" w:space="0" w:color="auto"/>
        <w:bottom w:val="none" w:sz="0" w:space="0" w:color="auto"/>
        <w:right w:val="none" w:sz="0" w:space="0" w:color="auto"/>
      </w:divBdr>
    </w:div>
    <w:div w:id="96693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n.wikipedia.org/w/index.php?title=Botham_v_TSB_Plc&amp;action=edit&amp;redlink=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Dry_stone_wal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n.wikipedia.org/w/index.php?title=Holland_v_Hodgson&amp;action=edit&amp;redlink=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Chelsea_Yacht_and_Boat_Club_v_P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2F9B-332B-4E29-843E-07168D187912}"/>
</file>

<file path=customXml/itemProps2.xml><?xml version="1.0" encoding="utf-8"?>
<ds:datastoreItem xmlns:ds="http://schemas.openxmlformats.org/officeDocument/2006/customXml" ds:itemID="{54D8D164-9197-4492-8DBA-0A092F53A83A}">
  <ds:schemaRefs>
    <ds:schemaRef ds:uri="http://schemas.openxmlformats.org/officeDocument/2006/bibliography"/>
  </ds:schemaRefs>
</ds:datastoreItem>
</file>

<file path=customXml/itemProps3.xml><?xml version="1.0" encoding="utf-8"?>
<ds:datastoreItem xmlns:ds="http://schemas.openxmlformats.org/officeDocument/2006/customXml" ds:itemID="{32EF5E81-FC7F-40E6-8D29-639261036B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FF33D74-728D-4AC4-804A-167375C532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2937</Words>
  <Characters>16745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Mwendwa Katungo</cp:lastModifiedBy>
  <cp:revision>2</cp:revision>
  <dcterms:created xsi:type="dcterms:W3CDTF">2024-02-11T15:07:00Z</dcterms:created>
  <dcterms:modified xsi:type="dcterms:W3CDTF">2024-02-11T15:07:00Z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