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2A0AF" w14:textId="59424383" w:rsidR="00697CAB" w:rsidRPr="00697CAB" w:rsidRDefault="00697CAB" w:rsidP="00C75487">
      <w:pPr>
        <w:pStyle w:val="Heading1"/>
        <w:rPr>
          <w:rFonts w:ascii="Palatino Linotype" w:hAnsi="Palatino Linotype"/>
          <w:b/>
          <w:sz w:val="24"/>
          <w:szCs w:val="24"/>
        </w:rPr>
      </w:pPr>
      <w:r w:rsidRPr="00697CAB">
        <w:rPr>
          <w:rFonts w:ascii="Palatino Linotype" w:hAnsi="Palatino Linotype"/>
          <w:b/>
          <w:sz w:val="24"/>
          <w:szCs w:val="24"/>
          <w:lang w:val="en-US"/>
        </w:rPr>
        <w:t>REVISION</w:t>
      </w:r>
    </w:p>
    <w:p w14:paraId="3899764E" w14:textId="77777777" w:rsidR="00697CAB" w:rsidRDefault="00697CAB" w:rsidP="00F310E2">
      <w:pPr>
        <w:pStyle w:val="Heading2"/>
        <w:numPr>
          <w:ilvl w:val="0"/>
          <w:numId w:val="4"/>
        </w:numPr>
        <w:rPr>
          <w:rFonts w:ascii="Palatino Linotype" w:hAnsi="Palatino Linotype"/>
          <w:b/>
          <w:sz w:val="24"/>
          <w:szCs w:val="24"/>
          <w:lang w:val="en-US"/>
        </w:rPr>
      </w:pPr>
      <w:r>
        <w:rPr>
          <w:rFonts w:ascii="Palatino Linotype" w:hAnsi="Palatino Linotype"/>
          <w:b/>
          <w:sz w:val="24"/>
          <w:szCs w:val="24"/>
          <w:lang w:val="en-US"/>
        </w:rPr>
        <w:t>Introduction</w:t>
      </w:r>
    </w:p>
    <w:p w14:paraId="21BA977D" w14:textId="3F389B58" w:rsidR="009545A0" w:rsidRDefault="00697CAB" w:rsidP="009545A0">
      <w:pPr>
        <w:jc w:val="both"/>
        <w:rPr>
          <w:rFonts w:ascii="Palatino Linotype" w:hAnsi="Palatino Linotype"/>
          <w:bCs/>
          <w:sz w:val="24"/>
          <w:szCs w:val="24"/>
        </w:rPr>
      </w:pPr>
      <w:bookmarkStart w:id="0" w:name="_Hlk178452404"/>
      <w:r w:rsidRPr="00697CAB">
        <w:rPr>
          <w:rFonts w:ascii="Palatino Linotype" w:hAnsi="Palatino Linotype"/>
          <w:bCs/>
          <w:sz w:val="24"/>
          <w:szCs w:val="24"/>
        </w:rPr>
        <w:t xml:space="preserve">Revision is a power bestowed upon </w:t>
      </w:r>
      <w:r w:rsidR="002C21AB">
        <w:rPr>
          <w:rFonts w:ascii="Palatino Linotype" w:hAnsi="Palatino Linotype"/>
          <w:bCs/>
          <w:sz w:val="24"/>
          <w:szCs w:val="24"/>
        </w:rPr>
        <w:t>t</w:t>
      </w:r>
      <w:r w:rsidR="002C21AB" w:rsidRPr="00697CAB">
        <w:rPr>
          <w:rFonts w:ascii="Palatino Linotype" w:hAnsi="Palatino Linotype"/>
          <w:bCs/>
          <w:sz w:val="24"/>
          <w:szCs w:val="24"/>
        </w:rPr>
        <w:t>he High Court</w:t>
      </w:r>
      <w:r w:rsidR="002C21AB">
        <w:rPr>
          <w:rStyle w:val="FootnoteReference"/>
          <w:rFonts w:ascii="Palatino Linotype" w:hAnsi="Palatino Linotype"/>
          <w:bCs/>
          <w:sz w:val="24"/>
          <w:szCs w:val="24"/>
        </w:rPr>
        <w:footnoteReference w:id="1"/>
      </w:r>
      <w:r w:rsidR="002C21AB" w:rsidRPr="00697CAB">
        <w:rPr>
          <w:rFonts w:ascii="Palatino Linotype" w:hAnsi="Palatino Linotype"/>
          <w:bCs/>
          <w:sz w:val="24"/>
          <w:szCs w:val="24"/>
        </w:rPr>
        <w:t xml:space="preserve"> </w:t>
      </w:r>
      <w:r w:rsidRPr="00697CAB">
        <w:rPr>
          <w:rFonts w:ascii="Palatino Linotype" w:hAnsi="Palatino Linotype"/>
          <w:bCs/>
          <w:sz w:val="24"/>
          <w:szCs w:val="24"/>
        </w:rPr>
        <w:t xml:space="preserve">to revise the records of </w:t>
      </w:r>
      <w:r w:rsidR="002C21AB" w:rsidRPr="00697CAB">
        <w:rPr>
          <w:rFonts w:ascii="Palatino Linotype" w:hAnsi="Palatino Linotype"/>
          <w:bCs/>
          <w:sz w:val="24"/>
          <w:szCs w:val="24"/>
        </w:rPr>
        <w:t>subordinate court</w:t>
      </w:r>
      <w:r w:rsidR="00D360FF">
        <w:rPr>
          <w:rStyle w:val="FootnoteReference"/>
          <w:rFonts w:ascii="Palatino Linotype" w:hAnsi="Palatino Linotype"/>
          <w:bCs/>
          <w:sz w:val="24"/>
          <w:szCs w:val="24"/>
        </w:rPr>
        <w:footnoteReference w:id="2"/>
      </w:r>
      <w:r w:rsidR="002C21AB">
        <w:rPr>
          <w:rFonts w:ascii="Palatino Linotype" w:hAnsi="Palatino Linotype"/>
          <w:bCs/>
          <w:sz w:val="24"/>
          <w:szCs w:val="24"/>
        </w:rPr>
        <w:t xml:space="preserve"> </w:t>
      </w:r>
      <w:r w:rsidRPr="00697CAB">
        <w:rPr>
          <w:rFonts w:ascii="Palatino Linotype" w:hAnsi="Palatino Linotype"/>
          <w:bCs/>
          <w:sz w:val="24"/>
          <w:szCs w:val="24"/>
        </w:rPr>
        <w:t xml:space="preserve">to satisfy itself as regards the correctness, legality or propriety of any finding, sentence or order recorded or passed, and also as to the regularity of any proceedings of any such subordinate court. </w:t>
      </w:r>
    </w:p>
    <w:bookmarkEnd w:id="0"/>
    <w:p w14:paraId="0D6FE998" w14:textId="2D786699" w:rsidR="009545A0" w:rsidRPr="009545A0" w:rsidRDefault="009545A0" w:rsidP="00A1611E">
      <w:pPr>
        <w:jc w:val="both"/>
        <w:rPr>
          <w:rFonts w:ascii="Palatino Linotype" w:hAnsi="Palatino Linotype"/>
          <w:bCs/>
          <w:i/>
          <w:iCs/>
          <w:sz w:val="24"/>
          <w:szCs w:val="24"/>
        </w:rPr>
      </w:pPr>
      <w:r w:rsidRPr="009545A0">
        <w:rPr>
          <w:rFonts w:ascii="Palatino Linotype" w:hAnsi="Palatino Linotype"/>
          <w:bCs/>
          <w:sz w:val="24"/>
          <w:szCs w:val="24"/>
        </w:rPr>
        <w:t>The High Court when exercising its powers of revision has discretion to hear or not to hear</w:t>
      </w:r>
      <w:r w:rsidR="00A1611E">
        <w:rPr>
          <w:rStyle w:val="FootnoteReference"/>
          <w:rFonts w:ascii="Palatino Linotype" w:hAnsi="Palatino Linotype"/>
          <w:bCs/>
          <w:sz w:val="24"/>
          <w:szCs w:val="24"/>
        </w:rPr>
        <w:footnoteReference w:id="3"/>
      </w:r>
      <w:r w:rsidRPr="009545A0">
        <w:rPr>
          <w:rFonts w:ascii="Palatino Linotype" w:hAnsi="Palatino Linotype"/>
          <w:bCs/>
          <w:sz w:val="24"/>
          <w:szCs w:val="24"/>
        </w:rPr>
        <w:t xml:space="preserve"> the parties either personally or through their advocates</w:t>
      </w:r>
      <w:r>
        <w:rPr>
          <w:rStyle w:val="FootnoteReference"/>
          <w:rFonts w:ascii="Palatino Linotype" w:hAnsi="Palatino Linotype"/>
          <w:bCs/>
          <w:sz w:val="24"/>
          <w:szCs w:val="24"/>
        </w:rPr>
        <w:footnoteReference w:id="4"/>
      </w:r>
      <w:r w:rsidRPr="009545A0">
        <w:rPr>
          <w:rFonts w:ascii="Palatino Linotype" w:hAnsi="Palatino Linotype"/>
          <w:bCs/>
          <w:sz w:val="24"/>
          <w:szCs w:val="24"/>
        </w:rPr>
        <w:t xml:space="preserve">. </w:t>
      </w:r>
    </w:p>
    <w:p w14:paraId="06E92329" w14:textId="77376502" w:rsidR="009545A0" w:rsidRDefault="009545A0" w:rsidP="009545A0">
      <w:pPr>
        <w:jc w:val="both"/>
        <w:rPr>
          <w:rFonts w:ascii="Palatino Linotype" w:hAnsi="Palatino Linotype"/>
          <w:bCs/>
          <w:sz w:val="24"/>
          <w:szCs w:val="24"/>
        </w:rPr>
      </w:pPr>
      <w:r w:rsidRPr="009545A0">
        <w:rPr>
          <w:rFonts w:ascii="Palatino Linotype" w:hAnsi="Palatino Linotype"/>
          <w:bCs/>
          <w:sz w:val="24"/>
          <w:szCs w:val="24"/>
        </w:rPr>
        <w:t xml:space="preserve">All proceedings before the High Court in the exercise of the revisional jurisdiction may be heard and any judgment or order thereon may be made or passed by one judge. But if and when the court is composed of more than one judge and the court is equally divided in opinion, the sentence or order of the subordinate court shall </w:t>
      </w:r>
      <w:r w:rsidR="002C21AB">
        <w:rPr>
          <w:rFonts w:ascii="Palatino Linotype" w:hAnsi="Palatino Linotype"/>
          <w:bCs/>
          <w:sz w:val="24"/>
          <w:szCs w:val="24"/>
        </w:rPr>
        <w:t>b</w:t>
      </w:r>
      <w:r w:rsidRPr="009545A0">
        <w:rPr>
          <w:rFonts w:ascii="Palatino Linotype" w:hAnsi="Palatino Linotype"/>
          <w:bCs/>
          <w:sz w:val="24"/>
          <w:szCs w:val="24"/>
        </w:rPr>
        <w:t>e upheld</w:t>
      </w:r>
      <w:r w:rsidR="00A1611E">
        <w:rPr>
          <w:rFonts w:ascii="Palatino Linotype" w:hAnsi="Palatino Linotype"/>
          <w:bCs/>
          <w:sz w:val="24"/>
          <w:szCs w:val="24"/>
        </w:rPr>
        <w:t>.</w:t>
      </w:r>
      <w:r>
        <w:rPr>
          <w:rStyle w:val="FootnoteReference"/>
          <w:rFonts w:ascii="Palatino Linotype" w:hAnsi="Palatino Linotype"/>
          <w:bCs/>
          <w:sz w:val="24"/>
          <w:szCs w:val="24"/>
        </w:rPr>
        <w:footnoteReference w:id="5"/>
      </w:r>
    </w:p>
    <w:p w14:paraId="1A8374F9" w14:textId="3DE1B532" w:rsidR="009545A0" w:rsidRDefault="009545A0" w:rsidP="009545A0">
      <w:pPr>
        <w:jc w:val="both"/>
        <w:rPr>
          <w:rFonts w:ascii="Palatino Linotype" w:hAnsi="Palatino Linotype"/>
          <w:bCs/>
          <w:sz w:val="24"/>
          <w:szCs w:val="24"/>
        </w:rPr>
      </w:pPr>
      <w:r w:rsidRPr="009545A0">
        <w:rPr>
          <w:rFonts w:ascii="Palatino Linotype" w:hAnsi="Palatino Linotype"/>
          <w:bCs/>
          <w:sz w:val="24"/>
          <w:szCs w:val="24"/>
        </w:rPr>
        <w:t>Upon revision by the High Court, it shall certify its decision or order to the Court by which the sentence or order so revised was recorded or passed and that court is to make orders in conformity with the decision so certified and where it is necessary shall amend, the record to accord with the decision</w:t>
      </w:r>
      <w:r>
        <w:rPr>
          <w:rFonts w:ascii="Palatino Linotype" w:hAnsi="Palatino Linotype"/>
          <w:bCs/>
          <w:sz w:val="24"/>
          <w:szCs w:val="24"/>
        </w:rPr>
        <w:t>.</w:t>
      </w:r>
      <w:r>
        <w:rPr>
          <w:rStyle w:val="FootnoteReference"/>
          <w:rFonts w:ascii="Palatino Linotype" w:hAnsi="Palatino Linotype"/>
          <w:bCs/>
          <w:sz w:val="24"/>
          <w:szCs w:val="24"/>
        </w:rPr>
        <w:footnoteReference w:id="6"/>
      </w:r>
    </w:p>
    <w:p w14:paraId="4437C536" w14:textId="77777777" w:rsidR="00C75487" w:rsidRPr="00697CAB" w:rsidRDefault="00C75487" w:rsidP="00F310E2">
      <w:pPr>
        <w:pStyle w:val="Heading2"/>
        <w:numPr>
          <w:ilvl w:val="0"/>
          <w:numId w:val="4"/>
        </w:numPr>
        <w:rPr>
          <w:rFonts w:ascii="Palatino Linotype" w:hAnsi="Palatino Linotype"/>
          <w:bCs/>
          <w:sz w:val="24"/>
          <w:szCs w:val="24"/>
          <w:lang w:val="en-US"/>
        </w:rPr>
      </w:pPr>
      <w:r w:rsidRPr="00697CAB">
        <w:rPr>
          <w:rFonts w:ascii="Palatino Linotype" w:hAnsi="Palatino Linotype"/>
          <w:b/>
          <w:sz w:val="24"/>
          <w:szCs w:val="24"/>
          <w:lang w:val="en-US"/>
        </w:rPr>
        <w:t>Nature of Revision</w:t>
      </w:r>
    </w:p>
    <w:p w14:paraId="2A95944A" w14:textId="12FE3DAD" w:rsidR="00C75487" w:rsidRDefault="00C75487" w:rsidP="00C75487">
      <w:pPr>
        <w:jc w:val="both"/>
        <w:rPr>
          <w:rFonts w:ascii="Palatino Linotype" w:hAnsi="Palatino Linotype"/>
          <w:sz w:val="24"/>
          <w:szCs w:val="24"/>
          <w:lang w:val="en-US"/>
        </w:rPr>
      </w:pPr>
      <w:bookmarkStart w:id="1" w:name="_Hlk178452580"/>
      <w:r w:rsidRPr="00697CAB">
        <w:rPr>
          <w:rFonts w:ascii="Palatino Linotype" w:hAnsi="Palatino Linotype"/>
          <w:sz w:val="24"/>
          <w:szCs w:val="24"/>
          <w:lang w:val="en-US"/>
        </w:rPr>
        <w:t>Revision is the judicial procedure whereby the High Court examines and corrects the mistakes of lower courts which appear on the face of the record</w:t>
      </w:r>
      <w:bookmarkEnd w:id="1"/>
      <w:r w:rsidRPr="00697CAB">
        <w:rPr>
          <w:rFonts w:ascii="Palatino Linotype" w:hAnsi="Palatino Linotype"/>
          <w:sz w:val="24"/>
          <w:szCs w:val="24"/>
          <w:lang w:val="en-US"/>
        </w:rPr>
        <w:t xml:space="preserve">. </w:t>
      </w:r>
      <w:bookmarkStart w:id="2" w:name="_Hlk178452699"/>
      <w:r w:rsidRPr="00697CAB">
        <w:rPr>
          <w:rFonts w:ascii="Palatino Linotype" w:hAnsi="Palatino Linotype"/>
          <w:sz w:val="24"/>
          <w:szCs w:val="24"/>
          <w:lang w:val="en-US"/>
        </w:rPr>
        <w:t xml:space="preserve">Revision differs from appeals in that the court may act on its own motion whereas in appeals one party </w:t>
      </w:r>
      <w:proofErr w:type="gramStart"/>
      <w:r w:rsidRPr="00697CAB">
        <w:rPr>
          <w:rFonts w:ascii="Palatino Linotype" w:hAnsi="Palatino Linotype"/>
          <w:sz w:val="24"/>
          <w:szCs w:val="24"/>
          <w:lang w:val="en-US"/>
        </w:rPr>
        <w:t>has to</w:t>
      </w:r>
      <w:proofErr w:type="gramEnd"/>
      <w:r w:rsidRPr="00697CAB">
        <w:rPr>
          <w:rFonts w:ascii="Palatino Linotype" w:hAnsi="Palatino Linotype"/>
          <w:sz w:val="24"/>
          <w:szCs w:val="24"/>
          <w:lang w:val="en-US"/>
        </w:rPr>
        <w:t xml:space="preserve"> move the higher court to review a decision of the lower court. In general</w:t>
      </w:r>
      <w:r w:rsidR="00AD6D4B">
        <w:rPr>
          <w:rFonts w:ascii="Palatino Linotype" w:hAnsi="Palatino Linotype"/>
          <w:sz w:val="24"/>
          <w:szCs w:val="24"/>
          <w:lang w:val="en-US"/>
        </w:rPr>
        <w:t>,</w:t>
      </w:r>
      <w:r w:rsidRPr="00697CAB">
        <w:rPr>
          <w:rFonts w:ascii="Palatino Linotype" w:hAnsi="Palatino Linotype"/>
          <w:sz w:val="24"/>
          <w:szCs w:val="24"/>
          <w:lang w:val="en-US"/>
        </w:rPr>
        <w:t xml:space="preserve"> revision is resorted to by a party where there is no right of appeal. </w:t>
      </w:r>
    </w:p>
    <w:p w14:paraId="4766B565" w14:textId="77777777" w:rsidR="00C75487" w:rsidRPr="00697CAB" w:rsidRDefault="00C75487" w:rsidP="00C75487">
      <w:pPr>
        <w:jc w:val="both"/>
        <w:rPr>
          <w:rFonts w:ascii="Palatino Linotype" w:hAnsi="Palatino Linotype"/>
          <w:sz w:val="24"/>
          <w:szCs w:val="24"/>
          <w:lang w:val="en-US"/>
        </w:rPr>
      </w:pPr>
      <w:r w:rsidRPr="00697CAB">
        <w:rPr>
          <w:rFonts w:ascii="Palatino Linotype" w:hAnsi="Palatino Linotype"/>
          <w:sz w:val="24"/>
          <w:szCs w:val="24"/>
          <w:lang w:val="en-US"/>
        </w:rPr>
        <w:t xml:space="preserve">However, like in appeals, only the record of the lower court is considered, and parties are not normally permitted to adduce fresh evidence, nor does the court usually call for such evidence before an order in revision is made. </w:t>
      </w:r>
    </w:p>
    <w:bookmarkEnd w:id="2"/>
    <w:p w14:paraId="489CD8D8" w14:textId="77777777" w:rsidR="00C75487" w:rsidRDefault="00C75487" w:rsidP="009545A0">
      <w:pPr>
        <w:jc w:val="both"/>
        <w:rPr>
          <w:rFonts w:ascii="Palatino Linotype" w:hAnsi="Palatino Linotype"/>
          <w:bCs/>
          <w:sz w:val="24"/>
          <w:szCs w:val="24"/>
        </w:rPr>
      </w:pPr>
    </w:p>
    <w:p w14:paraId="17680BC2" w14:textId="77777777" w:rsidR="00C75487" w:rsidRDefault="00C75487" w:rsidP="009545A0">
      <w:pPr>
        <w:jc w:val="both"/>
        <w:rPr>
          <w:rFonts w:ascii="Palatino Linotype" w:hAnsi="Palatino Linotype"/>
          <w:bCs/>
          <w:sz w:val="24"/>
          <w:szCs w:val="24"/>
        </w:rPr>
      </w:pPr>
    </w:p>
    <w:p w14:paraId="796BC622" w14:textId="531F40FE" w:rsidR="009545A0" w:rsidRDefault="00C75487" w:rsidP="00F310E2">
      <w:pPr>
        <w:pStyle w:val="Heading2"/>
        <w:numPr>
          <w:ilvl w:val="0"/>
          <w:numId w:val="4"/>
        </w:numPr>
        <w:rPr>
          <w:rFonts w:ascii="Palatino Linotype" w:hAnsi="Palatino Linotype"/>
          <w:b/>
          <w:sz w:val="24"/>
          <w:szCs w:val="24"/>
          <w:lang w:val="en-US"/>
        </w:rPr>
      </w:pPr>
      <w:r>
        <w:rPr>
          <w:rFonts w:ascii="Palatino Linotype" w:hAnsi="Palatino Linotype"/>
          <w:b/>
          <w:sz w:val="24"/>
          <w:szCs w:val="24"/>
          <w:lang w:val="en-US"/>
        </w:rPr>
        <w:lastRenderedPageBreak/>
        <w:t>Extent of powers of revision</w:t>
      </w:r>
    </w:p>
    <w:p w14:paraId="38B3B040" w14:textId="77777777" w:rsidR="00A60549" w:rsidRDefault="009545A0" w:rsidP="009545A0">
      <w:pPr>
        <w:jc w:val="both"/>
        <w:rPr>
          <w:rFonts w:ascii="Palatino Linotype" w:hAnsi="Palatino Linotype"/>
          <w:bCs/>
          <w:sz w:val="24"/>
          <w:szCs w:val="24"/>
        </w:rPr>
      </w:pPr>
      <w:r w:rsidRPr="009545A0">
        <w:rPr>
          <w:rFonts w:ascii="Palatino Linotype" w:hAnsi="Palatino Linotype"/>
          <w:bCs/>
          <w:sz w:val="24"/>
          <w:szCs w:val="24"/>
        </w:rPr>
        <w:t xml:space="preserve">The extent to which a court may revise records has also been the subject of judicial determination. Although no iron clad rule has as yet been made, the various decisions shed some light on the point. </w:t>
      </w:r>
    </w:p>
    <w:p w14:paraId="36C9F1F5" w14:textId="77777777" w:rsidR="00A60549" w:rsidRPr="00A60549" w:rsidRDefault="00A60549" w:rsidP="00765EED">
      <w:pPr>
        <w:pStyle w:val="ListParagraph"/>
        <w:numPr>
          <w:ilvl w:val="0"/>
          <w:numId w:val="3"/>
        </w:numPr>
        <w:jc w:val="both"/>
        <w:outlineLvl w:val="2"/>
        <w:rPr>
          <w:rFonts w:ascii="Palatino Linotype" w:hAnsi="Palatino Linotype"/>
          <w:b/>
          <w:sz w:val="24"/>
          <w:szCs w:val="24"/>
        </w:rPr>
      </w:pPr>
      <w:r w:rsidRPr="00A60549">
        <w:rPr>
          <w:rFonts w:ascii="Palatino Linotype" w:hAnsi="Palatino Linotype"/>
          <w:b/>
          <w:sz w:val="24"/>
          <w:szCs w:val="24"/>
        </w:rPr>
        <w:t>Absolute discharge</w:t>
      </w:r>
    </w:p>
    <w:p w14:paraId="03494BC4" w14:textId="5EBDEA14" w:rsidR="008A0952" w:rsidRDefault="009545A0" w:rsidP="009545A0">
      <w:pPr>
        <w:jc w:val="both"/>
        <w:rPr>
          <w:rFonts w:ascii="Palatino Linotype" w:hAnsi="Palatino Linotype"/>
          <w:bCs/>
          <w:sz w:val="24"/>
          <w:szCs w:val="24"/>
        </w:rPr>
      </w:pPr>
      <w:r w:rsidRPr="009545A0">
        <w:rPr>
          <w:rFonts w:ascii="Palatino Linotype" w:hAnsi="Palatino Linotype"/>
          <w:bCs/>
          <w:sz w:val="24"/>
          <w:szCs w:val="24"/>
        </w:rPr>
        <w:t xml:space="preserve">The Kenyan case of Nathan </w:t>
      </w:r>
      <w:r w:rsidRPr="00A60549">
        <w:rPr>
          <w:rFonts w:ascii="Palatino Linotype" w:hAnsi="Palatino Linotype"/>
          <w:b/>
          <w:i/>
          <w:iCs/>
          <w:sz w:val="24"/>
          <w:szCs w:val="24"/>
        </w:rPr>
        <w:t xml:space="preserve">Godfrey Odhiambo </w:t>
      </w:r>
      <w:proofErr w:type="spellStart"/>
      <w:r w:rsidRPr="00A60549">
        <w:rPr>
          <w:rFonts w:ascii="Palatino Linotype" w:hAnsi="Palatino Linotype"/>
          <w:b/>
          <w:i/>
          <w:iCs/>
          <w:sz w:val="24"/>
          <w:szCs w:val="24"/>
        </w:rPr>
        <w:t>Obiro</w:t>
      </w:r>
      <w:proofErr w:type="spellEnd"/>
      <w:r w:rsidRPr="00A60549">
        <w:rPr>
          <w:rFonts w:ascii="Palatino Linotype" w:hAnsi="Palatino Linotype"/>
          <w:b/>
          <w:i/>
          <w:iCs/>
          <w:sz w:val="24"/>
          <w:szCs w:val="24"/>
        </w:rPr>
        <w:t xml:space="preserve"> vs. R</w:t>
      </w:r>
      <w:r w:rsidR="008A0952">
        <w:rPr>
          <w:rStyle w:val="FootnoteReference"/>
          <w:rFonts w:ascii="Palatino Linotype" w:hAnsi="Palatino Linotype"/>
          <w:bCs/>
          <w:sz w:val="24"/>
          <w:szCs w:val="24"/>
        </w:rPr>
        <w:footnoteReference w:id="7"/>
      </w:r>
      <w:r w:rsidRPr="009545A0">
        <w:rPr>
          <w:rFonts w:ascii="Palatino Linotype" w:hAnsi="Palatino Linotype"/>
          <w:bCs/>
          <w:sz w:val="24"/>
          <w:szCs w:val="24"/>
        </w:rPr>
        <w:t xml:space="preserve"> is relevant. </w:t>
      </w:r>
      <w:r w:rsidR="008A0952" w:rsidRPr="008A0952">
        <w:rPr>
          <w:rFonts w:ascii="Palatino Linotype" w:hAnsi="Palatino Linotype"/>
          <w:bCs/>
          <w:sz w:val="24"/>
          <w:szCs w:val="24"/>
        </w:rPr>
        <w:t>The Supreme Court of Kenya made the following findings;</w:t>
      </w:r>
    </w:p>
    <w:p w14:paraId="03BA7A89" w14:textId="6F008CBB" w:rsidR="008A0952" w:rsidRPr="00765EED" w:rsidRDefault="008A0952" w:rsidP="00765EED">
      <w:pPr>
        <w:pStyle w:val="ListParagraph"/>
        <w:numPr>
          <w:ilvl w:val="0"/>
          <w:numId w:val="5"/>
        </w:numPr>
        <w:jc w:val="both"/>
        <w:rPr>
          <w:rFonts w:ascii="Palatino Linotype" w:hAnsi="Palatino Linotype"/>
          <w:bCs/>
          <w:sz w:val="24"/>
          <w:szCs w:val="24"/>
        </w:rPr>
      </w:pPr>
      <w:r w:rsidRPr="00765EED">
        <w:rPr>
          <w:rFonts w:ascii="Palatino Linotype" w:hAnsi="Palatino Linotype"/>
          <w:bCs/>
          <w:sz w:val="24"/>
          <w:szCs w:val="24"/>
        </w:rPr>
        <w:t xml:space="preserve">an order of absolute discharge under section 35 of the Penal Code is technically a sentence and may be enhanced in revision under the powers contained in section 364(1) of the Criminal Procedure Code; </w:t>
      </w:r>
    </w:p>
    <w:p w14:paraId="04F0755B" w14:textId="12792C89" w:rsidR="008A0952" w:rsidRPr="00765EED" w:rsidRDefault="008A0952" w:rsidP="00765EED">
      <w:pPr>
        <w:pStyle w:val="ListParagraph"/>
        <w:numPr>
          <w:ilvl w:val="0"/>
          <w:numId w:val="5"/>
        </w:numPr>
        <w:jc w:val="both"/>
        <w:rPr>
          <w:rFonts w:ascii="Palatino Linotype" w:hAnsi="Palatino Linotype"/>
          <w:bCs/>
          <w:sz w:val="24"/>
          <w:szCs w:val="24"/>
        </w:rPr>
      </w:pPr>
      <w:r w:rsidRPr="00765EED">
        <w:rPr>
          <w:rFonts w:ascii="Palatino Linotype" w:hAnsi="Palatino Linotype"/>
          <w:bCs/>
          <w:sz w:val="24"/>
          <w:szCs w:val="24"/>
        </w:rPr>
        <w:t>even if the absolute discharge were not technically a sentence it would be an "other order" and could be altered in revision under section 364(1) of the Criminal Procedure Code.</w:t>
      </w:r>
    </w:p>
    <w:p w14:paraId="1328CB6F" w14:textId="77777777" w:rsidR="008A0952" w:rsidRDefault="008A0952" w:rsidP="009545A0">
      <w:pPr>
        <w:jc w:val="both"/>
        <w:rPr>
          <w:rFonts w:ascii="Palatino Linotype" w:hAnsi="Palatino Linotype"/>
          <w:bCs/>
          <w:sz w:val="24"/>
          <w:szCs w:val="24"/>
        </w:rPr>
      </w:pPr>
      <w:r w:rsidRPr="008A0952">
        <w:rPr>
          <w:rFonts w:ascii="Palatino Linotype" w:hAnsi="Palatino Linotype"/>
          <w:bCs/>
          <w:sz w:val="24"/>
          <w:szCs w:val="24"/>
        </w:rPr>
        <w:t xml:space="preserve">This shows that so long as a finding, sentence or order falls within the contemplation of section 364 of the Criminal Procedure Code the High Court has jurisdiction to act upon it on revision, other factors is remaining constant. </w:t>
      </w:r>
    </w:p>
    <w:p w14:paraId="54F3C485" w14:textId="6392A7A5" w:rsidR="00A60549" w:rsidRPr="00A60549" w:rsidRDefault="00A60549" w:rsidP="00765EED">
      <w:pPr>
        <w:pStyle w:val="ListParagraph"/>
        <w:numPr>
          <w:ilvl w:val="0"/>
          <w:numId w:val="3"/>
        </w:numPr>
        <w:jc w:val="both"/>
        <w:outlineLvl w:val="2"/>
        <w:rPr>
          <w:rFonts w:ascii="Palatino Linotype" w:hAnsi="Palatino Linotype"/>
          <w:b/>
          <w:sz w:val="24"/>
          <w:szCs w:val="24"/>
        </w:rPr>
      </w:pPr>
      <w:r w:rsidRPr="00A60549">
        <w:rPr>
          <w:rFonts w:ascii="Palatino Linotype" w:hAnsi="Palatino Linotype"/>
          <w:b/>
          <w:sz w:val="24"/>
          <w:szCs w:val="24"/>
        </w:rPr>
        <w:t>Acquittal</w:t>
      </w:r>
      <w:r>
        <w:rPr>
          <w:rFonts w:ascii="Palatino Linotype" w:hAnsi="Palatino Linotype"/>
          <w:b/>
          <w:sz w:val="24"/>
          <w:szCs w:val="24"/>
        </w:rPr>
        <w:t xml:space="preserve"> &amp; autrefois acquit</w:t>
      </w:r>
    </w:p>
    <w:p w14:paraId="68A5154D" w14:textId="77777777" w:rsidR="00B43694" w:rsidRDefault="00B43694" w:rsidP="00B43694">
      <w:pPr>
        <w:jc w:val="both"/>
        <w:rPr>
          <w:rFonts w:ascii="Palatino Linotype" w:hAnsi="Palatino Linotype"/>
          <w:bCs/>
          <w:sz w:val="24"/>
          <w:szCs w:val="24"/>
          <w:lang w:val="en-US"/>
        </w:rPr>
      </w:pPr>
      <w:r w:rsidRPr="00D360FF">
        <w:rPr>
          <w:rFonts w:ascii="Palatino Linotype" w:hAnsi="Palatino Linotype"/>
          <w:bCs/>
          <w:sz w:val="24"/>
          <w:szCs w:val="24"/>
        </w:rPr>
        <w:t xml:space="preserve">The Criminal Procedure Code at section 364(1) (b) throws an order of acquittal out of revision. The case of </w:t>
      </w:r>
      <w:proofErr w:type="spellStart"/>
      <w:r w:rsidRPr="006B5894">
        <w:rPr>
          <w:rFonts w:ascii="Palatino Linotype" w:hAnsi="Palatino Linotype"/>
          <w:b/>
          <w:i/>
          <w:iCs/>
          <w:sz w:val="24"/>
          <w:szCs w:val="24"/>
        </w:rPr>
        <w:t>Semuyaga</w:t>
      </w:r>
      <w:proofErr w:type="spellEnd"/>
      <w:r w:rsidRPr="006B5894">
        <w:rPr>
          <w:rFonts w:ascii="Palatino Linotype" w:hAnsi="Palatino Linotype"/>
          <w:b/>
          <w:i/>
          <w:iCs/>
          <w:sz w:val="24"/>
          <w:szCs w:val="24"/>
        </w:rPr>
        <w:t xml:space="preserve"> vs. Uganda</w:t>
      </w:r>
      <w:r>
        <w:rPr>
          <w:rStyle w:val="FootnoteReference"/>
          <w:rFonts w:ascii="Palatino Linotype" w:hAnsi="Palatino Linotype"/>
          <w:bCs/>
          <w:sz w:val="24"/>
          <w:szCs w:val="24"/>
        </w:rPr>
        <w:footnoteReference w:id="8"/>
      </w:r>
      <w:r w:rsidRPr="00D360FF">
        <w:rPr>
          <w:rFonts w:ascii="Palatino Linotype" w:hAnsi="Palatino Linotype"/>
          <w:bCs/>
          <w:sz w:val="24"/>
          <w:szCs w:val="24"/>
        </w:rPr>
        <w:t xml:space="preserve"> shows that an order of 'autrefois acquit' is a final order or finding and it is subject to revision. </w:t>
      </w:r>
    </w:p>
    <w:p w14:paraId="46E72D84" w14:textId="77777777" w:rsidR="00B43694" w:rsidRDefault="00B43694" w:rsidP="009545A0">
      <w:pPr>
        <w:jc w:val="both"/>
        <w:rPr>
          <w:rFonts w:ascii="Palatino Linotype" w:hAnsi="Palatino Linotype"/>
          <w:bCs/>
          <w:sz w:val="24"/>
          <w:szCs w:val="24"/>
        </w:rPr>
      </w:pPr>
    </w:p>
    <w:p w14:paraId="4507EA0C" w14:textId="77777777" w:rsidR="00A60549" w:rsidRPr="00A60549" w:rsidRDefault="00A60549" w:rsidP="00765EED">
      <w:pPr>
        <w:pStyle w:val="ListParagraph"/>
        <w:numPr>
          <w:ilvl w:val="0"/>
          <w:numId w:val="3"/>
        </w:numPr>
        <w:jc w:val="both"/>
        <w:outlineLvl w:val="2"/>
        <w:rPr>
          <w:rFonts w:ascii="Palatino Linotype" w:hAnsi="Palatino Linotype"/>
          <w:b/>
          <w:sz w:val="24"/>
          <w:szCs w:val="24"/>
        </w:rPr>
      </w:pPr>
      <w:r w:rsidRPr="00A60549">
        <w:rPr>
          <w:rFonts w:ascii="Palatino Linotype" w:hAnsi="Palatino Linotype"/>
          <w:b/>
          <w:sz w:val="24"/>
          <w:szCs w:val="24"/>
        </w:rPr>
        <w:t>Sentence</w:t>
      </w:r>
    </w:p>
    <w:p w14:paraId="5EBF6850" w14:textId="53537DA4" w:rsidR="00D360FF" w:rsidRDefault="008A0952" w:rsidP="009545A0">
      <w:pPr>
        <w:jc w:val="both"/>
        <w:rPr>
          <w:rFonts w:ascii="Palatino Linotype" w:hAnsi="Palatino Linotype"/>
          <w:bCs/>
          <w:sz w:val="24"/>
          <w:szCs w:val="24"/>
        </w:rPr>
      </w:pPr>
      <w:r w:rsidRPr="008A0952">
        <w:rPr>
          <w:rFonts w:ascii="Palatino Linotype" w:hAnsi="Palatino Linotype"/>
          <w:bCs/>
          <w:sz w:val="24"/>
          <w:szCs w:val="24"/>
        </w:rPr>
        <w:t xml:space="preserve">The powers of the High Court when exercising its revision jurisdiction allows it to alter a sentence. This was observed in </w:t>
      </w:r>
      <w:r w:rsidRPr="00A60549">
        <w:rPr>
          <w:rFonts w:ascii="Palatino Linotype" w:hAnsi="Palatino Linotype"/>
          <w:b/>
          <w:i/>
          <w:iCs/>
          <w:sz w:val="24"/>
          <w:szCs w:val="24"/>
        </w:rPr>
        <w:t xml:space="preserve">Juma </w:t>
      </w:r>
      <w:proofErr w:type="spellStart"/>
      <w:r w:rsidRPr="00A60549">
        <w:rPr>
          <w:rFonts w:ascii="Palatino Linotype" w:hAnsi="Palatino Linotype"/>
          <w:b/>
          <w:i/>
          <w:iCs/>
          <w:sz w:val="24"/>
          <w:szCs w:val="24"/>
        </w:rPr>
        <w:t>Keshallila</w:t>
      </w:r>
      <w:proofErr w:type="spellEnd"/>
      <w:r w:rsidRPr="00A60549">
        <w:rPr>
          <w:rFonts w:ascii="Palatino Linotype" w:hAnsi="Palatino Linotype"/>
          <w:b/>
          <w:i/>
          <w:iCs/>
          <w:sz w:val="24"/>
          <w:szCs w:val="24"/>
        </w:rPr>
        <w:t xml:space="preserve"> vs. R</w:t>
      </w:r>
      <w:r>
        <w:rPr>
          <w:rStyle w:val="FootnoteReference"/>
          <w:rFonts w:ascii="Palatino Linotype" w:hAnsi="Palatino Linotype"/>
          <w:bCs/>
          <w:sz w:val="24"/>
          <w:szCs w:val="24"/>
        </w:rPr>
        <w:footnoteReference w:id="9"/>
      </w:r>
      <w:r w:rsidRPr="008A0952">
        <w:rPr>
          <w:rFonts w:ascii="Palatino Linotype" w:hAnsi="Palatino Linotype"/>
          <w:bCs/>
          <w:sz w:val="24"/>
          <w:szCs w:val="24"/>
        </w:rPr>
        <w:t xml:space="preserve">. </w:t>
      </w:r>
      <w:r w:rsidR="00D360FF" w:rsidRPr="00D360FF">
        <w:rPr>
          <w:rFonts w:ascii="Palatino Linotype" w:hAnsi="Palatino Linotype"/>
          <w:bCs/>
          <w:sz w:val="24"/>
          <w:szCs w:val="24"/>
        </w:rPr>
        <w:t xml:space="preserve">The East African Court of Appeal held that firstly an order made under section 305(1) does not amount to a sentence and that in revision the High Court has power to substitute a sentence of imprisonment for a probation order to come up for sentence if called upon. </w:t>
      </w:r>
    </w:p>
    <w:p w14:paraId="3008D210" w14:textId="77777777" w:rsidR="00F310E2" w:rsidRPr="00697CAB" w:rsidRDefault="00F310E2" w:rsidP="00F310E2">
      <w:pPr>
        <w:pStyle w:val="Heading2"/>
        <w:numPr>
          <w:ilvl w:val="0"/>
          <w:numId w:val="4"/>
        </w:numPr>
        <w:rPr>
          <w:rFonts w:ascii="Palatino Linotype" w:hAnsi="Palatino Linotype"/>
          <w:sz w:val="24"/>
          <w:szCs w:val="24"/>
        </w:rPr>
      </w:pPr>
      <w:r w:rsidRPr="00697CAB">
        <w:rPr>
          <w:rFonts w:ascii="Palatino Linotype" w:hAnsi="Palatino Linotype"/>
          <w:b/>
          <w:sz w:val="24"/>
          <w:szCs w:val="24"/>
          <w:lang w:val="en-US"/>
        </w:rPr>
        <w:t>Powers of the High Court on</w:t>
      </w:r>
      <w:r w:rsidRPr="00697CAB">
        <w:rPr>
          <w:rFonts w:ascii="Palatino Linotype" w:hAnsi="Palatino Linotype"/>
          <w:sz w:val="24"/>
          <w:szCs w:val="24"/>
          <w:lang w:val="en-US"/>
        </w:rPr>
        <w:t xml:space="preserve"> </w:t>
      </w:r>
      <w:r w:rsidRPr="00697CAB">
        <w:rPr>
          <w:rFonts w:ascii="Palatino Linotype" w:hAnsi="Palatino Linotype"/>
          <w:b/>
          <w:bCs/>
          <w:sz w:val="24"/>
          <w:szCs w:val="24"/>
          <w:lang w:val="en-US"/>
        </w:rPr>
        <w:t>Revision</w:t>
      </w:r>
      <w:r w:rsidRPr="00697CAB">
        <w:rPr>
          <w:rFonts w:ascii="Palatino Linotype" w:hAnsi="Palatino Linotype"/>
          <w:b/>
          <w:bCs/>
          <w:sz w:val="24"/>
          <w:szCs w:val="24"/>
          <w:lang w:val="en-US"/>
        </w:rPr>
        <w:tab/>
      </w:r>
    </w:p>
    <w:p w14:paraId="5D6F6EAD" w14:textId="46263A3B" w:rsidR="00F310E2" w:rsidRPr="00697CAB" w:rsidRDefault="00765EED" w:rsidP="00F310E2">
      <w:pPr>
        <w:jc w:val="both"/>
        <w:rPr>
          <w:rFonts w:ascii="Palatino Linotype" w:hAnsi="Palatino Linotype"/>
          <w:sz w:val="24"/>
          <w:szCs w:val="24"/>
        </w:rPr>
      </w:pPr>
      <w:r>
        <w:rPr>
          <w:rFonts w:ascii="Palatino Linotype" w:hAnsi="Palatino Linotype"/>
          <w:sz w:val="24"/>
          <w:szCs w:val="24"/>
          <w:lang w:val="en-US"/>
        </w:rPr>
        <w:t>The</w:t>
      </w:r>
      <w:r w:rsidR="00F310E2" w:rsidRPr="00697CAB">
        <w:rPr>
          <w:rFonts w:ascii="Palatino Linotype" w:hAnsi="Palatino Linotype"/>
          <w:sz w:val="24"/>
          <w:szCs w:val="24"/>
          <w:lang w:val="en-US"/>
        </w:rPr>
        <w:t xml:space="preserve"> High Court has the following powers:</w:t>
      </w:r>
    </w:p>
    <w:p w14:paraId="16F5CBE6" w14:textId="699440AA" w:rsidR="00F310E2" w:rsidRPr="00697CAB" w:rsidRDefault="00F310E2" w:rsidP="00F310E2">
      <w:pPr>
        <w:numPr>
          <w:ilvl w:val="0"/>
          <w:numId w:val="1"/>
        </w:numPr>
        <w:jc w:val="both"/>
        <w:rPr>
          <w:rFonts w:ascii="Palatino Linotype" w:hAnsi="Palatino Linotype"/>
          <w:sz w:val="24"/>
          <w:szCs w:val="24"/>
          <w:lang w:val="en-US"/>
        </w:rPr>
      </w:pPr>
      <w:r w:rsidRPr="00697CAB">
        <w:rPr>
          <w:rFonts w:ascii="Palatino Linotype" w:hAnsi="Palatino Linotype"/>
          <w:sz w:val="24"/>
          <w:szCs w:val="24"/>
          <w:lang w:val="en-US"/>
        </w:rPr>
        <w:t>In the case of conviction, it may enhance the sentence</w:t>
      </w:r>
      <w:r w:rsidR="00765EED">
        <w:rPr>
          <w:rFonts w:ascii="Palatino Linotype" w:hAnsi="Palatino Linotype"/>
          <w:sz w:val="24"/>
          <w:szCs w:val="24"/>
          <w:lang w:val="en-US"/>
        </w:rPr>
        <w:t xml:space="preserve"> - b</w:t>
      </w:r>
      <w:r w:rsidRPr="00697CAB">
        <w:rPr>
          <w:rFonts w:ascii="Palatino Linotype" w:hAnsi="Palatino Linotype"/>
          <w:sz w:val="24"/>
          <w:szCs w:val="24"/>
          <w:lang w:val="en-US"/>
        </w:rPr>
        <w:t>ut not to the disadvantage of an accused person.</w:t>
      </w:r>
    </w:p>
    <w:p w14:paraId="6E9C035B" w14:textId="77777777" w:rsidR="00F310E2" w:rsidRPr="00697CAB" w:rsidRDefault="00F310E2" w:rsidP="00F310E2">
      <w:pPr>
        <w:numPr>
          <w:ilvl w:val="0"/>
          <w:numId w:val="1"/>
        </w:numPr>
        <w:jc w:val="both"/>
        <w:rPr>
          <w:rFonts w:ascii="Palatino Linotype" w:hAnsi="Palatino Linotype"/>
          <w:sz w:val="24"/>
          <w:szCs w:val="24"/>
          <w:lang w:val="en-US"/>
        </w:rPr>
      </w:pPr>
      <w:r w:rsidRPr="00697CAB">
        <w:rPr>
          <w:rFonts w:ascii="Palatino Linotype" w:hAnsi="Palatino Linotype"/>
          <w:sz w:val="24"/>
          <w:szCs w:val="24"/>
          <w:lang w:val="en-US"/>
        </w:rPr>
        <w:lastRenderedPageBreak/>
        <w:t>In the case of any order, other than an order of acquittal, alter or reverse such order.</w:t>
      </w:r>
    </w:p>
    <w:p w14:paraId="72399ADD" w14:textId="77777777" w:rsidR="00F310E2" w:rsidRPr="00697CAB" w:rsidRDefault="00F310E2" w:rsidP="00F310E2">
      <w:pPr>
        <w:numPr>
          <w:ilvl w:val="0"/>
          <w:numId w:val="1"/>
        </w:numPr>
        <w:jc w:val="both"/>
        <w:rPr>
          <w:rFonts w:ascii="Palatino Linotype" w:hAnsi="Palatino Linotype"/>
          <w:sz w:val="24"/>
          <w:szCs w:val="24"/>
          <w:lang w:val="en-US"/>
        </w:rPr>
      </w:pPr>
      <w:r w:rsidRPr="00697CAB">
        <w:rPr>
          <w:rFonts w:ascii="Palatino Linotype" w:hAnsi="Palatino Linotype"/>
          <w:sz w:val="24"/>
          <w:szCs w:val="24"/>
          <w:lang w:val="en-US"/>
        </w:rPr>
        <w:t>Where a sentence passed by the magistrate's court is increased by the High Court, such increase shall not exceed the sentence which could have been imposed by the court which originally imposed the sentence.</w:t>
      </w:r>
    </w:p>
    <w:p w14:paraId="26F70433" w14:textId="67CCB346" w:rsidR="00F310E2" w:rsidRPr="00697CAB" w:rsidRDefault="00F310E2" w:rsidP="00F310E2">
      <w:pPr>
        <w:numPr>
          <w:ilvl w:val="0"/>
          <w:numId w:val="1"/>
        </w:numPr>
        <w:jc w:val="both"/>
        <w:rPr>
          <w:rFonts w:ascii="Palatino Linotype" w:hAnsi="Palatino Linotype"/>
          <w:sz w:val="24"/>
          <w:szCs w:val="24"/>
          <w:lang w:val="en-US"/>
        </w:rPr>
      </w:pPr>
      <w:r w:rsidRPr="00697CAB">
        <w:rPr>
          <w:rFonts w:ascii="Palatino Linotype" w:hAnsi="Palatino Linotype"/>
          <w:sz w:val="24"/>
          <w:szCs w:val="24"/>
          <w:lang w:val="en-US"/>
        </w:rPr>
        <w:t xml:space="preserve">Where there has been an acquittal, the High Court may not convert it into a conviction. </w:t>
      </w:r>
    </w:p>
    <w:p w14:paraId="277BEAE6" w14:textId="77777777" w:rsidR="00F310E2" w:rsidRPr="00697CAB" w:rsidRDefault="00F310E2" w:rsidP="00F310E2">
      <w:pPr>
        <w:pStyle w:val="Heading2"/>
        <w:numPr>
          <w:ilvl w:val="0"/>
          <w:numId w:val="4"/>
        </w:numPr>
        <w:rPr>
          <w:rFonts w:ascii="Palatino Linotype" w:hAnsi="Palatino Linotype"/>
          <w:b/>
          <w:sz w:val="24"/>
          <w:szCs w:val="24"/>
        </w:rPr>
      </w:pPr>
      <w:r w:rsidRPr="00697CAB">
        <w:rPr>
          <w:rFonts w:ascii="Palatino Linotype" w:hAnsi="Palatino Linotype"/>
          <w:b/>
          <w:sz w:val="24"/>
          <w:szCs w:val="24"/>
          <w:lang w:val="en-US"/>
        </w:rPr>
        <w:t>Power of High Court to Call for Records</w:t>
      </w:r>
    </w:p>
    <w:p w14:paraId="4567893D" w14:textId="11EC4C0D" w:rsidR="00F310E2" w:rsidRDefault="00F310E2" w:rsidP="009545A0">
      <w:pPr>
        <w:jc w:val="both"/>
        <w:rPr>
          <w:rFonts w:ascii="Palatino Linotype" w:hAnsi="Palatino Linotype"/>
          <w:sz w:val="24"/>
          <w:szCs w:val="24"/>
          <w:lang w:val="en-US"/>
        </w:rPr>
      </w:pPr>
      <w:r w:rsidRPr="00697CAB">
        <w:rPr>
          <w:rFonts w:ascii="Palatino Linotype" w:hAnsi="Palatino Linotype"/>
          <w:sz w:val="24"/>
          <w:szCs w:val="24"/>
          <w:lang w:val="en-US"/>
        </w:rPr>
        <w:t xml:space="preserve">The High Court has power to call for and examine the record of any criminal proceedings before any Magistrate's Court to satisfy itself as to the correctness, legality or propriety of any findings, sentence or order and as to the regularity of any proceedings of any such Magistrate's Court. The High court normally calls for such records when inspecting returns from Magistrates Courts and finding errors on the face of the record. Records of convictions and acquittals are always sent to the high court. </w:t>
      </w:r>
    </w:p>
    <w:p w14:paraId="43B0858C" w14:textId="77777777" w:rsidR="00BD1D03" w:rsidRPr="00697CAB" w:rsidRDefault="00BD1D03" w:rsidP="00BD1D03">
      <w:pPr>
        <w:pStyle w:val="Heading2"/>
        <w:numPr>
          <w:ilvl w:val="0"/>
          <w:numId w:val="4"/>
        </w:numPr>
        <w:rPr>
          <w:rFonts w:ascii="Palatino Linotype" w:hAnsi="Palatino Linotype"/>
          <w:b/>
          <w:sz w:val="24"/>
          <w:szCs w:val="24"/>
        </w:rPr>
      </w:pPr>
      <w:r w:rsidRPr="00697CAB">
        <w:rPr>
          <w:rFonts w:ascii="Palatino Linotype" w:hAnsi="Palatino Linotype"/>
          <w:b/>
          <w:sz w:val="24"/>
          <w:szCs w:val="24"/>
          <w:lang w:val="en-US"/>
        </w:rPr>
        <w:t>Power of Magistrates to Examine Records of Inferior Courts</w:t>
      </w:r>
    </w:p>
    <w:p w14:paraId="660013B7" w14:textId="77777777" w:rsidR="00BD1D03" w:rsidRPr="00697CAB" w:rsidRDefault="00BD1D03" w:rsidP="00BD1D03">
      <w:pPr>
        <w:jc w:val="both"/>
        <w:rPr>
          <w:rFonts w:ascii="Palatino Linotype" w:hAnsi="Palatino Linotype"/>
          <w:sz w:val="24"/>
          <w:szCs w:val="24"/>
        </w:rPr>
      </w:pPr>
      <w:r w:rsidRPr="00697CAB">
        <w:rPr>
          <w:rFonts w:ascii="Palatino Linotype" w:hAnsi="Palatino Linotype"/>
          <w:sz w:val="24"/>
          <w:szCs w:val="24"/>
          <w:lang w:val="en-US"/>
        </w:rPr>
        <w:t xml:space="preserve">Any magistrate has power to examine the records of any criminal proceedings before a Magistrate's Court inferior to the court of which he/she is empowered to hold, and situated within the local limits of his/her jurisdiction for the purpose of satisfying him/herself as to the correctness, legality or propriety of any finding or order recorded or passed and as to the regularity of any proceedings of such inferior magistrate court. </w:t>
      </w:r>
    </w:p>
    <w:p w14:paraId="58BD4346" w14:textId="67798467" w:rsidR="00BD1D03" w:rsidRPr="00BD1D03" w:rsidRDefault="00BD1D03" w:rsidP="009545A0">
      <w:pPr>
        <w:jc w:val="both"/>
        <w:rPr>
          <w:rFonts w:ascii="Palatino Linotype" w:hAnsi="Palatino Linotype"/>
          <w:sz w:val="24"/>
          <w:szCs w:val="24"/>
        </w:rPr>
      </w:pPr>
      <w:r w:rsidRPr="00697CAB">
        <w:rPr>
          <w:rFonts w:ascii="Palatino Linotype" w:hAnsi="Palatino Linotype"/>
          <w:sz w:val="24"/>
          <w:szCs w:val="24"/>
          <w:lang w:val="en-US"/>
        </w:rPr>
        <w:t>If such magistrate considers any finding, sentence or order to be illegal or improper or that the proceedings have been irregular, he/she must forward the record to the High Court with such comments as he/she thinks proper.</w:t>
      </w:r>
    </w:p>
    <w:p w14:paraId="238AEFE3" w14:textId="77777777" w:rsidR="00C75487" w:rsidRPr="00A60549" w:rsidRDefault="00C75487" w:rsidP="009545A0">
      <w:pPr>
        <w:jc w:val="both"/>
        <w:rPr>
          <w:rFonts w:ascii="Palatino Linotype" w:hAnsi="Palatino Linotype"/>
          <w:bCs/>
          <w:i/>
          <w:iCs/>
          <w:sz w:val="24"/>
          <w:szCs w:val="24"/>
        </w:rPr>
      </w:pPr>
    </w:p>
    <w:p w14:paraId="58DDAE2D" w14:textId="69715D7F" w:rsidR="00D360FF" w:rsidRPr="00D360FF" w:rsidRDefault="00C75487" w:rsidP="00BD1D03">
      <w:pPr>
        <w:pStyle w:val="Heading2"/>
        <w:numPr>
          <w:ilvl w:val="0"/>
          <w:numId w:val="4"/>
        </w:numPr>
        <w:rPr>
          <w:rFonts w:ascii="Palatino Linotype" w:hAnsi="Palatino Linotype"/>
          <w:b/>
          <w:sz w:val="24"/>
          <w:szCs w:val="24"/>
        </w:rPr>
      </w:pPr>
      <w:r w:rsidRPr="00D360FF">
        <w:rPr>
          <w:rFonts w:ascii="Palatino Linotype" w:hAnsi="Palatino Linotype"/>
          <w:b/>
          <w:sz w:val="24"/>
          <w:szCs w:val="24"/>
        </w:rPr>
        <w:t xml:space="preserve">Revisional jurisdiction when right of appeal exists and is not exercised </w:t>
      </w:r>
    </w:p>
    <w:p w14:paraId="5D142DCB" w14:textId="525E9DC3" w:rsidR="00D360FF" w:rsidRDefault="00D360FF" w:rsidP="009545A0">
      <w:pPr>
        <w:jc w:val="both"/>
        <w:rPr>
          <w:rFonts w:ascii="Palatino Linotype" w:hAnsi="Palatino Linotype"/>
          <w:bCs/>
          <w:sz w:val="24"/>
          <w:szCs w:val="24"/>
        </w:rPr>
      </w:pPr>
      <w:r w:rsidRPr="00D360FF">
        <w:rPr>
          <w:rFonts w:ascii="Palatino Linotype" w:hAnsi="Palatino Linotype"/>
          <w:bCs/>
          <w:sz w:val="24"/>
          <w:szCs w:val="24"/>
        </w:rPr>
        <w:t xml:space="preserve">Under the Criminal Procedure </w:t>
      </w:r>
      <w:r w:rsidR="006B5894" w:rsidRPr="00D360FF">
        <w:rPr>
          <w:rFonts w:ascii="Palatino Linotype" w:hAnsi="Palatino Linotype"/>
          <w:bCs/>
          <w:sz w:val="24"/>
          <w:szCs w:val="24"/>
        </w:rPr>
        <w:t>Code,</w:t>
      </w:r>
      <w:r w:rsidRPr="00D360FF">
        <w:rPr>
          <w:rFonts w:ascii="Palatino Linotype" w:hAnsi="Palatino Linotype"/>
          <w:bCs/>
          <w:sz w:val="24"/>
          <w:szCs w:val="24"/>
        </w:rPr>
        <w:t xml:space="preserve"> it is clearly provided that; </w:t>
      </w:r>
    </w:p>
    <w:p w14:paraId="3A9E997C" w14:textId="31CA2980" w:rsidR="00D360FF" w:rsidRDefault="00D360FF" w:rsidP="009545A0">
      <w:pPr>
        <w:jc w:val="both"/>
        <w:rPr>
          <w:rFonts w:ascii="Palatino Linotype" w:hAnsi="Palatino Linotype"/>
          <w:bCs/>
          <w:sz w:val="24"/>
          <w:szCs w:val="24"/>
        </w:rPr>
      </w:pPr>
      <w:r w:rsidRPr="006B5894">
        <w:rPr>
          <w:rFonts w:ascii="Palatino Linotype" w:hAnsi="Palatino Linotype"/>
          <w:bCs/>
          <w:i/>
          <w:iCs/>
          <w:sz w:val="24"/>
          <w:szCs w:val="24"/>
        </w:rPr>
        <w:t>"When an appeal lies from a finding, sentence or order, and no appeal is brought, no proceeding</w:t>
      </w:r>
      <w:r w:rsidR="006B5894">
        <w:rPr>
          <w:rFonts w:ascii="Palatino Linotype" w:hAnsi="Palatino Linotype"/>
          <w:bCs/>
          <w:i/>
          <w:iCs/>
          <w:sz w:val="24"/>
          <w:szCs w:val="24"/>
        </w:rPr>
        <w:t xml:space="preserve"> </w:t>
      </w:r>
      <w:r w:rsidRPr="006B5894">
        <w:rPr>
          <w:rFonts w:ascii="Palatino Linotype" w:hAnsi="Palatino Linotype"/>
          <w:bCs/>
          <w:i/>
          <w:iCs/>
          <w:sz w:val="24"/>
          <w:szCs w:val="24"/>
        </w:rPr>
        <w:t>by way of revision shall be entertained at the instance of the party who could have appealed</w:t>
      </w:r>
      <w:r w:rsidRPr="00D360FF">
        <w:rPr>
          <w:rFonts w:ascii="Palatino Linotype" w:hAnsi="Palatino Linotype"/>
          <w:bCs/>
          <w:sz w:val="24"/>
          <w:szCs w:val="24"/>
        </w:rPr>
        <w:t>"</w:t>
      </w:r>
      <w:r>
        <w:rPr>
          <w:rStyle w:val="FootnoteReference"/>
          <w:rFonts w:ascii="Palatino Linotype" w:hAnsi="Palatino Linotype"/>
          <w:bCs/>
          <w:sz w:val="24"/>
          <w:szCs w:val="24"/>
        </w:rPr>
        <w:footnoteReference w:id="10"/>
      </w:r>
    </w:p>
    <w:p w14:paraId="12C67DFA" w14:textId="47E1D5EA" w:rsidR="00D360FF" w:rsidRDefault="00D360FF" w:rsidP="009545A0">
      <w:pPr>
        <w:jc w:val="both"/>
        <w:rPr>
          <w:rFonts w:ascii="Palatino Linotype" w:hAnsi="Palatino Linotype"/>
          <w:bCs/>
          <w:sz w:val="24"/>
          <w:szCs w:val="24"/>
        </w:rPr>
      </w:pPr>
      <w:r w:rsidRPr="00D360FF">
        <w:rPr>
          <w:rFonts w:ascii="Palatino Linotype" w:hAnsi="Palatino Linotype"/>
          <w:bCs/>
          <w:sz w:val="24"/>
          <w:szCs w:val="24"/>
        </w:rPr>
        <w:t xml:space="preserve">The above provision was judicially considered by the East African court of Appeal in </w:t>
      </w:r>
      <w:r w:rsidRPr="006B5894">
        <w:rPr>
          <w:rFonts w:ascii="Palatino Linotype" w:hAnsi="Palatino Linotype"/>
          <w:b/>
          <w:i/>
          <w:iCs/>
          <w:sz w:val="24"/>
          <w:szCs w:val="24"/>
        </w:rPr>
        <w:t>R -vs- Ajit Singh s/o Vir Singh</w:t>
      </w:r>
      <w:r w:rsidR="006B5894">
        <w:rPr>
          <w:rFonts w:ascii="Palatino Linotype" w:hAnsi="Palatino Linotype"/>
          <w:b/>
          <w:i/>
          <w:iCs/>
          <w:sz w:val="24"/>
          <w:szCs w:val="24"/>
        </w:rPr>
        <w:t>.</w:t>
      </w:r>
      <w:r>
        <w:rPr>
          <w:rStyle w:val="FootnoteReference"/>
          <w:rFonts w:ascii="Palatino Linotype" w:hAnsi="Palatino Linotype"/>
          <w:bCs/>
          <w:sz w:val="24"/>
          <w:szCs w:val="24"/>
        </w:rPr>
        <w:footnoteReference w:id="11"/>
      </w:r>
      <w:r w:rsidRPr="00D360FF">
        <w:rPr>
          <w:rFonts w:ascii="Palatino Linotype" w:hAnsi="Palatino Linotype"/>
          <w:bCs/>
          <w:sz w:val="24"/>
          <w:szCs w:val="24"/>
        </w:rPr>
        <w:t xml:space="preserve"> Rudd Ag C-J, Connell and Murphy J made, the following ruling, that: </w:t>
      </w:r>
    </w:p>
    <w:p w14:paraId="74BDC550" w14:textId="2F47832D" w:rsidR="00D360FF" w:rsidRPr="00D360FF" w:rsidRDefault="00D360FF" w:rsidP="00D360FF">
      <w:pPr>
        <w:pStyle w:val="ListParagraph"/>
        <w:numPr>
          <w:ilvl w:val="0"/>
          <w:numId w:val="2"/>
        </w:numPr>
        <w:jc w:val="both"/>
        <w:rPr>
          <w:rFonts w:ascii="Palatino Linotype" w:hAnsi="Palatino Linotype"/>
          <w:bCs/>
          <w:sz w:val="24"/>
          <w:szCs w:val="24"/>
        </w:rPr>
      </w:pPr>
      <w:r w:rsidRPr="00D360FF">
        <w:rPr>
          <w:rFonts w:ascii="Palatino Linotype" w:hAnsi="Palatino Linotype"/>
          <w:bCs/>
          <w:sz w:val="24"/>
          <w:szCs w:val="24"/>
        </w:rPr>
        <w:lastRenderedPageBreak/>
        <w:t xml:space="preserve">Sub-section (5) of section 364 (Criminal Procedure Code) is not intended to preclude the supreme court from considering the correctness of a finding, sentence or order merely because the facts of the matter have been brought to its notice by a party who has or who has had a right of appeal and is not intended to derogate from the wide powers conferred by sections 362 and 364. </w:t>
      </w:r>
    </w:p>
    <w:p w14:paraId="59D1B5AF" w14:textId="7B0D4B61" w:rsidR="00D360FF" w:rsidRPr="00D360FF" w:rsidRDefault="00D360FF" w:rsidP="00D360FF">
      <w:pPr>
        <w:pStyle w:val="ListParagraph"/>
        <w:numPr>
          <w:ilvl w:val="0"/>
          <w:numId w:val="2"/>
        </w:numPr>
        <w:jc w:val="both"/>
        <w:rPr>
          <w:rFonts w:ascii="Palatino Linotype" w:hAnsi="Palatino Linotype"/>
          <w:bCs/>
          <w:sz w:val="24"/>
          <w:szCs w:val="24"/>
          <w:lang w:val="en-US"/>
        </w:rPr>
      </w:pPr>
      <w:r w:rsidRPr="00D360FF">
        <w:rPr>
          <w:rFonts w:ascii="Palatino Linotype" w:hAnsi="Palatino Linotype"/>
          <w:bCs/>
          <w:sz w:val="24"/>
          <w:szCs w:val="24"/>
        </w:rPr>
        <w:t>the supreme court can act '</w:t>
      </w:r>
      <w:proofErr w:type="spellStart"/>
      <w:r w:rsidRPr="00D360FF">
        <w:rPr>
          <w:rFonts w:ascii="Palatino Linotype" w:hAnsi="Palatino Linotype"/>
          <w:bCs/>
          <w:sz w:val="24"/>
          <w:szCs w:val="24"/>
        </w:rPr>
        <w:t>suo</w:t>
      </w:r>
      <w:proofErr w:type="spellEnd"/>
      <w:r w:rsidRPr="00D360FF">
        <w:rPr>
          <w:rFonts w:ascii="Palatino Linotype" w:hAnsi="Palatino Linotype"/>
          <w:bCs/>
          <w:sz w:val="24"/>
          <w:szCs w:val="24"/>
        </w:rPr>
        <w:t xml:space="preserve"> moto' even where the matter has been brought to its notice by an aggrieved party who had a right of appeal.</w:t>
      </w:r>
    </w:p>
    <w:p w14:paraId="2B3ECAD5" w14:textId="4811B350" w:rsidR="00D360FF" w:rsidRDefault="00D360FF" w:rsidP="00625D7B">
      <w:pPr>
        <w:jc w:val="both"/>
        <w:rPr>
          <w:rFonts w:ascii="Palatino Linotype" w:hAnsi="Palatino Linotype"/>
          <w:bCs/>
          <w:sz w:val="24"/>
          <w:szCs w:val="24"/>
        </w:rPr>
      </w:pPr>
      <w:r w:rsidRPr="00D360FF">
        <w:rPr>
          <w:rFonts w:ascii="Palatino Linotype" w:hAnsi="Palatino Linotype"/>
          <w:bCs/>
          <w:sz w:val="24"/>
          <w:szCs w:val="24"/>
        </w:rPr>
        <w:t xml:space="preserve">At other times, an appeal may have been lodged but it is subsequently withdrawn. This does not deny the High Court competence to exercise its revisional jurisdiction if it considers that the order or sentence is illegal. This was considered in </w:t>
      </w:r>
      <w:r w:rsidRPr="00625D7B">
        <w:rPr>
          <w:rFonts w:ascii="Palatino Linotype" w:hAnsi="Palatino Linotype"/>
          <w:b/>
          <w:i/>
          <w:iCs/>
          <w:sz w:val="24"/>
          <w:szCs w:val="24"/>
        </w:rPr>
        <w:t xml:space="preserve">Uganda -vs- </w:t>
      </w:r>
      <w:proofErr w:type="spellStart"/>
      <w:r w:rsidRPr="00625D7B">
        <w:rPr>
          <w:rFonts w:ascii="Palatino Linotype" w:hAnsi="Palatino Linotype"/>
          <w:b/>
          <w:i/>
          <w:iCs/>
          <w:sz w:val="24"/>
          <w:szCs w:val="24"/>
        </w:rPr>
        <w:t>Polasi</w:t>
      </w:r>
      <w:proofErr w:type="spellEnd"/>
      <w:r>
        <w:rPr>
          <w:rStyle w:val="FootnoteReference"/>
          <w:rFonts w:ascii="Palatino Linotype" w:hAnsi="Palatino Linotype"/>
          <w:bCs/>
          <w:sz w:val="24"/>
          <w:szCs w:val="24"/>
        </w:rPr>
        <w:footnoteReference w:id="12"/>
      </w:r>
      <w:r w:rsidRPr="00D360FF">
        <w:rPr>
          <w:rFonts w:ascii="Palatino Linotype" w:hAnsi="Palatino Linotype"/>
          <w:bCs/>
          <w:sz w:val="24"/>
          <w:szCs w:val="24"/>
        </w:rPr>
        <w:t xml:space="preserve">. </w:t>
      </w:r>
    </w:p>
    <w:p w14:paraId="1483D4B2" w14:textId="77777777" w:rsidR="00C75487" w:rsidRDefault="00D360FF" w:rsidP="00D360FF">
      <w:pPr>
        <w:jc w:val="both"/>
        <w:rPr>
          <w:rFonts w:ascii="Palatino Linotype" w:hAnsi="Palatino Linotype"/>
          <w:bCs/>
          <w:sz w:val="24"/>
          <w:szCs w:val="24"/>
        </w:rPr>
      </w:pPr>
      <w:r w:rsidRPr="00D360FF">
        <w:rPr>
          <w:rFonts w:ascii="Palatino Linotype" w:hAnsi="Palatino Linotype"/>
          <w:bCs/>
          <w:sz w:val="24"/>
          <w:szCs w:val="24"/>
        </w:rPr>
        <w:t>From the above, it is clear that sub-section (5) of section 364 of the Criminal Procedure Code does not work to limit the powers of the High Court in exercise of its revisional jurisdiction if the order or the sentence is manifestly illegal. The interpretation of the court with regard to the above is a welcome one because it has insisted that substantive justice should not be sacrificed for mere technicalities.</w:t>
      </w:r>
    </w:p>
    <w:p w14:paraId="00BEB3BD" w14:textId="4756EB8B" w:rsidR="00697CAB" w:rsidRPr="00B43694" w:rsidRDefault="00D360FF" w:rsidP="009545A0">
      <w:pPr>
        <w:jc w:val="both"/>
        <w:rPr>
          <w:rFonts w:ascii="Palatino Linotype" w:hAnsi="Palatino Linotype"/>
          <w:bCs/>
          <w:sz w:val="24"/>
          <w:szCs w:val="24"/>
        </w:rPr>
      </w:pPr>
      <w:r w:rsidRPr="00D360FF">
        <w:rPr>
          <w:rFonts w:ascii="Palatino Linotype" w:hAnsi="Palatino Linotype"/>
          <w:bCs/>
          <w:sz w:val="24"/>
          <w:szCs w:val="24"/>
        </w:rPr>
        <w:t xml:space="preserve"> </w:t>
      </w:r>
    </w:p>
    <w:p w14:paraId="2F021754" w14:textId="77777777" w:rsidR="00697CAB" w:rsidRPr="00697CAB" w:rsidRDefault="00697CAB" w:rsidP="00BD1D03">
      <w:pPr>
        <w:pStyle w:val="Heading2"/>
        <w:numPr>
          <w:ilvl w:val="0"/>
          <w:numId w:val="4"/>
        </w:numPr>
        <w:rPr>
          <w:rFonts w:ascii="Palatino Linotype" w:hAnsi="Palatino Linotype"/>
          <w:b/>
          <w:sz w:val="24"/>
          <w:szCs w:val="24"/>
        </w:rPr>
      </w:pPr>
      <w:r w:rsidRPr="00697CAB">
        <w:rPr>
          <w:rFonts w:ascii="Palatino Linotype" w:hAnsi="Palatino Linotype"/>
          <w:b/>
          <w:sz w:val="24"/>
          <w:szCs w:val="24"/>
          <w:lang w:val="en-US"/>
        </w:rPr>
        <w:t>Application or Petition for Revision</w:t>
      </w:r>
      <w:r w:rsidRPr="00697CAB">
        <w:rPr>
          <w:rFonts w:ascii="Palatino Linotype" w:hAnsi="Palatino Linotype"/>
          <w:b/>
          <w:sz w:val="24"/>
          <w:szCs w:val="24"/>
          <w:lang w:val="en-US"/>
        </w:rPr>
        <w:tab/>
      </w:r>
    </w:p>
    <w:p w14:paraId="53A900FC" w14:textId="5F489E93"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Like appeals, revision can only be founded on a final order or judgment of the court. It cannot be made against a preliminary or interlocutor order or ruling which doe</w:t>
      </w:r>
      <w:r>
        <w:rPr>
          <w:rFonts w:ascii="Palatino Linotype" w:hAnsi="Palatino Linotype"/>
          <w:sz w:val="24"/>
          <w:szCs w:val="24"/>
          <w:lang w:val="en-US"/>
        </w:rPr>
        <w:t xml:space="preserve">s </w:t>
      </w:r>
      <w:r w:rsidRPr="00697CAB">
        <w:rPr>
          <w:rFonts w:ascii="Palatino Linotype" w:hAnsi="Palatino Linotype"/>
          <w:sz w:val="24"/>
          <w:szCs w:val="24"/>
          <w:lang w:val="en-US"/>
        </w:rPr>
        <w:t>not determine the case</w:t>
      </w:r>
      <w:r w:rsidR="00F310E2">
        <w:rPr>
          <w:rFonts w:ascii="Palatino Linotype" w:hAnsi="Palatino Linotype"/>
          <w:sz w:val="24"/>
          <w:szCs w:val="24"/>
        </w:rPr>
        <w:t>.</w:t>
      </w:r>
    </w:p>
    <w:p w14:paraId="76D9557A" w14:textId="55CB5A6A"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 xml:space="preserve">The right to petition the High Court is given to any person aggrieved by any finding sentence or order made or imposed by a magistrate's court. </w:t>
      </w:r>
    </w:p>
    <w:p w14:paraId="464B7131" w14:textId="49591DDB"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However, where an appeal lies from any finding</w:t>
      </w:r>
      <w:r w:rsidR="00BD1D03">
        <w:rPr>
          <w:rFonts w:ascii="Palatino Linotype" w:hAnsi="Palatino Linotype"/>
          <w:sz w:val="24"/>
          <w:szCs w:val="24"/>
          <w:lang w:val="en-US"/>
        </w:rPr>
        <w:t xml:space="preserve">, </w:t>
      </w:r>
      <w:r w:rsidRPr="00697CAB">
        <w:rPr>
          <w:rFonts w:ascii="Palatino Linotype" w:hAnsi="Palatino Linotype"/>
          <w:sz w:val="24"/>
          <w:szCs w:val="24"/>
          <w:lang w:val="en-US"/>
        </w:rPr>
        <w:t xml:space="preserve">sentence or order and no appeal has been brought, no proceedings by way of revision can be entertained at the instance of the party who could have appealed. Even when an accused has delayed </w:t>
      </w:r>
      <w:r w:rsidR="00BD1D03" w:rsidRPr="00697CAB">
        <w:rPr>
          <w:rFonts w:ascii="Palatino Linotype" w:hAnsi="Palatino Linotype"/>
          <w:sz w:val="24"/>
          <w:szCs w:val="24"/>
          <w:lang w:val="en-US"/>
        </w:rPr>
        <w:t>appealing</w:t>
      </w:r>
      <w:r w:rsidRPr="00697CAB">
        <w:rPr>
          <w:rFonts w:ascii="Palatino Linotype" w:hAnsi="Palatino Linotype"/>
          <w:sz w:val="24"/>
          <w:szCs w:val="24"/>
        </w:rPr>
        <w:t xml:space="preserve"> </w:t>
      </w:r>
      <w:r w:rsidRPr="00697CAB">
        <w:rPr>
          <w:rFonts w:ascii="Palatino Linotype" w:hAnsi="Palatino Linotype"/>
          <w:sz w:val="24"/>
          <w:szCs w:val="24"/>
          <w:lang w:val="en-US"/>
        </w:rPr>
        <w:t>beyond the time allowed for appeal and leave to appeal out of time has been refused,</w:t>
      </w:r>
      <w:r w:rsidRPr="00697CAB">
        <w:rPr>
          <w:rFonts w:ascii="Palatino Linotype" w:hAnsi="Palatino Linotype"/>
          <w:sz w:val="24"/>
          <w:szCs w:val="24"/>
        </w:rPr>
        <w:t xml:space="preserve"> </w:t>
      </w:r>
      <w:r w:rsidRPr="00697CAB">
        <w:rPr>
          <w:rFonts w:ascii="Palatino Linotype" w:hAnsi="Palatino Linotype"/>
          <w:sz w:val="24"/>
          <w:szCs w:val="24"/>
          <w:lang w:val="en-US"/>
        </w:rPr>
        <w:t>no right of petition arises.</w:t>
      </w:r>
    </w:p>
    <w:p w14:paraId="57422CE1" w14:textId="7C1100A7"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 xml:space="preserve">The </w:t>
      </w:r>
      <w:r w:rsidR="00C75487">
        <w:rPr>
          <w:rFonts w:ascii="Palatino Linotype" w:hAnsi="Palatino Linotype"/>
          <w:sz w:val="24"/>
          <w:szCs w:val="24"/>
          <w:lang w:val="en-US"/>
        </w:rPr>
        <w:t>DPP</w:t>
      </w:r>
      <w:r w:rsidRPr="00697CAB">
        <w:rPr>
          <w:rFonts w:ascii="Palatino Linotype" w:hAnsi="Palatino Linotype"/>
          <w:sz w:val="24"/>
          <w:szCs w:val="24"/>
          <w:lang w:val="en-US"/>
        </w:rPr>
        <w:t xml:space="preserve"> has a right to petition the High Court for revision where he/she considers that the decision or order of the lower court has caused a miscarriage of justice. Where the </w:t>
      </w:r>
      <w:r w:rsidR="00C75487">
        <w:rPr>
          <w:rFonts w:ascii="Palatino Linotype" w:hAnsi="Palatino Linotype"/>
          <w:sz w:val="24"/>
          <w:szCs w:val="24"/>
          <w:lang w:val="en-US"/>
        </w:rPr>
        <w:t>DPP</w:t>
      </w:r>
      <w:r w:rsidRPr="00697CAB">
        <w:rPr>
          <w:rFonts w:ascii="Palatino Linotype" w:hAnsi="Palatino Linotype"/>
          <w:sz w:val="24"/>
          <w:szCs w:val="24"/>
          <w:lang w:val="en-US"/>
        </w:rPr>
        <w:t xml:space="preserve"> makes an application to the High Court to make an order to the prejudice of the accused, such an application must be lodged with the registrar unless the High Court extends time on proof of good cause.</w:t>
      </w:r>
    </w:p>
    <w:p w14:paraId="1A42C78E" w14:textId="77EAEC7A"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A Chief Magistrate may apply for revision since he/she has no right of appeal.</w:t>
      </w:r>
    </w:p>
    <w:p w14:paraId="0EEE54C0" w14:textId="77777777"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lastRenderedPageBreak/>
        <w:t xml:space="preserve">The application for revision should be </w:t>
      </w:r>
      <w:r w:rsidRPr="00B43694">
        <w:rPr>
          <w:rFonts w:ascii="Palatino Linotype" w:hAnsi="Palatino Linotype"/>
          <w:b/>
          <w:bCs/>
          <w:sz w:val="24"/>
          <w:szCs w:val="24"/>
          <w:lang w:val="en-US"/>
        </w:rPr>
        <w:t>by way of petition</w:t>
      </w:r>
      <w:r w:rsidRPr="00697CAB">
        <w:rPr>
          <w:rFonts w:ascii="Palatino Linotype" w:hAnsi="Palatino Linotype"/>
          <w:sz w:val="24"/>
          <w:szCs w:val="24"/>
          <w:lang w:val="en-US"/>
        </w:rPr>
        <w:t xml:space="preserve"> indicating the effect of the order petitioned against and specifying the grounds of objection or dissatisfaction. It is normally substantially </w:t>
      </w:r>
      <w:proofErr w:type="gramStart"/>
      <w:r w:rsidRPr="00697CAB">
        <w:rPr>
          <w:rFonts w:ascii="Palatino Linotype" w:hAnsi="Palatino Linotype"/>
          <w:sz w:val="24"/>
          <w:szCs w:val="24"/>
          <w:lang w:val="en-US"/>
        </w:rPr>
        <w:t>similar to</w:t>
      </w:r>
      <w:proofErr w:type="gramEnd"/>
      <w:r w:rsidRPr="00697CAB">
        <w:rPr>
          <w:rFonts w:ascii="Palatino Linotype" w:hAnsi="Palatino Linotype"/>
          <w:sz w:val="24"/>
          <w:szCs w:val="24"/>
          <w:lang w:val="en-US"/>
        </w:rPr>
        <w:t xml:space="preserve"> a memorandum of appeal.</w:t>
      </w:r>
    </w:p>
    <w:p w14:paraId="68360C22" w14:textId="77777777" w:rsidR="00697CAB" w:rsidRPr="00697CAB" w:rsidRDefault="00697CAB" w:rsidP="009545A0">
      <w:pPr>
        <w:jc w:val="both"/>
        <w:rPr>
          <w:rFonts w:ascii="Palatino Linotype" w:hAnsi="Palatino Linotype"/>
          <w:sz w:val="24"/>
          <w:szCs w:val="24"/>
          <w:lang w:val="en-US"/>
        </w:rPr>
      </w:pPr>
    </w:p>
    <w:p w14:paraId="7C7C7201" w14:textId="31DBA406" w:rsidR="00697CAB" w:rsidRPr="00697CAB" w:rsidRDefault="00697CAB" w:rsidP="00BD1D03">
      <w:pPr>
        <w:pStyle w:val="Heading2"/>
        <w:numPr>
          <w:ilvl w:val="0"/>
          <w:numId w:val="4"/>
        </w:numPr>
        <w:rPr>
          <w:rFonts w:ascii="Palatino Linotype" w:hAnsi="Palatino Linotype"/>
          <w:b/>
          <w:sz w:val="24"/>
          <w:szCs w:val="24"/>
          <w:lang w:val="en-US"/>
        </w:rPr>
      </w:pPr>
      <w:r w:rsidRPr="00697CAB">
        <w:rPr>
          <w:rFonts w:ascii="Palatino Linotype" w:hAnsi="Palatino Linotype"/>
          <w:b/>
          <w:sz w:val="24"/>
          <w:szCs w:val="24"/>
          <w:lang w:val="en-US"/>
        </w:rPr>
        <w:t>Hearing the D</w:t>
      </w:r>
      <w:r w:rsidR="00C75487">
        <w:rPr>
          <w:rFonts w:ascii="Palatino Linotype" w:hAnsi="Palatino Linotype"/>
          <w:b/>
          <w:sz w:val="24"/>
          <w:szCs w:val="24"/>
          <w:lang w:val="en-US"/>
        </w:rPr>
        <w:t xml:space="preserve">PP </w:t>
      </w:r>
      <w:r w:rsidRPr="00697CAB">
        <w:rPr>
          <w:rFonts w:ascii="Palatino Linotype" w:hAnsi="Palatino Linotype"/>
          <w:b/>
          <w:sz w:val="24"/>
          <w:szCs w:val="24"/>
          <w:lang w:val="en-US"/>
        </w:rPr>
        <w:t>or the Accused before Revision</w:t>
      </w:r>
    </w:p>
    <w:p w14:paraId="0C30D616" w14:textId="494B6C9A"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 xml:space="preserve">The High Court must give the </w:t>
      </w:r>
      <w:r w:rsidR="00C75487">
        <w:rPr>
          <w:rFonts w:ascii="Palatino Linotype" w:hAnsi="Palatino Linotype"/>
          <w:sz w:val="24"/>
          <w:szCs w:val="24"/>
          <w:lang w:val="en-US"/>
        </w:rPr>
        <w:t>DPP</w:t>
      </w:r>
      <w:r w:rsidRPr="00697CAB">
        <w:rPr>
          <w:rFonts w:ascii="Palatino Linotype" w:hAnsi="Palatino Linotype"/>
          <w:sz w:val="24"/>
          <w:szCs w:val="24"/>
          <w:lang w:val="en-US"/>
        </w:rPr>
        <w:t xml:space="preserve"> an opportunity of being heard before a revisional order is made. The practice is for the record of the lower court to be sent to the </w:t>
      </w:r>
      <w:r w:rsidR="00C75487">
        <w:rPr>
          <w:rFonts w:ascii="Palatino Linotype" w:hAnsi="Palatino Linotype"/>
          <w:sz w:val="24"/>
          <w:szCs w:val="24"/>
          <w:lang w:val="en-US"/>
        </w:rPr>
        <w:t>DPP</w:t>
      </w:r>
      <w:r w:rsidRPr="00697CAB">
        <w:rPr>
          <w:rFonts w:ascii="Palatino Linotype" w:hAnsi="Palatino Linotype"/>
          <w:sz w:val="24"/>
          <w:szCs w:val="24"/>
          <w:lang w:val="en-US"/>
        </w:rPr>
        <w:t xml:space="preserve"> for perusal and comments before the judge make his/her revisional order. Sometimes DPP may not oppose the revision application. </w:t>
      </w:r>
    </w:p>
    <w:p w14:paraId="1C37FE16" w14:textId="471F4BF1"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 xml:space="preserve">Where the order by the High Court may be prejudicial to the accused, he/she must be given an opportunity to be heard either personally or through his/her/advocate. </w:t>
      </w:r>
    </w:p>
    <w:p w14:paraId="2B1B41A6" w14:textId="77777777"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Except as stated above, no party has any right to be heard either personally or by advocate before the High Court, when exercising its powers of revision. However, the court has power, if it thinks fit, to hear any party personally or by advocate when exercising its revisional powers. It may also deal with the petition as if it were an appeal.</w:t>
      </w:r>
      <w:r w:rsidRPr="00697CAB">
        <w:rPr>
          <w:rFonts w:ascii="Palatino Linotype" w:hAnsi="Palatino Linotype"/>
          <w:sz w:val="24"/>
          <w:szCs w:val="24"/>
          <w:lang w:val="en-US"/>
        </w:rPr>
        <w:tab/>
      </w:r>
    </w:p>
    <w:p w14:paraId="4FB244DC" w14:textId="77777777" w:rsidR="00697CAB" w:rsidRPr="00697CAB" w:rsidRDefault="00697CAB" w:rsidP="009545A0">
      <w:pPr>
        <w:jc w:val="both"/>
        <w:rPr>
          <w:rFonts w:ascii="Palatino Linotype" w:hAnsi="Palatino Linotype"/>
          <w:sz w:val="24"/>
          <w:szCs w:val="24"/>
        </w:rPr>
      </w:pPr>
    </w:p>
    <w:p w14:paraId="050897AC" w14:textId="77777777" w:rsidR="00697CAB" w:rsidRPr="00697CAB" w:rsidRDefault="00697CAB" w:rsidP="00BD1D03">
      <w:pPr>
        <w:pStyle w:val="Heading2"/>
        <w:numPr>
          <w:ilvl w:val="0"/>
          <w:numId w:val="4"/>
        </w:numPr>
        <w:rPr>
          <w:rFonts w:ascii="Palatino Linotype" w:hAnsi="Palatino Linotype"/>
          <w:b/>
          <w:sz w:val="24"/>
          <w:szCs w:val="24"/>
        </w:rPr>
      </w:pPr>
      <w:r w:rsidRPr="00697CAB">
        <w:rPr>
          <w:rFonts w:ascii="Palatino Linotype" w:hAnsi="Palatino Linotype"/>
          <w:b/>
          <w:sz w:val="24"/>
          <w:szCs w:val="24"/>
          <w:lang w:val="en-US"/>
        </w:rPr>
        <w:t>Bail Pending Revision</w:t>
      </w:r>
    </w:p>
    <w:p w14:paraId="238065DA" w14:textId="249F57BB"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rPr>
        <w:t>T</w:t>
      </w:r>
      <w:r w:rsidRPr="00697CAB">
        <w:rPr>
          <w:rFonts w:ascii="Palatino Linotype" w:hAnsi="Palatino Linotype"/>
          <w:sz w:val="24"/>
          <w:szCs w:val="24"/>
          <w:lang w:val="en-US"/>
        </w:rPr>
        <w:t>he High Court has power to release any convicted person on bail pending the final determination of the case. And if the convicted person is ultimately sentenced to imprisonment</w:t>
      </w:r>
      <w:r w:rsidR="00FC3F5D">
        <w:rPr>
          <w:rFonts w:ascii="Palatino Linotype" w:hAnsi="Palatino Linotype"/>
          <w:sz w:val="24"/>
          <w:szCs w:val="24"/>
          <w:lang w:val="en-US"/>
        </w:rPr>
        <w:t>,</w:t>
      </w:r>
      <w:r w:rsidRPr="00697CAB">
        <w:rPr>
          <w:rFonts w:ascii="Palatino Linotype" w:hAnsi="Palatino Linotype"/>
          <w:sz w:val="24"/>
          <w:szCs w:val="24"/>
          <w:lang w:val="en-US"/>
        </w:rPr>
        <w:t xml:space="preserve"> the time he/she has spent on bail is excluded in computing the period for which he/she is sentenced.</w:t>
      </w:r>
    </w:p>
    <w:p w14:paraId="20F7ADCE" w14:textId="77777777" w:rsidR="00C75487" w:rsidRDefault="00C75487" w:rsidP="009545A0">
      <w:pPr>
        <w:jc w:val="both"/>
        <w:rPr>
          <w:rFonts w:ascii="Palatino Linotype" w:hAnsi="Palatino Linotype"/>
          <w:b/>
          <w:sz w:val="24"/>
          <w:szCs w:val="24"/>
          <w:lang w:val="en-US"/>
        </w:rPr>
      </w:pPr>
    </w:p>
    <w:p w14:paraId="29885284" w14:textId="523045EE" w:rsidR="00697CAB" w:rsidRPr="00697CAB" w:rsidRDefault="00697CAB" w:rsidP="00BD1D03">
      <w:pPr>
        <w:pStyle w:val="Heading2"/>
        <w:numPr>
          <w:ilvl w:val="0"/>
          <w:numId w:val="4"/>
        </w:numPr>
        <w:rPr>
          <w:rFonts w:ascii="Palatino Linotype" w:hAnsi="Palatino Linotype"/>
          <w:b/>
          <w:sz w:val="24"/>
          <w:szCs w:val="24"/>
          <w:lang w:val="en-US"/>
        </w:rPr>
      </w:pPr>
      <w:r w:rsidRPr="00697CAB">
        <w:rPr>
          <w:rFonts w:ascii="Palatino Linotype" w:hAnsi="Palatino Linotype"/>
          <w:b/>
          <w:sz w:val="24"/>
          <w:szCs w:val="24"/>
          <w:lang w:val="en-US"/>
        </w:rPr>
        <w:t>Revisional Order</w:t>
      </w:r>
    </w:p>
    <w:p w14:paraId="39B81C5D" w14:textId="284C82D2" w:rsidR="00697CAB" w:rsidRPr="00697CAB" w:rsidRDefault="00697CAB" w:rsidP="009545A0">
      <w:pPr>
        <w:jc w:val="both"/>
        <w:rPr>
          <w:rFonts w:ascii="Palatino Linotype" w:hAnsi="Palatino Linotype"/>
          <w:sz w:val="24"/>
          <w:szCs w:val="24"/>
          <w:lang w:val="en-US"/>
        </w:rPr>
      </w:pPr>
      <w:r w:rsidRPr="00697CAB">
        <w:rPr>
          <w:rFonts w:ascii="Palatino Linotype" w:hAnsi="Palatino Linotype"/>
          <w:sz w:val="24"/>
          <w:szCs w:val="24"/>
          <w:lang w:val="en-US"/>
        </w:rPr>
        <w:t>After the judge has perused the record of the lower court, and received the required views or arguments, he/she writes out his/her decision embodied in what is called an “Order in Revision” or “Revisional Order”. This forms the ruling or judgment of the court.</w:t>
      </w:r>
    </w:p>
    <w:p w14:paraId="6724E357" w14:textId="53F33C56"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 xml:space="preserve">Normally such order is not as detailed as a judgment on appeal where there have been arguments in open court. A revisional order is usually brief but deals with all the errors on the face of the record that have been committed by the lower court. It should as far as possibly conform to the-requirements of a-judgment. It should contain the points for determination, the decision </w:t>
      </w:r>
      <w:r w:rsidRPr="00697CAB">
        <w:rPr>
          <w:rFonts w:ascii="Palatino Linotype" w:hAnsi="Palatino Linotype"/>
          <w:iCs/>
          <w:sz w:val="24"/>
          <w:szCs w:val="24"/>
          <w:lang w:val="en-US"/>
        </w:rPr>
        <w:t xml:space="preserve">on </w:t>
      </w:r>
      <w:r w:rsidRPr="00697CAB">
        <w:rPr>
          <w:rFonts w:ascii="Palatino Linotype" w:hAnsi="Palatino Linotype"/>
          <w:sz w:val="24"/>
          <w:szCs w:val="24"/>
          <w:lang w:val="en-US"/>
        </w:rPr>
        <w:t>those points and the reasons for the decision. It should be signed by the Judge and dated.</w:t>
      </w:r>
    </w:p>
    <w:p w14:paraId="0D326C5B" w14:textId="77777777" w:rsidR="00697CAB" w:rsidRPr="00697CAB" w:rsidRDefault="00697CAB" w:rsidP="009545A0">
      <w:pPr>
        <w:jc w:val="both"/>
        <w:rPr>
          <w:rFonts w:ascii="Palatino Linotype" w:hAnsi="Palatino Linotype"/>
          <w:b/>
          <w:sz w:val="24"/>
          <w:szCs w:val="24"/>
        </w:rPr>
      </w:pPr>
    </w:p>
    <w:p w14:paraId="62739A2D" w14:textId="77777777" w:rsidR="00697CAB" w:rsidRPr="00697CAB" w:rsidRDefault="00697CAB" w:rsidP="00BD1D03">
      <w:pPr>
        <w:pStyle w:val="Heading2"/>
        <w:numPr>
          <w:ilvl w:val="0"/>
          <w:numId w:val="4"/>
        </w:numPr>
        <w:rPr>
          <w:rFonts w:ascii="Palatino Linotype" w:hAnsi="Palatino Linotype"/>
          <w:b/>
          <w:sz w:val="24"/>
          <w:szCs w:val="24"/>
        </w:rPr>
      </w:pPr>
      <w:r w:rsidRPr="00697CAB">
        <w:rPr>
          <w:rFonts w:ascii="Palatino Linotype" w:hAnsi="Palatino Linotype"/>
          <w:b/>
          <w:sz w:val="24"/>
          <w:szCs w:val="24"/>
          <w:lang w:val="en-US"/>
        </w:rPr>
        <w:t xml:space="preserve">Certificate of Decision    </w:t>
      </w:r>
    </w:p>
    <w:p w14:paraId="07EE9641" w14:textId="77777777" w:rsidR="00697CAB" w:rsidRPr="00697CAB" w:rsidRDefault="00697CAB" w:rsidP="009545A0">
      <w:pPr>
        <w:jc w:val="both"/>
        <w:rPr>
          <w:rFonts w:ascii="Palatino Linotype" w:hAnsi="Palatino Linotype"/>
          <w:sz w:val="24"/>
          <w:szCs w:val="24"/>
        </w:rPr>
      </w:pPr>
      <w:r w:rsidRPr="00697CAB">
        <w:rPr>
          <w:rFonts w:ascii="Palatino Linotype" w:hAnsi="Palatino Linotype"/>
          <w:sz w:val="24"/>
          <w:szCs w:val="24"/>
          <w:lang w:val="en-US"/>
        </w:rPr>
        <w:t>When a case has been revised by the High Court, it must certify its decision or order to the court by which the sentence or order so revised was recorded or passed, and the court to which the decision or order is so certified must there upon make such orders as are conformable to the decision so certified, and if necessary, the record should be amended in accordance with the revisional order.</w:t>
      </w:r>
    </w:p>
    <w:p w14:paraId="656A1964" w14:textId="77777777" w:rsidR="00697CAB" w:rsidRPr="00697CAB" w:rsidRDefault="00697CAB" w:rsidP="009545A0">
      <w:pPr>
        <w:jc w:val="both"/>
        <w:rPr>
          <w:rFonts w:ascii="Palatino Linotype" w:hAnsi="Palatino Linotype"/>
          <w:sz w:val="24"/>
          <w:szCs w:val="24"/>
        </w:rPr>
      </w:pPr>
    </w:p>
    <w:sectPr w:rsidR="00697CAB" w:rsidRPr="00697CAB">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1329E" w14:textId="77777777" w:rsidR="00D94D91" w:rsidRDefault="00D94D91" w:rsidP="009545A0">
      <w:pPr>
        <w:spacing w:after="0" w:line="240" w:lineRule="auto"/>
      </w:pPr>
      <w:r>
        <w:separator/>
      </w:r>
    </w:p>
  </w:endnote>
  <w:endnote w:type="continuationSeparator" w:id="0">
    <w:p w14:paraId="0B4B74AF" w14:textId="77777777" w:rsidR="00D94D91" w:rsidRDefault="00D94D91" w:rsidP="00954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782C3" w14:textId="0BCAE6BB" w:rsidR="00792DE5" w:rsidRDefault="00792DE5" w:rsidP="00D679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F8BF79" w14:textId="77777777" w:rsidR="00D94D91" w:rsidRDefault="00D94D91" w:rsidP="009545A0">
      <w:pPr>
        <w:spacing w:after="0" w:line="240" w:lineRule="auto"/>
      </w:pPr>
      <w:r>
        <w:separator/>
      </w:r>
    </w:p>
  </w:footnote>
  <w:footnote w:type="continuationSeparator" w:id="0">
    <w:p w14:paraId="3B0EEE33" w14:textId="77777777" w:rsidR="00D94D91" w:rsidRDefault="00D94D91" w:rsidP="009545A0">
      <w:pPr>
        <w:spacing w:after="0" w:line="240" w:lineRule="auto"/>
      </w:pPr>
      <w:r>
        <w:continuationSeparator/>
      </w:r>
    </w:p>
  </w:footnote>
  <w:footnote w:id="1">
    <w:p w14:paraId="79AC4CF7" w14:textId="45FE728D" w:rsidR="002C21AB" w:rsidRPr="002C21AB" w:rsidRDefault="002C21AB">
      <w:pPr>
        <w:pStyle w:val="FootnoteText"/>
        <w:rPr>
          <w:lang w:val="en-US"/>
        </w:rPr>
      </w:pPr>
      <w:r>
        <w:rPr>
          <w:rStyle w:val="FootnoteReference"/>
        </w:rPr>
        <w:footnoteRef/>
      </w:r>
      <w:r>
        <w:t xml:space="preserve"> </w:t>
      </w:r>
      <w:r w:rsidRPr="002C21AB">
        <w:rPr>
          <w:bCs/>
        </w:rPr>
        <w:t>The powers of the High Court when exercising its revisional jurisdiction are defined by the Criminal Procedure Code at section 364</w:t>
      </w:r>
    </w:p>
  </w:footnote>
  <w:footnote w:id="2">
    <w:p w14:paraId="246A59AC" w14:textId="652DE83F" w:rsidR="00D360FF" w:rsidRPr="00D360FF" w:rsidRDefault="00D360FF">
      <w:pPr>
        <w:pStyle w:val="FootnoteText"/>
        <w:rPr>
          <w:lang w:val="en-US"/>
        </w:rPr>
      </w:pPr>
      <w:r>
        <w:rPr>
          <w:rStyle w:val="FootnoteReference"/>
        </w:rPr>
        <w:footnoteRef/>
      </w:r>
      <w:r>
        <w:t xml:space="preserve"> </w:t>
      </w:r>
      <w:r w:rsidRPr="00D360FF">
        <w:rPr>
          <w:bCs/>
        </w:rPr>
        <w:t>Section 362 of the Criminal Procedure Code</w:t>
      </w:r>
    </w:p>
  </w:footnote>
  <w:footnote w:id="3">
    <w:p w14:paraId="03C2EDFA" w14:textId="7C8C4D24" w:rsidR="00A1611E" w:rsidRPr="00A1611E" w:rsidRDefault="00A1611E">
      <w:pPr>
        <w:pStyle w:val="FootnoteText"/>
        <w:rPr>
          <w:lang w:val="en-US"/>
        </w:rPr>
      </w:pPr>
      <w:r>
        <w:rPr>
          <w:rStyle w:val="FootnoteReference"/>
        </w:rPr>
        <w:footnoteRef/>
      </w:r>
      <w:r>
        <w:t xml:space="preserve"> </w:t>
      </w:r>
      <w:r>
        <w:rPr>
          <w:bCs/>
        </w:rPr>
        <w:t>S</w:t>
      </w:r>
      <w:r w:rsidRPr="00A1611E">
        <w:rPr>
          <w:bCs/>
        </w:rPr>
        <w:t>ection 364(2</w:t>
      </w:r>
      <w:r>
        <w:rPr>
          <w:bCs/>
        </w:rPr>
        <w:t xml:space="preserve">) </w:t>
      </w:r>
      <w:r w:rsidRPr="00D360FF">
        <w:rPr>
          <w:bCs/>
        </w:rPr>
        <w:t>Criminal Procedure Code</w:t>
      </w:r>
    </w:p>
  </w:footnote>
  <w:footnote w:id="4">
    <w:p w14:paraId="5546DABF" w14:textId="7BC0E1CA" w:rsidR="009545A0" w:rsidRPr="009545A0" w:rsidRDefault="009545A0">
      <w:pPr>
        <w:pStyle w:val="FootnoteText"/>
        <w:rPr>
          <w:lang w:val="en-US"/>
        </w:rPr>
      </w:pPr>
      <w:r>
        <w:rPr>
          <w:rStyle w:val="FootnoteReference"/>
        </w:rPr>
        <w:footnoteRef/>
      </w:r>
      <w:r>
        <w:t xml:space="preserve"> </w:t>
      </w:r>
      <w:r w:rsidRPr="009545A0">
        <w:t>Section 365 Criminal Procedure Code (Cap 75).</w:t>
      </w:r>
    </w:p>
  </w:footnote>
  <w:footnote w:id="5">
    <w:p w14:paraId="325B0565" w14:textId="7DDF1164" w:rsidR="009545A0" w:rsidRPr="009545A0" w:rsidRDefault="009545A0">
      <w:pPr>
        <w:pStyle w:val="FootnoteText"/>
        <w:rPr>
          <w:lang w:val="en-US"/>
        </w:rPr>
      </w:pPr>
      <w:r>
        <w:rPr>
          <w:rStyle w:val="FootnoteReference"/>
        </w:rPr>
        <w:footnoteRef/>
      </w:r>
      <w:r>
        <w:t xml:space="preserve"> </w:t>
      </w:r>
      <w:r w:rsidRPr="009545A0">
        <w:t>Section 366 Criminal Procedure Code (Cap 75).</w:t>
      </w:r>
    </w:p>
  </w:footnote>
  <w:footnote w:id="6">
    <w:p w14:paraId="14FA92DC" w14:textId="762CF75E" w:rsidR="009545A0" w:rsidRPr="009545A0" w:rsidRDefault="009545A0">
      <w:pPr>
        <w:pStyle w:val="FootnoteText"/>
        <w:rPr>
          <w:lang w:val="en-US"/>
        </w:rPr>
      </w:pPr>
      <w:r>
        <w:rPr>
          <w:rStyle w:val="FootnoteReference"/>
        </w:rPr>
        <w:footnoteRef/>
      </w:r>
      <w:r>
        <w:t xml:space="preserve"> </w:t>
      </w:r>
      <w:r w:rsidRPr="009545A0">
        <w:t>Section 367 Criminal Procedure Code (Cap 75).</w:t>
      </w:r>
    </w:p>
  </w:footnote>
  <w:footnote w:id="7">
    <w:p w14:paraId="79B4318D" w14:textId="19318184" w:rsidR="008A0952" w:rsidRPr="008A0952" w:rsidRDefault="008A0952">
      <w:pPr>
        <w:pStyle w:val="FootnoteText"/>
        <w:rPr>
          <w:lang w:val="en-US"/>
        </w:rPr>
      </w:pPr>
      <w:r>
        <w:rPr>
          <w:rStyle w:val="FootnoteReference"/>
        </w:rPr>
        <w:footnoteRef/>
      </w:r>
      <w:r>
        <w:t xml:space="preserve"> </w:t>
      </w:r>
      <w:r w:rsidRPr="008A0952">
        <w:t>(</w:t>
      </w:r>
      <w:r w:rsidR="00A60549" w:rsidRPr="008A0952">
        <w:t>1962) EA</w:t>
      </w:r>
      <w:r w:rsidR="00A60549">
        <w:t xml:space="preserve"> </w:t>
      </w:r>
      <w:r w:rsidRPr="008A0952">
        <w:t>650.</w:t>
      </w:r>
    </w:p>
  </w:footnote>
  <w:footnote w:id="8">
    <w:p w14:paraId="202F081C" w14:textId="77777777" w:rsidR="00B43694" w:rsidRPr="00D360FF" w:rsidRDefault="00B43694" w:rsidP="00B43694">
      <w:pPr>
        <w:pStyle w:val="FootnoteText"/>
        <w:rPr>
          <w:lang w:val="en-US"/>
        </w:rPr>
      </w:pPr>
      <w:r>
        <w:rPr>
          <w:rStyle w:val="FootnoteReference"/>
        </w:rPr>
        <w:footnoteRef/>
      </w:r>
      <w:r>
        <w:t xml:space="preserve"> </w:t>
      </w:r>
      <w:r w:rsidRPr="00D360FF">
        <w:t>(1975) EA 186.</w:t>
      </w:r>
    </w:p>
  </w:footnote>
  <w:footnote w:id="9">
    <w:p w14:paraId="25CCA8DC" w14:textId="4DCE0937" w:rsidR="008A0952" w:rsidRPr="008A0952" w:rsidRDefault="008A0952">
      <w:pPr>
        <w:pStyle w:val="FootnoteText"/>
        <w:rPr>
          <w:lang w:val="en-US"/>
        </w:rPr>
      </w:pPr>
      <w:r>
        <w:rPr>
          <w:rStyle w:val="FootnoteReference"/>
        </w:rPr>
        <w:footnoteRef/>
      </w:r>
      <w:r>
        <w:t xml:space="preserve"> </w:t>
      </w:r>
      <w:r w:rsidRPr="008A0952">
        <w:t>1963)EA184.</w:t>
      </w:r>
    </w:p>
  </w:footnote>
  <w:footnote w:id="10">
    <w:p w14:paraId="71FABDDF" w14:textId="44ACB137" w:rsidR="00D360FF" w:rsidRPr="00D360FF" w:rsidRDefault="00D360FF">
      <w:pPr>
        <w:pStyle w:val="FootnoteText"/>
        <w:rPr>
          <w:lang w:val="en-US"/>
        </w:rPr>
      </w:pPr>
      <w:r>
        <w:rPr>
          <w:rStyle w:val="FootnoteReference"/>
        </w:rPr>
        <w:footnoteRef/>
      </w:r>
      <w:r>
        <w:t xml:space="preserve"> </w:t>
      </w:r>
      <w:r w:rsidRPr="00D360FF">
        <w:t>Section 364(5) Criminal Procedure Code (Cap 75).</w:t>
      </w:r>
    </w:p>
  </w:footnote>
  <w:footnote w:id="11">
    <w:p w14:paraId="7856E789" w14:textId="7BAA4D4C" w:rsidR="00D360FF" w:rsidRPr="00D360FF" w:rsidRDefault="00D360FF">
      <w:pPr>
        <w:pStyle w:val="FootnoteText"/>
        <w:rPr>
          <w:lang w:val="en-US"/>
        </w:rPr>
      </w:pPr>
      <w:r>
        <w:rPr>
          <w:rStyle w:val="FootnoteReference"/>
        </w:rPr>
        <w:footnoteRef/>
      </w:r>
      <w:r>
        <w:t xml:space="preserve"> </w:t>
      </w:r>
      <w:r w:rsidRPr="00D360FF">
        <w:t>1957)EA 822,</w:t>
      </w:r>
    </w:p>
  </w:footnote>
  <w:footnote w:id="12">
    <w:p w14:paraId="120FA402" w14:textId="15F7E3F9" w:rsidR="00D360FF" w:rsidRPr="00D360FF" w:rsidRDefault="00D360FF">
      <w:pPr>
        <w:pStyle w:val="FootnoteText"/>
        <w:rPr>
          <w:lang w:val="en-US"/>
        </w:rPr>
      </w:pPr>
      <w:r>
        <w:rPr>
          <w:rStyle w:val="FootnoteReference"/>
        </w:rPr>
        <w:footnoteRef/>
      </w:r>
      <w:r>
        <w:t xml:space="preserve"> </w:t>
      </w:r>
      <w:r w:rsidRPr="00D360FF">
        <w:t>(</w:t>
      </w:r>
      <w:r w:rsidR="00BD1D03" w:rsidRPr="00D360FF">
        <w:t>1970) EA</w:t>
      </w:r>
      <w:r w:rsidR="00BD1D03">
        <w:t xml:space="preserve"> </w:t>
      </w:r>
      <w:r w:rsidRPr="00D360FF">
        <w:t>638.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62826" w14:textId="24CB1E51" w:rsidR="0086442E" w:rsidRDefault="0086442E">
    <w:pPr>
      <w:pStyle w:val="Header"/>
    </w:pPr>
    <w:r>
      <w:t>Kentieno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EB7CCB"/>
    <w:multiLevelType w:val="hybridMultilevel"/>
    <w:tmpl w:val="BED457D0"/>
    <w:lvl w:ilvl="0" w:tplc="A0405DAA">
      <w:start w:val="1"/>
      <w:numFmt w:val="lowerLetter"/>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464ABB"/>
    <w:multiLevelType w:val="hybridMultilevel"/>
    <w:tmpl w:val="F684BD04"/>
    <w:lvl w:ilvl="0" w:tplc="7AB63462">
      <w:start w:val="1"/>
      <w:numFmt w:val="lowerLetter"/>
      <w:lvlText w:val="(%1)"/>
      <w:lvlJc w:val="left"/>
      <w:pPr>
        <w:ind w:left="1039" w:hanging="360"/>
      </w:pPr>
      <w:rPr>
        <w:rFonts w:hint="default"/>
      </w:rPr>
    </w:lvl>
    <w:lvl w:ilvl="1" w:tplc="08090019" w:tentative="1">
      <w:start w:val="1"/>
      <w:numFmt w:val="lowerLetter"/>
      <w:lvlText w:val="%2."/>
      <w:lvlJc w:val="left"/>
      <w:pPr>
        <w:ind w:left="1759" w:hanging="360"/>
      </w:pPr>
    </w:lvl>
    <w:lvl w:ilvl="2" w:tplc="0809001B" w:tentative="1">
      <w:start w:val="1"/>
      <w:numFmt w:val="lowerRoman"/>
      <w:lvlText w:val="%3."/>
      <w:lvlJc w:val="right"/>
      <w:pPr>
        <w:ind w:left="2479" w:hanging="180"/>
      </w:pPr>
    </w:lvl>
    <w:lvl w:ilvl="3" w:tplc="0809000F" w:tentative="1">
      <w:start w:val="1"/>
      <w:numFmt w:val="decimal"/>
      <w:lvlText w:val="%4."/>
      <w:lvlJc w:val="left"/>
      <w:pPr>
        <w:ind w:left="3199" w:hanging="360"/>
      </w:pPr>
    </w:lvl>
    <w:lvl w:ilvl="4" w:tplc="08090019" w:tentative="1">
      <w:start w:val="1"/>
      <w:numFmt w:val="lowerLetter"/>
      <w:lvlText w:val="%5."/>
      <w:lvlJc w:val="left"/>
      <w:pPr>
        <w:ind w:left="3919" w:hanging="360"/>
      </w:pPr>
    </w:lvl>
    <w:lvl w:ilvl="5" w:tplc="0809001B" w:tentative="1">
      <w:start w:val="1"/>
      <w:numFmt w:val="lowerRoman"/>
      <w:lvlText w:val="%6."/>
      <w:lvlJc w:val="right"/>
      <w:pPr>
        <w:ind w:left="4639" w:hanging="180"/>
      </w:pPr>
    </w:lvl>
    <w:lvl w:ilvl="6" w:tplc="0809000F" w:tentative="1">
      <w:start w:val="1"/>
      <w:numFmt w:val="decimal"/>
      <w:lvlText w:val="%7."/>
      <w:lvlJc w:val="left"/>
      <w:pPr>
        <w:ind w:left="5359" w:hanging="360"/>
      </w:pPr>
    </w:lvl>
    <w:lvl w:ilvl="7" w:tplc="08090019" w:tentative="1">
      <w:start w:val="1"/>
      <w:numFmt w:val="lowerLetter"/>
      <w:lvlText w:val="%8."/>
      <w:lvlJc w:val="left"/>
      <w:pPr>
        <w:ind w:left="6079" w:hanging="360"/>
      </w:pPr>
    </w:lvl>
    <w:lvl w:ilvl="8" w:tplc="0809001B" w:tentative="1">
      <w:start w:val="1"/>
      <w:numFmt w:val="lowerRoman"/>
      <w:lvlText w:val="%9."/>
      <w:lvlJc w:val="right"/>
      <w:pPr>
        <w:ind w:left="6799" w:hanging="180"/>
      </w:pPr>
    </w:lvl>
  </w:abstractNum>
  <w:abstractNum w:abstractNumId="2" w15:restartNumberingAfterBreak="0">
    <w:nsid w:val="3FA853A5"/>
    <w:multiLevelType w:val="hybridMultilevel"/>
    <w:tmpl w:val="41F4AEF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1E63AC"/>
    <w:multiLevelType w:val="hybridMultilevel"/>
    <w:tmpl w:val="FE4A0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1D7908"/>
    <w:multiLevelType w:val="hybridMultilevel"/>
    <w:tmpl w:val="B6F688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E21599E"/>
    <w:multiLevelType w:val="hybridMultilevel"/>
    <w:tmpl w:val="4C9EC5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9463403">
    <w:abstractNumId w:val="1"/>
  </w:num>
  <w:num w:numId="2" w16cid:durableId="183980222">
    <w:abstractNumId w:val="0"/>
  </w:num>
  <w:num w:numId="3" w16cid:durableId="62224650">
    <w:abstractNumId w:val="2"/>
  </w:num>
  <w:num w:numId="4" w16cid:durableId="2112386154">
    <w:abstractNumId w:val="4"/>
  </w:num>
  <w:num w:numId="5" w16cid:durableId="958948496">
    <w:abstractNumId w:val="3"/>
  </w:num>
  <w:num w:numId="6" w16cid:durableId="1037048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2E"/>
    <w:rsid w:val="00061B9C"/>
    <w:rsid w:val="00263D05"/>
    <w:rsid w:val="002B2F0B"/>
    <w:rsid w:val="002C21AB"/>
    <w:rsid w:val="00331E42"/>
    <w:rsid w:val="003A419D"/>
    <w:rsid w:val="003B6EDF"/>
    <w:rsid w:val="004063E8"/>
    <w:rsid w:val="00445B44"/>
    <w:rsid w:val="00625D7B"/>
    <w:rsid w:val="00697CAB"/>
    <w:rsid w:val="006B5894"/>
    <w:rsid w:val="00765EED"/>
    <w:rsid w:val="00792DE5"/>
    <w:rsid w:val="00813BF4"/>
    <w:rsid w:val="00861143"/>
    <w:rsid w:val="0086442E"/>
    <w:rsid w:val="008A0952"/>
    <w:rsid w:val="00922387"/>
    <w:rsid w:val="00923D15"/>
    <w:rsid w:val="009545A0"/>
    <w:rsid w:val="00986E85"/>
    <w:rsid w:val="00A12FCB"/>
    <w:rsid w:val="00A1611E"/>
    <w:rsid w:val="00A60549"/>
    <w:rsid w:val="00AA08B1"/>
    <w:rsid w:val="00AD6D4B"/>
    <w:rsid w:val="00AE22B6"/>
    <w:rsid w:val="00B243B3"/>
    <w:rsid w:val="00B43694"/>
    <w:rsid w:val="00B51D0F"/>
    <w:rsid w:val="00BD1D03"/>
    <w:rsid w:val="00C75487"/>
    <w:rsid w:val="00C75578"/>
    <w:rsid w:val="00CD3AE0"/>
    <w:rsid w:val="00CF0EE3"/>
    <w:rsid w:val="00D360FF"/>
    <w:rsid w:val="00D3692E"/>
    <w:rsid w:val="00D6793B"/>
    <w:rsid w:val="00D94D91"/>
    <w:rsid w:val="00EB1BA8"/>
    <w:rsid w:val="00F052E0"/>
    <w:rsid w:val="00F07E8C"/>
    <w:rsid w:val="00F310E2"/>
    <w:rsid w:val="00FC009F"/>
    <w:rsid w:val="00FC3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A197"/>
  <w15:chartTrackingRefBased/>
  <w15:docId w15:val="{ACE821AC-9F48-4E88-8266-376CD448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2E"/>
    <w:rPr>
      <w:rFonts w:eastAsiaTheme="majorEastAsia" w:cstheme="majorBidi"/>
      <w:color w:val="272727" w:themeColor="text1" w:themeTint="D8"/>
    </w:rPr>
  </w:style>
  <w:style w:type="paragraph" w:styleId="Title">
    <w:name w:val="Title"/>
    <w:basedOn w:val="Normal"/>
    <w:next w:val="Normal"/>
    <w:link w:val="TitleChar"/>
    <w:uiPriority w:val="10"/>
    <w:qFormat/>
    <w:rsid w:val="00D36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2E"/>
    <w:pPr>
      <w:spacing w:before="160"/>
      <w:jc w:val="center"/>
    </w:pPr>
    <w:rPr>
      <w:i/>
      <w:iCs/>
      <w:color w:val="404040" w:themeColor="text1" w:themeTint="BF"/>
    </w:rPr>
  </w:style>
  <w:style w:type="character" w:customStyle="1" w:styleId="QuoteChar">
    <w:name w:val="Quote Char"/>
    <w:basedOn w:val="DefaultParagraphFont"/>
    <w:link w:val="Quote"/>
    <w:uiPriority w:val="29"/>
    <w:rsid w:val="00D3692E"/>
    <w:rPr>
      <w:i/>
      <w:iCs/>
      <w:color w:val="404040" w:themeColor="text1" w:themeTint="BF"/>
    </w:rPr>
  </w:style>
  <w:style w:type="paragraph" w:styleId="ListParagraph">
    <w:name w:val="List Paragraph"/>
    <w:basedOn w:val="Normal"/>
    <w:uiPriority w:val="34"/>
    <w:qFormat/>
    <w:rsid w:val="00D3692E"/>
    <w:pPr>
      <w:ind w:left="720"/>
      <w:contextualSpacing/>
    </w:pPr>
  </w:style>
  <w:style w:type="character" w:styleId="IntenseEmphasis">
    <w:name w:val="Intense Emphasis"/>
    <w:basedOn w:val="DefaultParagraphFont"/>
    <w:uiPriority w:val="21"/>
    <w:qFormat/>
    <w:rsid w:val="00D3692E"/>
    <w:rPr>
      <w:i/>
      <w:iCs/>
      <w:color w:val="0F4761" w:themeColor="accent1" w:themeShade="BF"/>
    </w:rPr>
  </w:style>
  <w:style w:type="paragraph" w:styleId="IntenseQuote">
    <w:name w:val="Intense Quote"/>
    <w:basedOn w:val="Normal"/>
    <w:next w:val="Normal"/>
    <w:link w:val="IntenseQuoteChar"/>
    <w:uiPriority w:val="30"/>
    <w:qFormat/>
    <w:rsid w:val="00D36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92E"/>
    <w:rPr>
      <w:i/>
      <w:iCs/>
      <w:color w:val="0F4761" w:themeColor="accent1" w:themeShade="BF"/>
    </w:rPr>
  </w:style>
  <w:style w:type="character" w:styleId="IntenseReference">
    <w:name w:val="Intense Reference"/>
    <w:basedOn w:val="DefaultParagraphFont"/>
    <w:uiPriority w:val="32"/>
    <w:qFormat/>
    <w:rsid w:val="00D3692E"/>
    <w:rPr>
      <w:b/>
      <w:bCs/>
      <w:smallCaps/>
      <w:color w:val="0F4761" w:themeColor="accent1" w:themeShade="BF"/>
      <w:spacing w:val="5"/>
    </w:rPr>
  </w:style>
  <w:style w:type="paragraph" w:styleId="FootnoteText">
    <w:name w:val="footnote text"/>
    <w:basedOn w:val="Normal"/>
    <w:link w:val="FootnoteTextChar"/>
    <w:uiPriority w:val="99"/>
    <w:semiHidden/>
    <w:unhideWhenUsed/>
    <w:rsid w:val="009545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45A0"/>
    <w:rPr>
      <w:sz w:val="20"/>
      <w:szCs w:val="20"/>
    </w:rPr>
  </w:style>
  <w:style w:type="character" w:styleId="FootnoteReference">
    <w:name w:val="footnote reference"/>
    <w:basedOn w:val="DefaultParagraphFont"/>
    <w:uiPriority w:val="99"/>
    <w:semiHidden/>
    <w:unhideWhenUsed/>
    <w:rsid w:val="009545A0"/>
    <w:rPr>
      <w:vertAlign w:val="superscript"/>
    </w:rPr>
  </w:style>
  <w:style w:type="paragraph" w:styleId="Header">
    <w:name w:val="header"/>
    <w:basedOn w:val="Normal"/>
    <w:link w:val="HeaderChar"/>
    <w:uiPriority w:val="99"/>
    <w:unhideWhenUsed/>
    <w:rsid w:val="00792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2DE5"/>
  </w:style>
  <w:style w:type="paragraph" w:styleId="Footer">
    <w:name w:val="footer"/>
    <w:basedOn w:val="Normal"/>
    <w:link w:val="FooterChar"/>
    <w:uiPriority w:val="99"/>
    <w:unhideWhenUsed/>
    <w:rsid w:val="00792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2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22865-5D7E-409C-8165-9098EEB1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1608</Words>
  <Characters>9169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20</cp:revision>
  <dcterms:created xsi:type="dcterms:W3CDTF">2024-06-30T03:23:00Z</dcterms:created>
  <dcterms:modified xsi:type="dcterms:W3CDTF">2024-10-12T18:55:00Z</dcterms:modified>
</cp:coreProperties>
</file>