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0B69" w:rsidRDefault="00CD57D7">
      <w:pPr>
        <w:ind w:left="-20" w:right="-20"/>
        <w:jc w:val="center"/>
        <w:rPr>
          <w:rFonts w:ascii="Times New Roman" w:eastAsia="Times New Roman" w:hAnsi="Times New Roman" w:cs="Times New Roman"/>
          <w:b/>
          <w:color w:val="000000"/>
          <w:sz w:val="19"/>
          <w:szCs w:val="19"/>
          <w:u w:val="single"/>
        </w:rPr>
      </w:pPr>
      <w:r>
        <w:rPr>
          <w:noProof/>
          <w:lang w:val="en-US"/>
        </w:rPr>
        <w:drawing>
          <wp:inline distT="0" distB="0" distL="0" distR="0">
            <wp:extent cx="2271712" cy="2154555"/>
            <wp:effectExtent l="0" t="0" r="0" b="0"/>
            <wp:docPr id="1026" name="Picture 2" descr="A shield with lions holding a book&#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2271712" cy="2154555"/>
                    </a:xfrm>
                    <a:prstGeom prst="rect">
                      <a:avLst/>
                    </a:prstGeom>
                  </pic:spPr>
                </pic:pic>
              </a:graphicData>
            </a:graphic>
          </wp:inline>
        </w:drawing>
      </w:r>
    </w:p>
    <w:p w:rsidR="00970B69" w:rsidRDefault="00CD57D7">
      <w:pPr>
        <w:ind w:left="-20" w:right="-20"/>
        <w:jc w:val="center"/>
        <w:rPr>
          <w:rFonts w:ascii="Times New Roman" w:eastAsia="Times New Roman" w:hAnsi="Times New Roman" w:cs="Times New Roman"/>
          <w:color w:val="000000"/>
          <w:sz w:val="19"/>
          <w:szCs w:val="19"/>
        </w:rPr>
      </w:pPr>
      <w:r>
        <w:rPr>
          <w:rFonts w:ascii="Times New Roman" w:eastAsia="Times New Roman" w:hAnsi="Times New Roman" w:cs="Times New Roman"/>
          <w:b/>
          <w:color w:val="000000"/>
          <w:sz w:val="19"/>
          <w:szCs w:val="19"/>
          <w:u w:val="single"/>
        </w:rPr>
        <w:t>KENYA SCHOOL OF LAW</w:t>
      </w:r>
    </w:p>
    <w:p w:rsidR="00970B69" w:rsidRDefault="00CD57D7">
      <w:pPr>
        <w:ind w:right="-20"/>
        <w:jc w:val="center"/>
        <w:rPr>
          <w:rFonts w:ascii="Times New Roman" w:eastAsia="Times New Roman" w:hAnsi="Times New Roman" w:cs="Times New Roman"/>
          <w:b/>
          <w:color w:val="000000"/>
          <w:sz w:val="19"/>
          <w:szCs w:val="19"/>
          <w:u w:val="single"/>
        </w:rPr>
      </w:pPr>
      <w:r>
        <w:rPr>
          <w:rFonts w:ascii="Times New Roman" w:eastAsia="Times New Roman" w:hAnsi="Times New Roman" w:cs="Times New Roman"/>
          <w:b/>
          <w:color w:val="000000"/>
          <w:sz w:val="19"/>
          <w:szCs w:val="19"/>
          <w:u w:val="single"/>
        </w:rPr>
        <w:t>ADVOCATES TRAINING PROGRAM</w:t>
      </w:r>
    </w:p>
    <w:p w:rsidR="00970B69" w:rsidRDefault="00CD57D7">
      <w:pPr>
        <w:ind w:right="-20"/>
        <w:jc w:val="center"/>
        <w:rPr>
          <w:rFonts w:ascii="Times New Roman" w:eastAsia="Times New Roman" w:hAnsi="Times New Roman" w:cs="Times New Roman"/>
          <w:b/>
          <w:color w:val="000000"/>
          <w:sz w:val="19"/>
          <w:szCs w:val="19"/>
          <w:u w:val="single"/>
        </w:rPr>
      </w:pPr>
      <w:r>
        <w:rPr>
          <w:rFonts w:ascii="Times New Roman" w:eastAsia="Times New Roman" w:hAnsi="Times New Roman" w:cs="Times New Roman"/>
          <w:b/>
          <w:bCs/>
          <w:color w:val="000000"/>
          <w:sz w:val="19"/>
          <w:szCs w:val="19"/>
          <w:u w:val="single"/>
        </w:rPr>
        <w:t>LEGAL</w:t>
      </w:r>
      <w:r>
        <w:rPr>
          <w:rFonts w:ascii="Times New Roman" w:eastAsia="Times New Roman" w:hAnsi="Times New Roman" w:cs="Times New Roman"/>
          <w:b/>
          <w:color w:val="000000"/>
          <w:sz w:val="19"/>
          <w:szCs w:val="19"/>
          <w:u w:val="single"/>
        </w:rPr>
        <w:t xml:space="preserve"> PRACTICE MANAGEMENT </w:t>
      </w:r>
    </w:p>
    <w:p w:rsidR="00970B69" w:rsidRDefault="00CD57D7">
      <w:pPr>
        <w:ind w:right="-20"/>
        <w:jc w:val="center"/>
        <w:rPr>
          <w:rFonts w:ascii="Times New Roman" w:eastAsia="Times New Roman" w:hAnsi="Times New Roman" w:cs="Times New Roman"/>
          <w:b/>
          <w:color w:val="000000"/>
          <w:sz w:val="19"/>
          <w:szCs w:val="19"/>
          <w:u w:val="single"/>
        </w:rPr>
      </w:pPr>
      <w:r>
        <w:rPr>
          <w:rFonts w:ascii="Times New Roman" w:eastAsia="Times New Roman" w:hAnsi="Times New Roman" w:cs="Times New Roman"/>
          <w:b/>
          <w:color w:val="000000"/>
          <w:sz w:val="19"/>
          <w:szCs w:val="19"/>
          <w:u w:val="single"/>
        </w:rPr>
        <w:t xml:space="preserve">COURSE INSTRUCTOR: </w:t>
      </w:r>
      <w:r w:rsidR="003D3684">
        <w:rPr>
          <w:rFonts w:ascii="Times New Roman" w:eastAsia="Times New Roman" w:hAnsi="Times New Roman" w:cs="Times New Roman"/>
          <w:b/>
          <w:bCs/>
          <w:color w:val="000000"/>
          <w:sz w:val="19"/>
          <w:szCs w:val="19"/>
          <w:u w:val="single"/>
        </w:rPr>
        <w:t xml:space="preserve">Ms. </w:t>
      </w:r>
      <w:r>
        <w:rPr>
          <w:rFonts w:ascii="Times New Roman" w:eastAsia="Times New Roman" w:hAnsi="Times New Roman" w:cs="Times New Roman"/>
          <w:b/>
          <w:bCs/>
          <w:color w:val="000000"/>
          <w:sz w:val="19"/>
          <w:szCs w:val="19"/>
          <w:u w:val="single"/>
        </w:rPr>
        <w:t>MARGRET MOUNDE</w:t>
      </w:r>
    </w:p>
    <w:p w:rsidR="00970B69" w:rsidRDefault="00CD57D7">
      <w:pPr>
        <w:ind w:right="-20"/>
        <w:jc w:val="center"/>
        <w:rPr>
          <w:rFonts w:ascii="Times New Roman" w:eastAsia="Times New Roman" w:hAnsi="Times New Roman" w:cs="Times New Roman"/>
          <w:b/>
          <w:color w:val="000000"/>
          <w:sz w:val="19"/>
          <w:szCs w:val="19"/>
          <w:u w:val="single"/>
        </w:rPr>
      </w:pPr>
      <w:r>
        <w:rPr>
          <w:rFonts w:ascii="Times New Roman" w:eastAsia="Times New Roman" w:hAnsi="Times New Roman" w:cs="Times New Roman"/>
          <w:b/>
          <w:color w:val="000000"/>
          <w:sz w:val="19"/>
          <w:szCs w:val="19"/>
          <w:u w:val="single"/>
        </w:rPr>
        <w:t xml:space="preserve">CLASS ASSIGNMENT: LEGAL AND INSTITUTIONAL FRAMEWORG GOVERNING ICT IN KENYA </w:t>
      </w:r>
    </w:p>
    <w:p w:rsidR="00970B69" w:rsidRDefault="00CD57D7">
      <w:pPr>
        <w:ind w:right="-20"/>
        <w:jc w:val="center"/>
        <w:rPr>
          <w:rFonts w:ascii="Times New Roman" w:eastAsia="Times New Roman" w:hAnsi="Times New Roman" w:cs="Times New Roman"/>
          <w:b/>
          <w:color w:val="000000"/>
          <w:sz w:val="19"/>
          <w:szCs w:val="19"/>
          <w:u w:val="single"/>
        </w:rPr>
      </w:pPr>
      <w:r>
        <w:rPr>
          <w:rFonts w:ascii="Times New Roman" w:eastAsia="Times New Roman" w:hAnsi="Times New Roman" w:cs="Times New Roman"/>
          <w:b/>
          <w:color w:val="000000"/>
          <w:sz w:val="19"/>
          <w:szCs w:val="19"/>
          <w:u w:val="single"/>
        </w:rPr>
        <w:t>PRESENTED BY: FIRM 5 (CLASS C) 2024</w:t>
      </w:r>
    </w:p>
    <w:p w:rsidR="00970B69" w:rsidRDefault="00970B69">
      <w:pPr>
        <w:ind w:right="-20"/>
        <w:rPr>
          <w:rFonts w:ascii="Times New Roman" w:eastAsia="Times New Roman" w:hAnsi="Times New Roman" w:cs="Times New Roman"/>
          <w:color w:val="000000"/>
          <w:sz w:val="19"/>
          <w:szCs w:val="19"/>
        </w:rPr>
      </w:pPr>
    </w:p>
    <w:p w:rsidR="00970B69" w:rsidRDefault="00970B69">
      <w:pPr>
        <w:ind w:right="-20"/>
        <w:rPr>
          <w:rFonts w:ascii="Times New Roman" w:eastAsia="Times New Roman" w:hAnsi="Times New Roman" w:cs="Times New Roman"/>
          <w:color w:val="000000"/>
          <w:sz w:val="19"/>
          <w:szCs w:val="19"/>
        </w:rPr>
      </w:pPr>
    </w:p>
    <w:p w:rsidR="00970B69" w:rsidRDefault="00970B69">
      <w:pPr>
        <w:ind w:right="-20"/>
        <w:rPr>
          <w:rFonts w:ascii="Times New Roman" w:eastAsia="Times New Roman" w:hAnsi="Times New Roman" w:cs="Times New Roman"/>
          <w:color w:val="000000"/>
          <w:sz w:val="19"/>
          <w:szCs w:val="19"/>
        </w:rPr>
      </w:pPr>
    </w:p>
    <w:p w:rsidR="00970B69" w:rsidRDefault="00970B69">
      <w:pPr>
        <w:ind w:right="-20"/>
        <w:rPr>
          <w:rFonts w:ascii="Times New Roman" w:eastAsia="Times New Roman" w:hAnsi="Times New Roman" w:cs="Times New Roman"/>
          <w:color w:val="000000"/>
          <w:sz w:val="19"/>
          <w:szCs w:val="19"/>
        </w:rPr>
      </w:pPr>
    </w:p>
    <w:p w:rsidR="00970B69" w:rsidRDefault="00970B69">
      <w:pPr>
        <w:ind w:right="-20"/>
        <w:rPr>
          <w:rFonts w:ascii="Times New Roman" w:eastAsia="Times New Roman" w:hAnsi="Times New Roman" w:cs="Times New Roman"/>
          <w:color w:val="000000"/>
          <w:sz w:val="19"/>
          <w:szCs w:val="19"/>
        </w:rPr>
      </w:pPr>
    </w:p>
    <w:p w:rsidR="00970B69" w:rsidRDefault="00CD57D7">
      <w:pPr>
        <w:ind w:right="-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LIST OF MEMBERS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12"/>
        <w:gridCol w:w="3804"/>
        <w:gridCol w:w="2657"/>
        <w:gridCol w:w="2271"/>
      </w:tblGrid>
      <w:tr w:rsidR="00970B69">
        <w:trPr>
          <w:trHeight w:val="405"/>
        </w:trPr>
        <w:tc>
          <w:tcPr>
            <w:tcW w:w="63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b/>
                <w:bCs/>
                <w:sz w:val="20"/>
                <w:szCs w:val="20"/>
                <w:lang w:val="en-US"/>
              </w:rPr>
              <w:t>NO.</w:t>
            </w:r>
            <w:r>
              <w:rPr>
                <w:rFonts w:ascii="Times New Roman" w:eastAsia="Times New Roman" w:hAnsi="Times New Roman" w:cs="Times New Roman"/>
                <w:sz w:val="20"/>
                <w:szCs w:val="20"/>
                <w:lang w:val="en-US"/>
              </w:rPr>
              <w:t> </w:t>
            </w:r>
          </w:p>
        </w:tc>
        <w:tc>
          <w:tcPr>
            <w:tcW w:w="4035"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jc w:val="left"/>
              <w:textAlignment w:val="baseline"/>
              <w:rPr>
                <w:rFonts w:ascii="Segoe UI" w:eastAsia="Times New Roman" w:hAnsi="Segoe UI" w:cs="Segoe UI"/>
                <w:sz w:val="20"/>
                <w:szCs w:val="20"/>
                <w:lang w:val="en-US"/>
              </w:rPr>
            </w:pPr>
            <w:r>
              <w:rPr>
                <w:rFonts w:ascii="Times New Roman" w:eastAsia="Times New Roman" w:hAnsi="Times New Roman" w:cs="Times New Roman"/>
                <w:b/>
                <w:bCs/>
                <w:sz w:val="20"/>
                <w:szCs w:val="20"/>
                <w:lang w:val="en-US"/>
              </w:rPr>
              <w:t>NAME</w:t>
            </w:r>
            <w:r>
              <w:rPr>
                <w:rFonts w:ascii="Times New Roman" w:eastAsia="Times New Roman" w:hAnsi="Times New Roman" w:cs="Times New Roman"/>
                <w:sz w:val="20"/>
                <w:szCs w:val="20"/>
                <w:lang w:val="en-US"/>
              </w:rPr>
              <w:t> </w:t>
            </w:r>
          </w:p>
        </w:tc>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b/>
                <w:bCs/>
                <w:sz w:val="20"/>
                <w:szCs w:val="20"/>
                <w:lang w:val="en-US"/>
              </w:rPr>
              <w:t>ADMISSION NUMBER</w:t>
            </w:r>
            <w:r>
              <w:rPr>
                <w:rFonts w:ascii="Times New Roman" w:eastAsia="Times New Roman" w:hAnsi="Times New Roman" w:cs="Times New Roman"/>
                <w:sz w:val="20"/>
                <w:szCs w:val="20"/>
                <w:lang w:val="en-US"/>
              </w:rPr>
              <w:t> </w:t>
            </w:r>
          </w:p>
        </w:tc>
        <w:tc>
          <w:tcPr>
            <w:tcW w:w="234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18"/>
                <w:szCs w:val="18"/>
                <w:lang w:val="en-US"/>
              </w:rPr>
            </w:pPr>
            <w:r>
              <w:rPr>
                <w:rFonts w:ascii="Times New Roman" w:eastAsia="Times New Roman" w:hAnsi="Times New Roman" w:cs="Times New Roman"/>
                <w:b/>
                <w:bCs/>
                <w:szCs w:val="24"/>
                <w:lang w:val="en-US"/>
              </w:rPr>
              <w:t>SIGNATURE</w:t>
            </w:r>
            <w:r>
              <w:rPr>
                <w:rFonts w:ascii="Times New Roman" w:eastAsia="Times New Roman" w:hAnsi="Times New Roman" w:cs="Times New Roman"/>
                <w:szCs w:val="24"/>
                <w:lang w:val="en-US"/>
              </w:rPr>
              <w:t> </w:t>
            </w:r>
          </w:p>
        </w:tc>
      </w:tr>
      <w:tr w:rsidR="00970B69">
        <w:trPr>
          <w:trHeight w:val="585"/>
        </w:trPr>
        <w:tc>
          <w:tcPr>
            <w:tcW w:w="63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1. </w:t>
            </w:r>
          </w:p>
        </w:tc>
        <w:tc>
          <w:tcPr>
            <w:tcW w:w="4035"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bCs/>
                <w:iCs/>
                <w:sz w:val="20"/>
                <w:szCs w:val="20"/>
                <w:lang w:val="en-US"/>
              </w:rPr>
              <w:t>PRINCESS NEEMA MUMBI</w:t>
            </w:r>
            <w:r>
              <w:rPr>
                <w:rFonts w:ascii="Times New Roman" w:eastAsia="Times New Roman" w:hAnsi="Times New Roman" w:cs="Times New Roman"/>
                <w:sz w:val="20"/>
                <w:szCs w:val="20"/>
                <w:lang w:val="en-US"/>
              </w:rPr>
              <w:t> </w:t>
            </w:r>
          </w:p>
        </w:tc>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bCs/>
                <w:iCs/>
                <w:sz w:val="20"/>
                <w:szCs w:val="20"/>
                <w:lang w:val="en-US"/>
              </w:rPr>
              <w:t>20240250</w:t>
            </w:r>
            <w:r>
              <w:rPr>
                <w:rFonts w:ascii="Times New Roman" w:eastAsia="Times New Roman" w:hAnsi="Times New Roman" w:cs="Times New Roman"/>
                <w:sz w:val="20"/>
                <w:szCs w:val="20"/>
                <w:lang w:val="en-US"/>
              </w:rPr>
              <w:t> </w:t>
            </w:r>
          </w:p>
        </w:tc>
        <w:tc>
          <w:tcPr>
            <w:tcW w:w="234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18"/>
                <w:szCs w:val="18"/>
                <w:lang w:val="en-US"/>
              </w:rPr>
            </w:pPr>
            <w:r>
              <w:rPr>
                <w:rFonts w:ascii="Times New Roman" w:eastAsia="Times New Roman" w:hAnsi="Times New Roman" w:cs="Times New Roman"/>
                <w:szCs w:val="24"/>
                <w:lang w:val="en-US"/>
              </w:rPr>
              <w:t> </w:t>
            </w:r>
          </w:p>
        </w:tc>
      </w:tr>
      <w:tr w:rsidR="00970B69">
        <w:trPr>
          <w:trHeight w:val="585"/>
        </w:trPr>
        <w:tc>
          <w:tcPr>
            <w:tcW w:w="63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2.  </w:t>
            </w:r>
          </w:p>
        </w:tc>
        <w:tc>
          <w:tcPr>
            <w:tcW w:w="4035"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HILDA CHEROTICH </w:t>
            </w:r>
          </w:p>
        </w:tc>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20240218 </w:t>
            </w:r>
          </w:p>
        </w:tc>
        <w:tc>
          <w:tcPr>
            <w:tcW w:w="234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18"/>
                <w:szCs w:val="18"/>
                <w:lang w:val="en-US"/>
              </w:rPr>
            </w:pPr>
            <w:r>
              <w:rPr>
                <w:rFonts w:ascii="Times New Roman" w:eastAsia="Times New Roman" w:hAnsi="Times New Roman" w:cs="Times New Roman"/>
                <w:szCs w:val="24"/>
                <w:lang w:val="en-US"/>
              </w:rPr>
              <w:t> </w:t>
            </w:r>
          </w:p>
        </w:tc>
      </w:tr>
      <w:tr w:rsidR="00970B69">
        <w:trPr>
          <w:trHeight w:val="585"/>
        </w:trPr>
        <w:tc>
          <w:tcPr>
            <w:tcW w:w="63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3. </w:t>
            </w:r>
          </w:p>
        </w:tc>
        <w:tc>
          <w:tcPr>
            <w:tcW w:w="4035"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LOKERKERO CHRIS </w:t>
            </w:r>
          </w:p>
        </w:tc>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20240216 </w:t>
            </w:r>
          </w:p>
        </w:tc>
        <w:tc>
          <w:tcPr>
            <w:tcW w:w="234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18"/>
                <w:szCs w:val="18"/>
                <w:lang w:val="en-US"/>
              </w:rPr>
            </w:pPr>
            <w:r>
              <w:rPr>
                <w:rFonts w:ascii="Times New Roman" w:eastAsia="Times New Roman" w:hAnsi="Times New Roman" w:cs="Times New Roman"/>
                <w:szCs w:val="24"/>
                <w:lang w:val="en-US"/>
              </w:rPr>
              <w:t> </w:t>
            </w:r>
          </w:p>
        </w:tc>
      </w:tr>
      <w:tr w:rsidR="00970B69">
        <w:trPr>
          <w:trHeight w:val="585"/>
        </w:trPr>
        <w:tc>
          <w:tcPr>
            <w:tcW w:w="63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4. </w:t>
            </w:r>
          </w:p>
        </w:tc>
        <w:tc>
          <w:tcPr>
            <w:tcW w:w="4035"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MICHAEL KIMATHI </w:t>
            </w:r>
          </w:p>
        </w:tc>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20240208 </w:t>
            </w:r>
          </w:p>
        </w:tc>
        <w:tc>
          <w:tcPr>
            <w:tcW w:w="234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18"/>
                <w:szCs w:val="18"/>
                <w:lang w:val="en-US"/>
              </w:rPr>
            </w:pPr>
            <w:r>
              <w:rPr>
                <w:rFonts w:ascii="Times New Roman" w:eastAsia="Times New Roman" w:hAnsi="Times New Roman" w:cs="Times New Roman"/>
                <w:szCs w:val="24"/>
                <w:lang w:val="en-US"/>
              </w:rPr>
              <w:t> </w:t>
            </w:r>
          </w:p>
        </w:tc>
      </w:tr>
      <w:tr w:rsidR="00970B69">
        <w:trPr>
          <w:trHeight w:val="585"/>
        </w:trPr>
        <w:tc>
          <w:tcPr>
            <w:tcW w:w="63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5.  </w:t>
            </w:r>
          </w:p>
        </w:tc>
        <w:tc>
          <w:tcPr>
            <w:tcW w:w="4035"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DIANAH CHEBET </w:t>
            </w:r>
          </w:p>
        </w:tc>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20241564 </w:t>
            </w:r>
          </w:p>
        </w:tc>
        <w:tc>
          <w:tcPr>
            <w:tcW w:w="234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18"/>
                <w:szCs w:val="18"/>
                <w:lang w:val="en-US"/>
              </w:rPr>
            </w:pPr>
            <w:r>
              <w:rPr>
                <w:rFonts w:ascii="Times New Roman" w:eastAsia="Times New Roman" w:hAnsi="Times New Roman" w:cs="Times New Roman"/>
                <w:szCs w:val="24"/>
                <w:lang w:val="en-US"/>
              </w:rPr>
              <w:t> </w:t>
            </w:r>
          </w:p>
        </w:tc>
      </w:tr>
      <w:tr w:rsidR="00970B69">
        <w:trPr>
          <w:trHeight w:val="585"/>
        </w:trPr>
        <w:tc>
          <w:tcPr>
            <w:tcW w:w="63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6. </w:t>
            </w:r>
          </w:p>
        </w:tc>
        <w:tc>
          <w:tcPr>
            <w:tcW w:w="4035"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MARGARET NJERI </w:t>
            </w:r>
          </w:p>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 </w:t>
            </w:r>
          </w:p>
        </w:tc>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20241195 </w:t>
            </w:r>
          </w:p>
        </w:tc>
        <w:tc>
          <w:tcPr>
            <w:tcW w:w="234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18"/>
                <w:szCs w:val="18"/>
                <w:lang w:val="en-US"/>
              </w:rPr>
            </w:pPr>
            <w:r>
              <w:rPr>
                <w:rFonts w:ascii="Times New Roman" w:eastAsia="Times New Roman" w:hAnsi="Times New Roman" w:cs="Times New Roman"/>
                <w:szCs w:val="24"/>
                <w:lang w:val="en-US"/>
              </w:rPr>
              <w:t> </w:t>
            </w:r>
          </w:p>
        </w:tc>
      </w:tr>
      <w:tr w:rsidR="00970B69">
        <w:trPr>
          <w:trHeight w:val="630"/>
        </w:trPr>
        <w:tc>
          <w:tcPr>
            <w:tcW w:w="63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7. </w:t>
            </w:r>
          </w:p>
        </w:tc>
        <w:tc>
          <w:tcPr>
            <w:tcW w:w="4035"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EUNICE KOKI </w:t>
            </w:r>
          </w:p>
        </w:tc>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20240213 </w:t>
            </w:r>
          </w:p>
        </w:tc>
        <w:tc>
          <w:tcPr>
            <w:tcW w:w="234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18"/>
                <w:szCs w:val="18"/>
                <w:lang w:val="en-US"/>
              </w:rPr>
            </w:pPr>
            <w:r>
              <w:rPr>
                <w:rFonts w:ascii="Times New Roman" w:eastAsia="Times New Roman" w:hAnsi="Times New Roman" w:cs="Times New Roman"/>
                <w:szCs w:val="24"/>
                <w:lang w:val="en-US"/>
              </w:rPr>
              <w:t> </w:t>
            </w:r>
          </w:p>
        </w:tc>
      </w:tr>
      <w:tr w:rsidR="00970B69">
        <w:trPr>
          <w:trHeight w:val="585"/>
        </w:trPr>
        <w:tc>
          <w:tcPr>
            <w:tcW w:w="63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8. </w:t>
            </w:r>
          </w:p>
        </w:tc>
        <w:tc>
          <w:tcPr>
            <w:tcW w:w="4035"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MAYWOOD MORAA </w:t>
            </w:r>
          </w:p>
        </w:tc>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20240219 </w:t>
            </w:r>
          </w:p>
        </w:tc>
        <w:tc>
          <w:tcPr>
            <w:tcW w:w="234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18"/>
                <w:szCs w:val="18"/>
                <w:lang w:val="en-US"/>
              </w:rPr>
            </w:pPr>
            <w:r>
              <w:rPr>
                <w:rFonts w:ascii="Times New Roman" w:eastAsia="Times New Roman" w:hAnsi="Times New Roman" w:cs="Times New Roman"/>
                <w:szCs w:val="24"/>
                <w:lang w:val="en-US"/>
              </w:rPr>
              <w:t> </w:t>
            </w:r>
          </w:p>
        </w:tc>
      </w:tr>
      <w:tr w:rsidR="00970B69">
        <w:trPr>
          <w:trHeight w:val="555"/>
        </w:trPr>
        <w:tc>
          <w:tcPr>
            <w:tcW w:w="63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9. </w:t>
            </w:r>
          </w:p>
        </w:tc>
        <w:tc>
          <w:tcPr>
            <w:tcW w:w="4035"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MERCY NJOROGE </w:t>
            </w:r>
          </w:p>
        </w:tc>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20241486 </w:t>
            </w:r>
          </w:p>
        </w:tc>
        <w:tc>
          <w:tcPr>
            <w:tcW w:w="234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18"/>
                <w:szCs w:val="18"/>
                <w:lang w:val="en-US"/>
              </w:rPr>
            </w:pPr>
            <w:r>
              <w:rPr>
                <w:rFonts w:ascii="Times New Roman" w:eastAsia="Times New Roman" w:hAnsi="Times New Roman" w:cs="Times New Roman"/>
                <w:szCs w:val="24"/>
                <w:lang w:val="en-US"/>
              </w:rPr>
              <w:t> </w:t>
            </w:r>
          </w:p>
        </w:tc>
      </w:tr>
      <w:tr w:rsidR="00970B69">
        <w:trPr>
          <w:trHeight w:val="555"/>
        </w:trPr>
        <w:tc>
          <w:tcPr>
            <w:tcW w:w="63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10. </w:t>
            </w:r>
          </w:p>
        </w:tc>
        <w:tc>
          <w:tcPr>
            <w:tcW w:w="4035"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NASRA HASSAN </w:t>
            </w:r>
          </w:p>
        </w:tc>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20"/>
                <w:szCs w:val="20"/>
                <w:lang w:val="en-US"/>
              </w:rPr>
            </w:pPr>
            <w:r>
              <w:rPr>
                <w:rFonts w:ascii="Times New Roman" w:eastAsia="Times New Roman" w:hAnsi="Times New Roman" w:cs="Times New Roman"/>
                <w:sz w:val="20"/>
                <w:szCs w:val="20"/>
                <w:lang w:val="en-US"/>
              </w:rPr>
              <w:t>20241362 </w:t>
            </w:r>
          </w:p>
        </w:tc>
        <w:tc>
          <w:tcPr>
            <w:tcW w:w="2340" w:type="dxa"/>
            <w:tcBorders>
              <w:top w:val="single" w:sz="6" w:space="0" w:color="auto"/>
              <w:left w:val="single" w:sz="6" w:space="0" w:color="auto"/>
              <w:bottom w:val="single" w:sz="6" w:space="0" w:color="auto"/>
              <w:right w:val="single" w:sz="6" w:space="0" w:color="auto"/>
            </w:tcBorders>
            <w:shd w:val="clear" w:color="auto" w:fill="auto"/>
            <w:hideMark/>
          </w:tcPr>
          <w:p w:rsidR="00970B69" w:rsidRDefault="00CD57D7">
            <w:pPr>
              <w:spacing w:before="0" w:beforeAutospacing="0" w:after="0" w:afterAutospacing="0" w:line="240" w:lineRule="auto"/>
              <w:textAlignment w:val="baseline"/>
              <w:rPr>
                <w:rFonts w:ascii="Segoe UI" w:eastAsia="Times New Roman" w:hAnsi="Segoe UI" w:cs="Segoe UI"/>
                <w:sz w:val="18"/>
                <w:szCs w:val="18"/>
                <w:lang w:val="en-US"/>
              </w:rPr>
            </w:pPr>
            <w:r>
              <w:rPr>
                <w:rFonts w:ascii="Times New Roman" w:eastAsia="Times New Roman" w:hAnsi="Times New Roman" w:cs="Times New Roman"/>
                <w:szCs w:val="24"/>
                <w:lang w:val="en-US"/>
              </w:rPr>
              <w:t> </w:t>
            </w:r>
          </w:p>
        </w:tc>
      </w:tr>
    </w:tbl>
    <w:p w:rsidR="00970B69" w:rsidRDefault="00970B69">
      <w:pPr>
        <w:ind w:right="-20"/>
        <w:rPr>
          <w:rFonts w:ascii="Times New Roman" w:eastAsia="Times New Roman" w:hAnsi="Times New Roman" w:cs="Times New Roman"/>
          <w:color w:val="000000"/>
          <w:sz w:val="19"/>
          <w:szCs w:val="19"/>
        </w:rPr>
      </w:pPr>
    </w:p>
    <w:p w:rsidR="00970B69" w:rsidRDefault="00970B69">
      <w:pPr>
        <w:pStyle w:val="TOC2"/>
      </w:pPr>
    </w:p>
    <w:p w:rsidR="00970B69" w:rsidRDefault="00970B69"/>
    <w:p w:rsidR="00970B69" w:rsidRDefault="00970B69"/>
    <w:p w:rsidR="00970B69" w:rsidRDefault="00970B69">
      <w:pPr>
        <w:pStyle w:val="TOCHeading"/>
        <w:spacing w:line="240" w:lineRule="auto"/>
      </w:pPr>
    </w:p>
    <w:p w:rsidR="00970B69" w:rsidRDefault="00CD57D7">
      <w:pPr>
        <w:pStyle w:val="TOCHeading"/>
        <w:spacing w:line="240" w:lineRule="auto"/>
        <w:rPr>
          <w:rFonts w:ascii="Times New Roman" w:hAnsi="Times New Roman" w:cs="Times New Roman"/>
          <w:b/>
          <w:color w:val="auto"/>
          <w:sz w:val="24"/>
          <w:szCs w:val="24"/>
        </w:rPr>
      </w:pPr>
      <w:r>
        <w:rPr>
          <w:rFonts w:ascii="Times New Roman" w:hAnsi="Times New Roman" w:cs="Times New Roman"/>
          <w:b/>
          <w:color w:val="auto"/>
          <w:sz w:val="24"/>
          <w:szCs w:val="24"/>
        </w:rPr>
        <w:t>Table of Contents</w:t>
      </w:r>
    </w:p>
    <w:p w:rsidR="00970B69" w:rsidRDefault="00CD57D7">
      <w:pPr>
        <w:pStyle w:val="TOC2"/>
        <w:rPr>
          <w:rFonts w:ascii="Calibri" w:eastAsia="SimSun" w:hAnsi="Calibri"/>
          <w:noProof/>
          <w:sz w:val="22"/>
          <w:lang w:val="en-US"/>
        </w:rPr>
      </w:pPr>
      <w:r>
        <w:rPr>
          <w:rFonts w:ascii="Times New Roman" w:hAnsi="Times New Roman" w:cs="Times New Roman"/>
          <w:sz w:val="22"/>
        </w:rPr>
        <w:fldChar w:fldCharType="begin"/>
      </w:r>
      <w:r>
        <w:rPr>
          <w:rFonts w:ascii="Times New Roman" w:hAnsi="Times New Roman" w:cs="Times New Roman"/>
          <w:sz w:val="22"/>
        </w:rPr>
        <w:instrText xml:space="preserve"> TOC \o "1-3" \h \z \u </w:instrText>
      </w:r>
      <w:r>
        <w:rPr>
          <w:rFonts w:ascii="Times New Roman" w:hAnsi="Times New Roman" w:cs="Times New Roman"/>
          <w:sz w:val="22"/>
        </w:rPr>
        <w:fldChar w:fldCharType="separate"/>
      </w:r>
      <w:hyperlink w:anchor="_Toc160996222" w:history="1">
        <w:r>
          <w:rPr>
            <w:rStyle w:val="Hyperlink"/>
            <w:rFonts w:ascii="Times New Roman" w:eastAsia="Times New Roman" w:hAnsi="Times New Roman" w:cs="Times New Roman"/>
            <w:b/>
            <w:bCs/>
            <w:noProof/>
            <w:lang w:val="en-US"/>
          </w:rPr>
          <w:t>1.0</w:t>
        </w:r>
        <w:r>
          <w:rPr>
            <w:rFonts w:ascii="Calibri" w:eastAsia="SimSun" w:hAnsi="Calibri"/>
            <w:noProof/>
            <w:sz w:val="22"/>
            <w:lang w:val="en-US"/>
          </w:rPr>
          <w:tab/>
        </w:r>
        <w:r>
          <w:rPr>
            <w:rStyle w:val="Hyperlink"/>
            <w:rFonts w:ascii="Times New Roman" w:eastAsia="Times New Roman" w:hAnsi="Times New Roman" w:cs="Times New Roman"/>
            <w:b/>
            <w:noProof/>
            <w:lang w:val="en-US"/>
          </w:rPr>
          <w:t>Introduction</w:t>
        </w:r>
        <w:r>
          <w:rPr>
            <w:noProof/>
            <w:webHidden/>
          </w:rPr>
          <w:tab/>
        </w:r>
        <w:r>
          <w:rPr>
            <w:noProof/>
            <w:webHidden/>
          </w:rPr>
          <w:fldChar w:fldCharType="begin"/>
        </w:r>
        <w:r>
          <w:rPr>
            <w:noProof/>
            <w:webHidden/>
          </w:rPr>
          <w:instrText xml:space="preserve"> PAGEREF _Toc160996222 \h </w:instrText>
        </w:r>
        <w:r>
          <w:rPr>
            <w:noProof/>
            <w:webHidden/>
          </w:rPr>
        </w:r>
        <w:r>
          <w:rPr>
            <w:noProof/>
            <w:webHidden/>
          </w:rPr>
          <w:fldChar w:fldCharType="separate"/>
        </w:r>
        <w:r>
          <w:rPr>
            <w:noProof/>
            <w:webHidden/>
          </w:rPr>
          <w:t>4</w:t>
        </w:r>
        <w:r>
          <w:rPr>
            <w:noProof/>
            <w:webHidden/>
          </w:rPr>
          <w:fldChar w:fldCharType="end"/>
        </w:r>
      </w:hyperlink>
    </w:p>
    <w:p w:rsidR="00970B69" w:rsidRDefault="007B33E0">
      <w:pPr>
        <w:pStyle w:val="TOC1"/>
        <w:rPr>
          <w:rFonts w:ascii="Calibri" w:eastAsia="SimSun" w:hAnsi="Calibri"/>
          <w:noProof/>
          <w:sz w:val="22"/>
          <w:lang w:val="en-US"/>
        </w:rPr>
      </w:pPr>
      <w:hyperlink w:anchor="_Toc160996223" w:history="1">
        <w:r w:rsidR="00CD57D7">
          <w:rPr>
            <w:rStyle w:val="Hyperlink"/>
            <w:rFonts w:ascii="Times New Roman" w:eastAsia="Times New Roman" w:hAnsi="Times New Roman" w:cs="Times New Roman"/>
            <w:b/>
            <w:bCs/>
            <w:noProof/>
          </w:rPr>
          <w:t>2.0 NATIONAL LEGAL FRAMEWORK</w:t>
        </w:r>
        <w:r w:rsidR="00CD57D7">
          <w:rPr>
            <w:noProof/>
            <w:webHidden/>
          </w:rPr>
          <w:tab/>
        </w:r>
        <w:r w:rsidR="00CD57D7">
          <w:rPr>
            <w:noProof/>
            <w:webHidden/>
          </w:rPr>
          <w:fldChar w:fldCharType="begin"/>
        </w:r>
        <w:r w:rsidR="00CD57D7">
          <w:rPr>
            <w:noProof/>
            <w:webHidden/>
          </w:rPr>
          <w:instrText xml:space="preserve"> PAGEREF _Toc160996223 \h </w:instrText>
        </w:r>
        <w:r w:rsidR="00CD57D7">
          <w:rPr>
            <w:noProof/>
            <w:webHidden/>
          </w:rPr>
        </w:r>
        <w:r w:rsidR="00CD57D7">
          <w:rPr>
            <w:noProof/>
            <w:webHidden/>
          </w:rPr>
          <w:fldChar w:fldCharType="separate"/>
        </w:r>
        <w:r w:rsidR="00CD57D7">
          <w:rPr>
            <w:noProof/>
            <w:webHidden/>
          </w:rPr>
          <w:t>5</w:t>
        </w:r>
        <w:r w:rsidR="00CD57D7">
          <w:rPr>
            <w:noProof/>
            <w:webHidden/>
          </w:rPr>
          <w:fldChar w:fldCharType="end"/>
        </w:r>
      </w:hyperlink>
    </w:p>
    <w:p w:rsidR="00970B69" w:rsidRDefault="007B33E0">
      <w:pPr>
        <w:pStyle w:val="TOC2"/>
        <w:rPr>
          <w:rFonts w:ascii="Calibri" w:eastAsia="SimSun" w:hAnsi="Calibri"/>
          <w:noProof/>
          <w:sz w:val="22"/>
          <w:lang w:val="en-US"/>
        </w:rPr>
      </w:pPr>
      <w:hyperlink w:anchor="_Toc160996224" w:history="1">
        <w:r w:rsidR="00CD57D7">
          <w:rPr>
            <w:rStyle w:val="Hyperlink"/>
            <w:rFonts w:ascii="Times New Roman" w:eastAsia="Times New Roman" w:hAnsi="Times New Roman" w:cs="Times New Roman"/>
            <w:b/>
            <w:bCs/>
            <w:noProof/>
          </w:rPr>
          <w:t>2.1 Constitution of Kenya 2010</w:t>
        </w:r>
        <w:r w:rsidR="00CD57D7">
          <w:rPr>
            <w:noProof/>
            <w:webHidden/>
          </w:rPr>
          <w:tab/>
        </w:r>
        <w:r w:rsidR="00CD57D7">
          <w:rPr>
            <w:noProof/>
            <w:webHidden/>
          </w:rPr>
          <w:fldChar w:fldCharType="begin"/>
        </w:r>
        <w:r w:rsidR="00CD57D7">
          <w:rPr>
            <w:noProof/>
            <w:webHidden/>
          </w:rPr>
          <w:instrText xml:space="preserve"> PAGEREF _Toc160996224 \h </w:instrText>
        </w:r>
        <w:r w:rsidR="00CD57D7">
          <w:rPr>
            <w:noProof/>
            <w:webHidden/>
          </w:rPr>
        </w:r>
        <w:r w:rsidR="00CD57D7">
          <w:rPr>
            <w:noProof/>
            <w:webHidden/>
          </w:rPr>
          <w:fldChar w:fldCharType="separate"/>
        </w:r>
        <w:r w:rsidR="00CD57D7">
          <w:rPr>
            <w:noProof/>
            <w:webHidden/>
          </w:rPr>
          <w:t>5</w:t>
        </w:r>
        <w:r w:rsidR="00CD57D7">
          <w:rPr>
            <w:noProof/>
            <w:webHidden/>
          </w:rPr>
          <w:fldChar w:fldCharType="end"/>
        </w:r>
      </w:hyperlink>
    </w:p>
    <w:p w:rsidR="00970B69" w:rsidRDefault="007B33E0">
      <w:pPr>
        <w:pStyle w:val="TOC2"/>
        <w:rPr>
          <w:rFonts w:ascii="Calibri" w:eastAsia="SimSun" w:hAnsi="Calibri"/>
          <w:noProof/>
          <w:sz w:val="22"/>
          <w:lang w:val="en-US"/>
        </w:rPr>
      </w:pPr>
      <w:hyperlink w:anchor="_Toc160996225" w:history="1">
        <w:r w:rsidR="00CD57D7">
          <w:rPr>
            <w:rStyle w:val="Hyperlink"/>
            <w:rFonts w:ascii="Times New Roman" w:eastAsia="Times New Roman" w:hAnsi="Times New Roman" w:cs="Times New Roman"/>
            <w:b/>
            <w:bCs/>
            <w:noProof/>
          </w:rPr>
          <w:t>2.2 Kenya Information and Communication (Amendment) Act</w:t>
        </w:r>
        <w:r w:rsidR="00CD57D7">
          <w:rPr>
            <w:rStyle w:val="Hyperlink"/>
            <w:rFonts w:ascii="Times New Roman" w:eastAsia="Times New Roman" w:hAnsi="Times New Roman" w:cs="Times New Roman"/>
            <w:b/>
            <w:bCs/>
            <w:noProof/>
            <w:lang w:val="en-US"/>
          </w:rPr>
          <w:t xml:space="preserve"> 2013</w:t>
        </w:r>
        <w:r w:rsidR="00CD57D7">
          <w:rPr>
            <w:noProof/>
            <w:webHidden/>
          </w:rPr>
          <w:tab/>
        </w:r>
        <w:r w:rsidR="00CD57D7">
          <w:rPr>
            <w:noProof/>
            <w:webHidden/>
          </w:rPr>
          <w:fldChar w:fldCharType="begin"/>
        </w:r>
        <w:r w:rsidR="00CD57D7">
          <w:rPr>
            <w:noProof/>
            <w:webHidden/>
          </w:rPr>
          <w:instrText xml:space="preserve"> PAGEREF _Toc160996225 \h </w:instrText>
        </w:r>
        <w:r w:rsidR="00CD57D7">
          <w:rPr>
            <w:noProof/>
            <w:webHidden/>
          </w:rPr>
        </w:r>
        <w:r w:rsidR="00CD57D7">
          <w:rPr>
            <w:noProof/>
            <w:webHidden/>
          </w:rPr>
          <w:fldChar w:fldCharType="separate"/>
        </w:r>
        <w:r w:rsidR="00CD57D7">
          <w:rPr>
            <w:noProof/>
            <w:webHidden/>
          </w:rPr>
          <w:t>6</w:t>
        </w:r>
        <w:r w:rsidR="00CD57D7">
          <w:rPr>
            <w:noProof/>
            <w:webHidden/>
          </w:rPr>
          <w:fldChar w:fldCharType="end"/>
        </w:r>
      </w:hyperlink>
    </w:p>
    <w:p w:rsidR="00970B69" w:rsidRDefault="007B33E0">
      <w:pPr>
        <w:pStyle w:val="TOC2"/>
        <w:rPr>
          <w:rFonts w:ascii="Calibri" w:eastAsia="SimSun" w:hAnsi="Calibri"/>
          <w:noProof/>
          <w:sz w:val="22"/>
          <w:lang w:val="en-US"/>
        </w:rPr>
      </w:pPr>
      <w:hyperlink w:anchor="_Toc160996226" w:history="1">
        <w:r w:rsidR="00CD57D7">
          <w:rPr>
            <w:rStyle w:val="Hyperlink"/>
            <w:rFonts w:ascii="Times New Roman" w:eastAsia="Times New Roman" w:hAnsi="Times New Roman" w:cs="Times New Roman"/>
            <w:b/>
            <w:bCs/>
            <w:noProof/>
          </w:rPr>
          <w:t>2.5 Computer Misuse and Cyber Crimes Act No.5 of 2018</w:t>
        </w:r>
        <w:r w:rsidR="00CD57D7">
          <w:rPr>
            <w:noProof/>
            <w:webHidden/>
          </w:rPr>
          <w:tab/>
        </w:r>
        <w:r w:rsidR="00CD57D7">
          <w:rPr>
            <w:noProof/>
            <w:webHidden/>
          </w:rPr>
          <w:fldChar w:fldCharType="begin"/>
        </w:r>
        <w:r w:rsidR="00CD57D7">
          <w:rPr>
            <w:noProof/>
            <w:webHidden/>
          </w:rPr>
          <w:instrText xml:space="preserve"> PAGEREF _Toc160996226 \h </w:instrText>
        </w:r>
        <w:r w:rsidR="00CD57D7">
          <w:rPr>
            <w:noProof/>
            <w:webHidden/>
          </w:rPr>
        </w:r>
        <w:r w:rsidR="00CD57D7">
          <w:rPr>
            <w:noProof/>
            <w:webHidden/>
          </w:rPr>
          <w:fldChar w:fldCharType="separate"/>
        </w:r>
        <w:r w:rsidR="00CD57D7">
          <w:rPr>
            <w:noProof/>
            <w:webHidden/>
          </w:rPr>
          <w:t>11</w:t>
        </w:r>
        <w:r w:rsidR="00CD57D7">
          <w:rPr>
            <w:noProof/>
            <w:webHidden/>
          </w:rPr>
          <w:fldChar w:fldCharType="end"/>
        </w:r>
      </w:hyperlink>
    </w:p>
    <w:p w:rsidR="00970B69" w:rsidRDefault="007B33E0">
      <w:pPr>
        <w:pStyle w:val="TOC2"/>
        <w:rPr>
          <w:rFonts w:ascii="Calibri" w:eastAsia="SimSun" w:hAnsi="Calibri"/>
          <w:noProof/>
          <w:sz w:val="22"/>
          <w:lang w:val="en-US"/>
        </w:rPr>
      </w:pPr>
      <w:hyperlink w:anchor="_Toc160996227" w:history="1">
        <w:r w:rsidR="00CD57D7">
          <w:rPr>
            <w:rStyle w:val="Hyperlink"/>
            <w:rFonts w:ascii="Times New Roman" w:eastAsia="Times New Roman" w:hAnsi="Times New Roman" w:cs="Times New Roman"/>
            <w:b/>
            <w:bCs/>
            <w:noProof/>
          </w:rPr>
          <w:t>2.6 Science, Technology, and Innovation Act</w:t>
        </w:r>
        <w:r w:rsidR="00CD57D7">
          <w:rPr>
            <w:rStyle w:val="Hyperlink"/>
            <w:rFonts w:ascii="Times New Roman" w:eastAsia="Times New Roman" w:hAnsi="Times New Roman" w:cs="Times New Roman"/>
            <w:b/>
            <w:bCs/>
            <w:noProof/>
            <w:lang w:val="en-US"/>
          </w:rPr>
          <w:t xml:space="preserve"> 2013</w:t>
        </w:r>
        <w:r w:rsidR="00CD57D7">
          <w:rPr>
            <w:noProof/>
            <w:webHidden/>
          </w:rPr>
          <w:tab/>
        </w:r>
        <w:r w:rsidR="00CD57D7">
          <w:rPr>
            <w:noProof/>
            <w:webHidden/>
          </w:rPr>
          <w:fldChar w:fldCharType="begin"/>
        </w:r>
        <w:r w:rsidR="00CD57D7">
          <w:rPr>
            <w:noProof/>
            <w:webHidden/>
          </w:rPr>
          <w:instrText xml:space="preserve"> PAGEREF _Toc160996227 \h </w:instrText>
        </w:r>
        <w:r w:rsidR="00CD57D7">
          <w:rPr>
            <w:noProof/>
            <w:webHidden/>
          </w:rPr>
        </w:r>
        <w:r w:rsidR="00CD57D7">
          <w:rPr>
            <w:noProof/>
            <w:webHidden/>
          </w:rPr>
          <w:fldChar w:fldCharType="separate"/>
        </w:r>
        <w:r w:rsidR="00CD57D7">
          <w:rPr>
            <w:noProof/>
            <w:webHidden/>
          </w:rPr>
          <w:t>12</w:t>
        </w:r>
        <w:r w:rsidR="00CD57D7">
          <w:rPr>
            <w:noProof/>
            <w:webHidden/>
          </w:rPr>
          <w:fldChar w:fldCharType="end"/>
        </w:r>
      </w:hyperlink>
    </w:p>
    <w:p w:rsidR="00970B69" w:rsidRDefault="007B33E0">
      <w:pPr>
        <w:pStyle w:val="TOC2"/>
        <w:rPr>
          <w:rFonts w:ascii="Calibri" w:eastAsia="SimSun" w:hAnsi="Calibri"/>
          <w:noProof/>
          <w:sz w:val="22"/>
          <w:lang w:val="en-US"/>
        </w:rPr>
      </w:pPr>
      <w:hyperlink w:anchor="_Toc160996228" w:history="1">
        <w:r w:rsidR="00CD57D7">
          <w:rPr>
            <w:rStyle w:val="Hyperlink"/>
            <w:rFonts w:ascii="Times New Roman" w:eastAsia="Times New Roman" w:hAnsi="Times New Roman" w:cs="Times New Roman"/>
            <w:b/>
            <w:bCs/>
            <w:noProof/>
          </w:rPr>
          <w:t>2.7 The Competition Act</w:t>
        </w:r>
        <w:r w:rsidR="00CD57D7">
          <w:rPr>
            <w:noProof/>
            <w:webHidden/>
          </w:rPr>
          <w:tab/>
        </w:r>
        <w:r w:rsidR="00CD57D7">
          <w:rPr>
            <w:noProof/>
            <w:webHidden/>
          </w:rPr>
          <w:fldChar w:fldCharType="begin"/>
        </w:r>
        <w:r w:rsidR="00CD57D7">
          <w:rPr>
            <w:noProof/>
            <w:webHidden/>
          </w:rPr>
          <w:instrText xml:space="preserve"> PAGEREF _Toc160996228 \h </w:instrText>
        </w:r>
        <w:r w:rsidR="00CD57D7">
          <w:rPr>
            <w:noProof/>
            <w:webHidden/>
          </w:rPr>
        </w:r>
        <w:r w:rsidR="00CD57D7">
          <w:rPr>
            <w:noProof/>
            <w:webHidden/>
          </w:rPr>
          <w:fldChar w:fldCharType="separate"/>
        </w:r>
        <w:r w:rsidR="00CD57D7">
          <w:rPr>
            <w:noProof/>
            <w:webHidden/>
          </w:rPr>
          <w:t>13</w:t>
        </w:r>
        <w:r w:rsidR="00CD57D7">
          <w:rPr>
            <w:noProof/>
            <w:webHidden/>
          </w:rPr>
          <w:fldChar w:fldCharType="end"/>
        </w:r>
      </w:hyperlink>
    </w:p>
    <w:p w:rsidR="00970B69" w:rsidRDefault="007B33E0">
      <w:pPr>
        <w:pStyle w:val="TOC2"/>
        <w:rPr>
          <w:rFonts w:ascii="Calibri" w:eastAsia="SimSun" w:hAnsi="Calibri"/>
          <w:noProof/>
          <w:sz w:val="22"/>
          <w:lang w:val="en-US"/>
        </w:rPr>
      </w:pPr>
      <w:hyperlink w:anchor="_Toc160996229" w:history="1">
        <w:r w:rsidR="00CD57D7">
          <w:rPr>
            <w:rStyle w:val="Hyperlink"/>
            <w:rFonts w:ascii="Times New Roman" w:eastAsia="Times New Roman" w:hAnsi="Times New Roman" w:cs="Times New Roman"/>
            <w:b/>
            <w:bCs/>
            <w:noProof/>
          </w:rPr>
          <w:t>2.8 Evidence Act Cap 80</w:t>
        </w:r>
        <w:r w:rsidR="00CD57D7">
          <w:rPr>
            <w:noProof/>
            <w:webHidden/>
          </w:rPr>
          <w:tab/>
        </w:r>
        <w:r w:rsidR="00CD57D7">
          <w:rPr>
            <w:noProof/>
            <w:webHidden/>
          </w:rPr>
          <w:fldChar w:fldCharType="begin"/>
        </w:r>
        <w:r w:rsidR="00CD57D7">
          <w:rPr>
            <w:noProof/>
            <w:webHidden/>
          </w:rPr>
          <w:instrText xml:space="preserve"> PAGEREF _Toc160996229 \h </w:instrText>
        </w:r>
        <w:r w:rsidR="00CD57D7">
          <w:rPr>
            <w:noProof/>
            <w:webHidden/>
          </w:rPr>
        </w:r>
        <w:r w:rsidR="00CD57D7">
          <w:rPr>
            <w:noProof/>
            <w:webHidden/>
          </w:rPr>
          <w:fldChar w:fldCharType="separate"/>
        </w:r>
        <w:r w:rsidR="00CD57D7">
          <w:rPr>
            <w:noProof/>
            <w:webHidden/>
          </w:rPr>
          <w:t>14</w:t>
        </w:r>
        <w:r w:rsidR="00CD57D7">
          <w:rPr>
            <w:noProof/>
            <w:webHidden/>
          </w:rPr>
          <w:fldChar w:fldCharType="end"/>
        </w:r>
      </w:hyperlink>
    </w:p>
    <w:p w:rsidR="00970B69" w:rsidRDefault="007B33E0">
      <w:pPr>
        <w:pStyle w:val="TOC2"/>
        <w:rPr>
          <w:rFonts w:ascii="Calibri" w:eastAsia="SimSun" w:hAnsi="Calibri"/>
          <w:noProof/>
          <w:sz w:val="22"/>
          <w:lang w:val="en-US"/>
        </w:rPr>
      </w:pPr>
      <w:hyperlink w:anchor="_Toc160996230" w:history="1">
        <w:r w:rsidR="00CD57D7">
          <w:rPr>
            <w:rStyle w:val="Hyperlink"/>
            <w:rFonts w:ascii="Times New Roman" w:eastAsia="Times New Roman" w:hAnsi="Times New Roman" w:cs="Times New Roman"/>
            <w:b/>
            <w:bCs/>
            <w:noProof/>
          </w:rPr>
          <w:t>2.10 Media Council Act</w:t>
        </w:r>
        <w:r w:rsidR="00CD57D7">
          <w:rPr>
            <w:noProof/>
            <w:webHidden/>
          </w:rPr>
          <w:tab/>
        </w:r>
        <w:r w:rsidR="00CD57D7">
          <w:rPr>
            <w:noProof/>
            <w:webHidden/>
          </w:rPr>
          <w:fldChar w:fldCharType="begin"/>
        </w:r>
        <w:r w:rsidR="00CD57D7">
          <w:rPr>
            <w:noProof/>
            <w:webHidden/>
          </w:rPr>
          <w:instrText xml:space="preserve"> PAGEREF _Toc160996230 \h </w:instrText>
        </w:r>
        <w:r w:rsidR="00CD57D7">
          <w:rPr>
            <w:noProof/>
            <w:webHidden/>
          </w:rPr>
        </w:r>
        <w:r w:rsidR="00CD57D7">
          <w:rPr>
            <w:noProof/>
            <w:webHidden/>
          </w:rPr>
          <w:fldChar w:fldCharType="separate"/>
        </w:r>
        <w:r w:rsidR="00CD57D7">
          <w:rPr>
            <w:noProof/>
            <w:webHidden/>
          </w:rPr>
          <w:t>16</w:t>
        </w:r>
        <w:r w:rsidR="00CD57D7">
          <w:rPr>
            <w:noProof/>
            <w:webHidden/>
          </w:rPr>
          <w:fldChar w:fldCharType="end"/>
        </w:r>
      </w:hyperlink>
    </w:p>
    <w:p w:rsidR="00970B69" w:rsidRDefault="007B33E0">
      <w:pPr>
        <w:pStyle w:val="TOC2"/>
        <w:rPr>
          <w:rFonts w:ascii="Calibri" w:eastAsia="SimSun" w:hAnsi="Calibri"/>
          <w:noProof/>
          <w:sz w:val="22"/>
          <w:lang w:val="en-US"/>
        </w:rPr>
      </w:pPr>
      <w:hyperlink w:anchor="_Toc160996231" w:history="1">
        <w:r w:rsidR="00CD57D7">
          <w:rPr>
            <w:rStyle w:val="Hyperlink"/>
            <w:rFonts w:ascii="Times New Roman" w:eastAsia="Times New Roman" w:hAnsi="Times New Roman" w:cs="Times New Roman"/>
            <w:b/>
            <w:bCs/>
            <w:noProof/>
          </w:rPr>
          <w:t>2.11 Access to Information Act No.31 of 2016</w:t>
        </w:r>
        <w:r w:rsidR="00CD57D7">
          <w:rPr>
            <w:noProof/>
            <w:webHidden/>
          </w:rPr>
          <w:tab/>
        </w:r>
        <w:r w:rsidR="00CD57D7">
          <w:rPr>
            <w:noProof/>
            <w:webHidden/>
          </w:rPr>
          <w:fldChar w:fldCharType="begin"/>
        </w:r>
        <w:r w:rsidR="00CD57D7">
          <w:rPr>
            <w:noProof/>
            <w:webHidden/>
          </w:rPr>
          <w:instrText xml:space="preserve"> PAGEREF _Toc160996231 \h </w:instrText>
        </w:r>
        <w:r w:rsidR="00CD57D7">
          <w:rPr>
            <w:noProof/>
            <w:webHidden/>
          </w:rPr>
        </w:r>
        <w:r w:rsidR="00CD57D7">
          <w:rPr>
            <w:noProof/>
            <w:webHidden/>
          </w:rPr>
          <w:fldChar w:fldCharType="separate"/>
        </w:r>
        <w:r w:rsidR="00CD57D7">
          <w:rPr>
            <w:noProof/>
            <w:webHidden/>
          </w:rPr>
          <w:t>17</w:t>
        </w:r>
        <w:r w:rsidR="00CD57D7">
          <w:rPr>
            <w:noProof/>
            <w:webHidden/>
          </w:rPr>
          <w:fldChar w:fldCharType="end"/>
        </w:r>
      </w:hyperlink>
    </w:p>
    <w:p w:rsidR="00970B69" w:rsidRDefault="007B33E0">
      <w:pPr>
        <w:pStyle w:val="TOC2"/>
        <w:rPr>
          <w:rFonts w:ascii="Calibri" w:eastAsia="SimSun" w:hAnsi="Calibri"/>
          <w:noProof/>
          <w:sz w:val="22"/>
          <w:lang w:val="en-US"/>
        </w:rPr>
      </w:pPr>
      <w:hyperlink w:anchor="_Toc160996232" w:history="1">
        <w:r w:rsidR="00CD57D7">
          <w:rPr>
            <w:rStyle w:val="Hyperlink"/>
            <w:rFonts w:ascii="Times New Roman" w:eastAsia="Times New Roman" w:hAnsi="Times New Roman" w:cs="Times New Roman"/>
            <w:b/>
            <w:noProof/>
          </w:rPr>
          <w:t>2.12 Other Institutions that govern ICT in Kenya</w:t>
        </w:r>
        <w:r w:rsidR="00CD57D7">
          <w:rPr>
            <w:noProof/>
            <w:webHidden/>
          </w:rPr>
          <w:tab/>
        </w:r>
        <w:r w:rsidR="00CD57D7">
          <w:rPr>
            <w:noProof/>
            <w:webHidden/>
          </w:rPr>
          <w:fldChar w:fldCharType="begin"/>
        </w:r>
        <w:r w:rsidR="00CD57D7">
          <w:rPr>
            <w:noProof/>
            <w:webHidden/>
          </w:rPr>
          <w:instrText xml:space="preserve"> PAGEREF _Toc160996232 \h </w:instrText>
        </w:r>
        <w:r w:rsidR="00CD57D7">
          <w:rPr>
            <w:noProof/>
            <w:webHidden/>
          </w:rPr>
        </w:r>
        <w:r w:rsidR="00CD57D7">
          <w:rPr>
            <w:noProof/>
            <w:webHidden/>
          </w:rPr>
          <w:fldChar w:fldCharType="separate"/>
        </w:r>
        <w:r w:rsidR="00CD57D7">
          <w:rPr>
            <w:noProof/>
            <w:webHidden/>
          </w:rPr>
          <w:t>18</w:t>
        </w:r>
        <w:r w:rsidR="00CD57D7">
          <w:rPr>
            <w:noProof/>
            <w:webHidden/>
          </w:rPr>
          <w:fldChar w:fldCharType="end"/>
        </w:r>
      </w:hyperlink>
    </w:p>
    <w:p w:rsidR="00970B69" w:rsidRDefault="007B33E0">
      <w:pPr>
        <w:pStyle w:val="TOC2"/>
        <w:rPr>
          <w:rFonts w:ascii="Calibri" w:eastAsia="SimSun" w:hAnsi="Calibri"/>
          <w:noProof/>
          <w:sz w:val="22"/>
          <w:lang w:val="en-US"/>
        </w:rPr>
      </w:pPr>
      <w:hyperlink w:anchor="_Toc160996233" w:history="1">
        <w:r w:rsidR="00CD57D7">
          <w:rPr>
            <w:rStyle w:val="Hyperlink"/>
            <w:rFonts w:ascii="Times New Roman" w:hAnsi="Times New Roman" w:cs="Times New Roman"/>
            <w:b/>
            <w:noProof/>
          </w:rPr>
          <w:t>2.12.1Ministry of Information Communication and Technology (MoICT)</w:t>
        </w:r>
        <w:r w:rsidR="00CD57D7">
          <w:rPr>
            <w:noProof/>
            <w:webHidden/>
          </w:rPr>
          <w:tab/>
        </w:r>
        <w:r w:rsidR="00CD57D7">
          <w:rPr>
            <w:noProof/>
            <w:webHidden/>
          </w:rPr>
          <w:fldChar w:fldCharType="begin"/>
        </w:r>
        <w:r w:rsidR="00CD57D7">
          <w:rPr>
            <w:noProof/>
            <w:webHidden/>
          </w:rPr>
          <w:instrText xml:space="preserve"> PAGEREF _Toc160996233 \h </w:instrText>
        </w:r>
        <w:r w:rsidR="00CD57D7">
          <w:rPr>
            <w:noProof/>
            <w:webHidden/>
          </w:rPr>
        </w:r>
        <w:r w:rsidR="00CD57D7">
          <w:rPr>
            <w:noProof/>
            <w:webHidden/>
          </w:rPr>
          <w:fldChar w:fldCharType="separate"/>
        </w:r>
        <w:r w:rsidR="00CD57D7">
          <w:rPr>
            <w:noProof/>
            <w:webHidden/>
          </w:rPr>
          <w:t>18</w:t>
        </w:r>
        <w:r w:rsidR="00CD57D7">
          <w:rPr>
            <w:noProof/>
            <w:webHidden/>
          </w:rPr>
          <w:fldChar w:fldCharType="end"/>
        </w:r>
      </w:hyperlink>
    </w:p>
    <w:p w:rsidR="00970B69" w:rsidRDefault="007B33E0">
      <w:pPr>
        <w:pStyle w:val="TOC3"/>
        <w:tabs>
          <w:tab w:val="left" w:pos="1540"/>
        </w:tabs>
        <w:rPr>
          <w:rFonts w:ascii="Calibri" w:eastAsia="SimSun" w:hAnsi="Calibri"/>
          <w:noProof/>
          <w:sz w:val="22"/>
          <w:lang w:val="en-US"/>
        </w:rPr>
      </w:pPr>
      <w:hyperlink w:anchor="_Toc160996234" w:history="1">
        <w:r w:rsidR="00CD57D7">
          <w:rPr>
            <w:rStyle w:val="Hyperlink"/>
            <w:rFonts w:ascii="Times New Roman" w:hAnsi="Times New Roman" w:cs="Times New Roman"/>
            <w:b/>
            <w:noProof/>
          </w:rPr>
          <w:t xml:space="preserve">2.12.2 </w:t>
        </w:r>
        <w:r w:rsidR="00CD57D7">
          <w:rPr>
            <w:rFonts w:ascii="Calibri" w:eastAsia="SimSun" w:hAnsi="Calibri"/>
            <w:noProof/>
            <w:sz w:val="22"/>
            <w:lang w:val="en-US"/>
          </w:rPr>
          <w:tab/>
        </w:r>
        <w:r w:rsidR="00CD57D7">
          <w:rPr>
            <w:rStyle w:val="Hyperlink"/>
            <w:rFonts w:ascii="Times New Roman" w:hAnsi="Times New Roman" w:cs="Times New Roman"/>
            <w:b/>
            <w:noProof/>
          </w:rPr>
          <w:t>Information and communications Technology Authority (ICTA)</w:t>
        </w:r>
        <w:r w:rsidR="00CD57D7">
          <w:rPr>
            <w:noProof/>
            <w:webHidden/>
          </w:rPr>
          <w:tab/>
        </w:r>
        <w:r w:rsidR="00CD57D7">
          <w:rPr>
            <w:noProof/>
            <w:webHidden/>
          </w:rPr>
          <w:fldChar w:fldCharType="begin"/>
        </w:r>
        <w:r w:rsidR="00CD57D7">
          <w:rPr>
            <w:noProof/>
            <w:webHidden/>
          </w:rPr>
          <w:instrText xml:space="preserve"> PAGEREF _Toc160996234 \h </w:instrText>
        </w:r>
        <w:r w:rsidR="00CD57D7">
          <w:rPr>
            <w:noProof/>
            <w:webHidden/>
          </w:rPr>
        </w:r>
        <w:r w:rsidR="00CD57D7">
          <w:rPr>
            <w:noProof/>
            <w:webHidden/>
          </w:rPr>
          <w:fldChar w:fldCharType="separate"/>
        </w:r>
        <w:r w:rsidR="00CD57D7">
          <w:rPr>
            <w:noProof/>
            <w:webHidden/>
          </w:rPr>
          <w:t>18</w:t>
        </w:r>
        <w:r w:rsidR="00CD57D7">
          <w:rPr>
            <w:noProof/>
            <w:webHidden/>
          </w:rPr>
          <w:fldChar w:fldCharType="end"/>
        </w:r>
      </w:hyperlink>
    </w:p>
    <w:p w:rsidR="00970B69" w:rsidRDefault="007B33E0">
      <w:pPr>
        <w:pStyle w:val="TOC2"/>
        <w:rPr>
          <w:rFonts w:ascii="Calibri" w:eastAsia="SimSun" w:hAnsi="Calibri"/>
          <w:noProof/>
          <w:sz w:val="22"/>
          <w:lang w:val="en-US"/>
        </w:rPr>
      </w:pPr>
      <w:hyperlink w:anchor="_Toc160996235" w:history="1">
        <w:r w:rsidR="00CD57D7">
          <w:rPr>
            <w:rStyle w:val="Hyperlink"/>
            <w:rFonts w:ascii="Times New Roman" w:hAnsi="Times New Roman" w:cs="Times New Roman"/>
            <w:b/>
            <w:noProof/>
          </w:rPr>
          <w:t>2.12.3 Information Communication Technology (ICT) Committee</w:t>
        </w:r>
        <w:r w:rsidR="00CD57D7">
          <w:rPr>
            <w:noProof/>
            <w:webHidden/>
          </w:rPr>
          <w:tab/>
        </w:r>
        <w:r w:rsidR="00CD57D7">
          <w:rPr>
            <w:noProof/>
            <w:webHidden/>
          </w:rPr>
          <w:fldChar w:fldCharType="begin"/>
        </w:r>
        <w:r w:rsidR="00CD57D7">
          <w:rPr>
            <w:noProof/>
            <w:webHidden/>
          </w:rPr>
          <w:instrText xml:space="preserve"> PAGEREF _Toc160996235 \h </w:instrText>
        </w:r>
        <w:r w:rsidR="00CD57D7">
          <w:rPr>
            <w:noProof/>
            <w:webHidden/>
          </w:rPr>
        </w:r>
        <w:r w:rsidR="00CD57D7">
          <w:rPr>
            <w:noProof/>
            <w:webHidden/>
          </w:rPr>
          <w:fldChar w:fldCharType="separate"/>
        </w:r>
        <w:r w:rsidR="00CD57D7">
          <w:rPr>
            <w:noProof/>
            <w:webHidden/>
          </w:rPr>
          <w:t>18</w:t>
        </w:r>
        <w:r w:rsidR="00CD57D7">
          <w:rPr>
            <w:noProof/>
            <w:webHidden/>
          </w:rPr>
          <w:fldChar w:fldCharType="end"/>
        </w:r>
      </w:hyperlink>
    </w:p>
    <w:p w:rsidR="00970B69" w:rsidRDefault="007B33E0">
      <w:pPr>
        <w:pStyle w:val="TOC3"/>
        <w:rPr>
          <w:rFonts w:ascii="Calibri" w:eastAsia="SimSun" w:hAnsi="Calibri"/>
          <w:noProof/>
          <w:sz w:val="22"/>
          <w:lang w:val="en-US"/>
        </w:rPr>
      </w:pPr>
      <w:hyperlink w:anchor="_Toc160996236" w:history="1">
        <w:r w:rsidR="00CD57D7">
          <w:rPr>
            <w:rStyle w:val="Hyperlink"/>
            <w:rFonts w:ascii="Times New Roman" w:hAnsi="Times New Roman" w:cs="Times New Roman"/>
            <w:b/>
            <w:noProof/>
          </w:rPr>
          <w:t>2.12.4 National Commission for Science Technology and Innovation (NACOSTI)</w:t>
        </w:r>
        <w:r w:rsidR="00CD57D7">
          <w:rPr>
            <w:noProof/>
            <w:webHidden/>
          </w:rPr>
          <w:tab/>
        </w:r>
        <w:r w:rsidR="00CD57D7">
          <w:rPr>
            <w:noProof/>
            <w:webHidden/>
          </w:rPr>
          <w:fldChar w:fldCharType="begin"/>
        </w:r>
        <w:r w:rsidR="00CD57D7">
          <w:rPr>
            <w:noProof/>
            <w:webHidden/>
          </w:rPr>
          <w:instrText xml:space="preserve"> PAGEREF _Toc160996236 \h </w:instrText>
        </w:r>
        <w:r w:rsidR="00CD57D7">
          <w:rPr>
            <w:noProof/>
            <w:webHidden/>
          </w:rPr>
        </w:r>
        <w:r w:rsidR="00CD57D7">
          <w:rPr>
            <w:noProof/>
            <w:webHidden/>
          </w:rPr>
          <w:fldChar w:fldCharType="separate"/>
        </w:r>
        <w:r w:rsidR="00CD57D7">
          <w:rPr>
            <w:noProof/>
            <w:webHidden/>
          </w:rPr>
          <w:t>19</w:t>
        </w:r>
        <w:r w:rsidR="00CD57D7">
          <w:rPr>
            <w:noProof/>
            <w:webHidden/>
          </w:rPr>
          <w:fldChar w:fldCharType="end"/>
        </w:r>
      </w:hyperlink>
    </w:p>
    <w:p w:rsidR="00970B69" w:rsidRDefault="007B33E0">
      <w:pPr>
        <w:pStyle w:val="TOC2"/>
        <w:rPr>
          <w:rFonts w:ascii="Calibri" w:eastAsia="SimSun" w:hAnsi="Calibri"/>
          <w:noProof/>
          <w:sz w:val="22"/>
          <w:lang w:val="en-US"/>
        </w:rPr>
      </w:pPr>
      <w:hyperlink w:anchor="_Toc160996237" w:history="1">
        <w:r w:rsidR="00CD57D7">
          <w:rPr>
            <w:rStyle w:val="Hyperlink"/>
            <w:rFonts w:ascii="Times New Roman" w:hAnsi="Times New Roman" w:cs="Times New Roman"/>
            <w:b/>
            <w:noProof/>
          </w:rPr>
          <w:t>2.13 Policy Framework on ICT in Kenya</w:t>
        </w:r>
        <w:r w:rsidR="00CD57D7">
          <w:rPr>
            <w:noProof/>
            <w:webHidden/>
          </w:rPr>
          <w:tab/>
        </w:r>
        <w:r w:rsidR="00CD57D7">
          <w:rPr>
            <w:noProof/>
            <w:webHidden/>
          </w:rPr>
          <w:fldChar w:fldCharType="begin"/>
        </w:r>
        <w:r w:rsidR="00CD57D7">
          <w:rPr>
            <w:noProof/>
            <w:webHidden/>
          </w:rPr>
          <w:instrText xml:space="preserve"> PAGEREF _Toc160996237 \h </w:instrText>
        </w:r>
        <w:r w:rsidR="00CD57D7">
          <w:rPr>
            <w:noProof/>
            <w:webHidden/>
          </w:rPr>
        </w:r>
        <w:r w:rsidR="00CD57D7">
          <w:rPr>
            <w:noProof/>
            <w:webHidden/>
          </w:rPr>
          <w:fldChar w:fldCharType="separate"/>
        </w:r>
        <w:r w:rsidR="00CD57D7">
          <w:rPr>
            <w:noProof/>
            <w:webHidden/>
          </w:rPr>
          <w:t>19</w:t>
        </w:r>
        <w:r w:rsidR="00CD57D7">
          <w:rPr>
            <w:noProof/>
            <w:webHidden/>
          </w:rPr>
          <w:fldChar w:fldCharType="end"/>
        </w:r>
      </w:hyperlink>
    </w:p>
    <w:p w:rsidR="00970B69" w:rsidRDefault="007B33E0">
      <w:pPr>
        <w:pStyle w:val="TOC2"/>
        <w:rPr>
          <w:rFonts w:ascii="Calibri" w:eastAsia="SimSun" w:hAnsi="Calibri"/>
          <w:noProof/>
          <w:sz w:val="22"/>
          <w:lang w:val="en-US"/>
        </w:rPr>
      </w:pPr>
      <w:hyperlink w:anchor="_Toc160996238" w:history="1">
        <w:r w:rsidR="00CD57D7">
          <w:rPr>
            <w:rStyle w:val="Hyperlink"/>
            <w:rFonts w:ascii="Times New Roman" w:hAnsi="Times New Roman" w:cs="Times New Roman"/>
            <w:b/>
            <w:noProof/>
          </w:rPr>
          <w:t>2.13.1National Information, Communications and Technology (ICT) Policy, 2019</w:t>
        </w:r>
        <w:r w:rsidR="00CD57D7">
          <w:rPr>
            <w:noProof/>
            <w:webHidden/>
          </w:rPr>
          <w:tab/>
        </w:r>
        <w:r w:rsidR="00CD57D7">
          <w:rPr>
            <w:noProof/>
            <w:webHidden/>
          </w:rPr>
          <w:fldChar w:fldCharType="begin"/>
        </w:r>
        <w:r w:rsidR="00CD57D7">
          <w:rPr>
            <w:noProof/>
            <w:webHidden/>
          </w:rPr>
          <w:instrText xml:space="preserve"> PAGEREF _Toc160996238 \h </w:instrText>
        </w:r>
        <w:r w:rsidR="00CD57D7">
          <w:rPr>
            <w:noProof/>
            <w:webHidden/>
          </w:rPr>
        </w:r>
        <w:r w:rsidR="00CD57D7">
          <w:rPr>
            <w:noProof/>
            <w:webHidden/>
          </w:rPr>
          <w:fldChar w:fldCharType="separate"/>
        </w:r>
        <w:r w:rsidR="00CD57D7">
          <w:rPr>
            <w:noProof/>
            <w:webHidden/>
          </w:rPr>
          <w:t>19</w:t>
        </w:r>
        <w:r w:rsidR="00CD57D7">
          <w:rPr>
            <w:noProof/>
            <w:webHidden/>
          </w:rPr>
          <w:fldChar w:fldCharType="end"/>
        </w:r>
      </w:hyperlink>
    </w:p>
    <w:p w:rsidR="00970B69" w:rsidRDefault="007B33E0">
      <w:pPr>
        <w:pStyle w:val="TOC2"/>
        <w:rPr>
          <w:rFonts w:ascii="Calibri" w:eastAsia="SimSun" w:hAnsi="Calibri"/>
          <w:noProof/>
          <w:sz w:val="22"/>
          <w:lang w:val="en-US"/>
        </w:rPr>
      </w:pPr>
      <w:hyperlink w:anchor="_Toc160996239" w:history="1">
        <w:r w:rsidR="00CD57D7">
          <w:rPr>
            <w:rStyle w:val="Hyperlink"/>
            <w:rFonts w:ascii="Times New Roman" w:eastAsia="Times New Roman" w:hAnsi="Times New Roman" w:cs="Times New Roman"/>
            <w:b/>
            <w:bCs/>
            <w:noProof/>
          </w:rPr>
          <w:t>3.1 Universal Declaration of Human Rights (UDHR) 1948</w:t>
        </w:r>
        <w:r w:rsidR="00CD57D7">
          <w:rPr>
            <w:noProof/>
            <w:webHidden/>
          </w:rPr>
          <w:tab/>
        </w:r>
        <w:r w:rsidR="00CD57D7">
          <w:rPr>
            <w:noProof/>
            <w:webHidden/>
          </w:rPr>
          <w:fldChar w:fldCharType="begin"/>
        </w:r>
        <w:r w:rsidR="00CD57D7">
          <w:rPr>
            <w:noProof/>
            <w:webHidden/>
          </w:rPr>
          <w:instrText xml:space="preserve"> PAGEREF _Toc160996239 \h </w:instrText>
        </w:r>
        <w:r w:rsidR="00CD57D7">
          <w:rPr>
            <w:noProof/>
            <w:webHidden/>
          </w:rPr>
        </w:r>
        <w:r w:rsidR="00CD57D7">
          <w:rPr>
            <w:noProof/>
            <w:webHidden/>
          </w:rPr>
          <w:fldChar w:fldCharType="separate"/>
        </w:r>
        <w:r w:rsidR="00CD57D7">
          <w:rPr>
            <w:noProof/>
            <w:webHidden/>
          </w:rPr>
          <w:t>20</w:t>
        </w:r>
        <w:r w:rsidR="00CD57D7">
          <w:rPr>
            <w:noProof/>
            <w:webHidden/>
          </w:rPr>
          <w:fldChar w:fldCharType="end"/>
        </w:r>
      </w:hyperlink>
    </w:p>
    <w:p w:rsidR="00970B69" w:rsidRDefault="007B33E0">
      <w:pPr>
        <w:pStyle w:val="TOC2"/>
        <w:rPr>
          <w:rFonts w:ascii="Calibri" w:eastAsia="SimSun" w:hAnsi="Calibri"/>
          <w:noProof/>
          <w:sz w:val="22"/>
          <w:lang w:val="en-US"/>
        </w:rPr>
      </w:pPr>
      <w:hyperlink w:anchor="_Toc160996240" w:history="1">
        <w:r w:rsidR="00CD57D7">
          <w:rPr>
            <w:rStyle w:val="Hyperlink"/>
            <w:rFonts w:ascii="Times New Roman" w:eastAsia="Times New Roman" w:hAnsi="Times New Roman" w:cs="Times New Roman"/>
            <w:b/>
            <w:bCs/>
            <w:noProof/>
          </w:rPr>
          <w:t>3.2 International Covenant on Civil and Political Rights (ICCPR)</w:t>
        </w:r>
        <w:r w:rsidR="00CD57D7">
          <w:rPr>
            <w:noProof/>
            <w:webHidden/>
          </w:rPr>
          <w:tab/>
        </w:r>
        <w:r w:rsidR="00CD57D7">
          <w:rPr>
            <w:noProof/>
            <w:webHidden/>
          </w:rPr>
          <w:fldChar w:fldCharType="begin"/>
        </w:r>
        <w:r w:rsidR="00CD57D7">
          <w:rPr>
            <w:noProof/>
            <w:webHidden/>
          </w:rPr>
          <w:instrText xml:space="preserve"> PAGEREF _Toc160996240 \h </w:instrText>
        </w:r>
        <w:r w:rsidR="00CD57D7">
          <w:rPr>
            <w:noProof/>
            <w:webHidden/>
          </w:rPr>
        </w:r>
        <w:r w:rsidR="00CD57D7">
          <w:rPr>
            <w:noProof/>
            <w:webHidden/>
          </w:rPr>
          <w:fldChar w:fldCharType="separate"/>
        </w:r>
        <w:r w:rsidR="00CD57D7">
          <w:rPr>
            <w:noProof/>
            <w:webHidden/>
          </w:rPr>
          <w:t>20</w:t>
        </w:r>
        <w:r w:rsidR="00CD57D7">
          <w:rPr>
            <w:noProof/>
            <w:webHidden/>
          </w:rPr>
          <w:fldChar w:fldCharType="end"/>
        </w:r>
      </w:hyperlink>
    </w:p>
    <w:p w:rsidR="00970B69" w:rsidRDefault="007B33E0">
      <w:pPr>
        <w:pStyle w:val="TOC2"/>
        <w:rPr>
          <w:rFonts w:ascii="Calibri" w:eastAsia="SimSun" w:hAnsi="Calibri"/>
          <w:noProof/>
          <w:sz w:val="22"/>
          <w:lang w:val="en-US"/>
        </w:rPr>
      </w:pPr>
      <w:hyperlink w:anchor="_Toc160996241" w:history="1">
        <w:r w:rsidR="00CD57D7">
          <w:rPr>
            <w:rStyle w:val="Hyperlink"/>
            <w:rFonts w:ascii="Times New Roman" w:hAnsi="Times New Roman" w:cs="Times New Roman"/>
            <w:b/>
            <w:bCs/>
            <w:noProof/>
          </w:rPr>
          <w:t>3.3 Convention on The Rights of Persons with Disabilities</w:t>
        </w:r>
        <w:r w:rsidR="00CD57D7">
          <w:rPr>
            <w:noProof/>
            <w:webHidden/>
          </w:rPr>
          <w:tab/>
        </w:r>
        <w:r w:rsidR="00CD57D7">
          <w:rPr>
            <w:noProof/>
            <w:webHidden/>
          </w:rPr>
          <w:fldChar w:fldCharType="begin"/>
        </w:r>
        <w:r w:rsidR="00CD57D7">
          <w:rPr>
            <w:noProof/>
            <w:webHidden/>
          </w:rPr>
          <w:instrText xml:space="preserve"> PAGEREF _Toc160996241 \h </w:instrText>
        </w:r>
        <w:r w:rsidR="00CD57D7">
          <w:rPr>
            <w:noProof/>
            <w:webHidden/>
          </w:rPr>
        </w:r>
        <w:r w:rsidR="00CD57D7">
          <w:rPr>
            <w:noProof/>
            <w:webHidden/>
          </w:rPr>
          <w:fldChar w:fldCharType="separate"/>
        </w:r>
        <w:r w:rsidR="00CD57D7">
          <w:rPr>
            <w:noProof/>
            <w:webHidden/>
          </w:rPr>
          <w:t>21</w:t>
        </w:r>
        <w:r w:rsidR="00CD57D7">
          <w:rPr>
            <w:noProof/>
            <w:webHidden/>
          </w:rPr>
          <w:fldChar w:fldCharType="end"/>
        </w:r>
      </w:hyperlink>
    </w:p>
    <w:p w:rsidR="00970B69" w:rsidRDefault="007B33E0">
      <w:pPr>
        <w:pStyle w:val="TOC2"/>
        <w:rPr>
          <w:rFonts w:ascii="Calibri" w:eastAsia="SimSun" w:hAnsi="Calibri"/>
          <w:noProof/>
          <w:sz w:val="22"/>
          <w:lang w:val="en-US"/>
        </w:rPr>
      </w:pPr>
      <w:hyperlink w:anchor="_Toc160996242" w:history="1">
        <w:r w:rsidR="00CD57D7">
          <w:rPr>
            <w:rStyle w:val="Hyperlink"/>
            <w:rFonts w:ascii="Times New Roman" w:eastAsia="Times New Roman" w:hAnsi="Times New Roman" w:cs="Times New Roman"/>
            <w:b/>
            <w:bCs/>
            <w:noProof/>
          </w:rPr>
          <w:t>4.1 The African (Banjul) Charter on Human and People’s Rights</w:t>
        </w:r>
        <w:r w:rsidR="00CD57D7">
          <w:rPr>
            <w:noProof/>
            <w:webHidden/>
          </w:rPr>
          <w:tab/>
        </w:r>
        <w:r w:rsidR="00CD57D7">
          <w:rPr>
            <w:noProof/>
            <w:webHidden/>
          </w:rPr>
          <w:fldChar w:fldCharType="begin"/>
        </w:r>
        <w:r w:rsidR="00CD57D7">
          <w:rPr>
            <w:noProof/>
            <w:webHidden/>
          </w:rPr>
          <w:instrText xml:space="preserve"> PAGEREF _Toc160996242 \h </w:instrText>
        </w:r>
        <w:r w:rsidR="00CD57D7">
          <w:rPr>
            <w:noProof/>
            <w:webHidden/>
          </w:rPr>
        </w:r>
        <w:r w:rsidR="00CD57D7">
          <w:rPr>
            <w:noProof/>
            <w:webHidden/>
          </w:rPr>
          <w:fldChar w:fldCharType="separate"/>
        </w:r>
        <w:r w:rsidR="00CD57D7">
          <w:rPr>
            <w:noProof/>
            <w:webHidden/>
          </w:rPr>
          <w:t>21</w:t>
        </w:r>
        <w:r w:rsidR="00CD57D7">
          <w:rPr>
            <w:noProof/>
            <w:webHidden/>
          </w:rPr>
          <w:fldChar w:fldCharType="end"/>
        </w:r>
      </w:hyperlink>
    </w:p>
    <w:p w:rsidR="00970B69" w:rsidRDefault="007B33E0">
      <w:pPr>
        <w:pStyle w:val="TOC2"/>
        <w:rPr>
          <w:rFonts w:ascii="Calibri" w:eastAsia="SimSun" w:hAnsi="Calibri"/>
          <w:noProof/>
          <w:sz w:val="22"/>
          <w:lang w:val="en-US"/>
        </w:rPr>
      </w:pPr>
      <w:hyperlink w:anchor="_Toc160996243" w:history="1">
        <w:r w:rsidR="00CD57D7">
          <w:rPr>
            <w:rStyle w:val="Hyperlink"/>
            <w:rFonts w:ascii="Times New Roman" w:eastAsia="Times New Roman" w:hAnsi="Times New Roman" w:cs="Times New Roman"/>
            <w:b/>
            <w:bCs/>
            <w:noProof/>
          </w:rPr>
          <w:t>4.2 The African Union Convention on Cyber Security and Personal Data Protection (Malabo Protocol)</w:t>
        </w:r>
        <w:r w:rsidR="00CD57D7">
          <w:rPr>
            <w:noProof/>
            <w:webHidden/>
          </w:rPr>
          <w:tab/>
        </w:r>
        <w:r w:rsidR="00CD57D7">
          <w:rPr>
            <w:noProof/>
            <w:webHidden/>
          </w:rPr>
          <w:fldChar w:fldCharType="begin"/>
        </w:r>
        <w:r w:rsidR="00CD57D7">
          <w:rPr>
            <w:noProof/>
            <w:webHidden/>
          </w:rPr>
          <w:instrText xml:space="preserve"> PAGEREF _Toc160996243 \h </w:instrText>
        </w:r>
        <w:r w:rsidR="00CD57D7">
          <w:rPr>
            <w:noProof/>
            <w:webHidden/>
          </w:rPr>
        </w:r>
        <w:r w:rsidR="00CD57D7">
          <w:rPr>
            <w:noProof/>
            <w:webHidden/>
          </w:rPr>
          <w:fldChar w:fldCharType="separate"/>
        </w:r>
        <w:r w:rsidR="00CD57D7">
          <w:rPr>
            <w:noProof/>
            <w:webHidden/>
          </w:rPr>
          <w:t>22</w:t>
        </w:r>
        <w:r w:rsidR="00CD57D7">
          <w:rPr>
            <w:noProof/>
            <w:webHidden/>
          </w:rPr>
          <w:fldChar w:fldCharType="end"/>
        </w:r>
      </w:hyperlink>
    </w:p>
    <w:p w:rsidR="00970B69" w:rsidRDefault="007B33E0">
      <w:pPr>
        <w:pStyle w:val="TOC2"/>
        <w:rPr>
          <w:rFonts w:ascii="Calibri" w:eastAsia="SimSun" w:hAnsi="Calibri"/>
          <w:noProof/>
          <w:sz w:val="22"/>
          <w:lang w:val="en-US"/>
        </w:rPr>
      </w:pPr>
      <w:hyperlink w:anchor="_Toc160996244" w:history="1">
        <w:r w:rsidR="00CD57D7">
          <w:rPr>
            <w:rStyle w:val="Hyperlink"/>
            <w:rFonts w:ascii="Times New Roman" w:eastAsia="Times New Roman" w:hAnsi="Times New Roman" w:cs="Times New Roman"/>
            <w:b/>
            <w:bCs/>
            <w:noProof/>
          </w:rPr>
          <w:t>5.0 Conclusion</w:t>
        </w:r>
        <w:r w:rsidR="00CD57D7">
          <w:rPr>
            <w:noProof/>
            <w:webHidden/>
          </w:rPr>
          <w:tab/>
        </w:r>
        <w:r w:rsidR="00CD57D7">
          <w:rPr>
            <w:noProof/>
            <w:webHidden/>
          </w:rPr>
          <w:fldChar w:fldCharType="begin"/>
        </w:r>
        <w:r w:rsidR="00CD57D7">
          <w:rPr>
            <w:noProof/>
            <w:webHidden/>
          </w:rPr>
          <w:instrText xml:space="preserve"> PAGEREF _Toc160996244 \h </w:instrText>
        </w:r>
        <w:r w:rsidR="00CD57D7">
          <w:rPr>
            <w:noProof/>
            <w:webHidden/>
          </w:rPr>
        </w:r>
        <w:r w:rsidR="00CD57D7">
          <w:rPr>
            <w:noProof/>
            <w:webHidden/>
          </w:rPr>
          <w:fldChar w:fldCharType="separate"/>
        </w:r>
        <w:r w:rsidR="00CD57D7">
          <w:rPr>
            <w:noProof/>
            <w:webHidden/>
          </w:rPr>
          <w:t>23</w:t>
        </w:r>
        <w:r w:rsidR="00CD57D7">
          <w:rPr>
            <w:noProof/>
            <w:webHidden/>
          </w:rPr>
          <w:fldChar w:fldCharType="end"/>
        </w:r>
      </w:hyperlink>
    </w:p>
    <w:p w:rsidR="00970B69" w:rsidRDefault="00CD57D7">
      <w:pPr>
        <w:spacing w:line="240" w:lineRule="auto"/>
        <w:rPr>
          <w:rFonts w:ascii="Times New Roman" w:hAnsi="Times New Roman" w:cs="Times New Roman"/>
          <w:b/>
          <w:bCs/>
          <w:noProof/>
          <w:sz w:val="22"/>
        </w:rPr>
      </w:pPr>
      <w:r>
        <w:rPr>
          <w:rFonts w:ascii="Times New Roman" w:hAnsi="Times New Roman" w:cs="Times New Roman"/>
          <w:b/>
          <w:bCs/>
          <w:noProof/>
          <w:sz w:val="22"/>
        </w:rPr>
        <w:fldChar w:fldCharType="end"/>
      </w:r>
    </w:p>
    <w:p w:rsidR="00970B69" w:rsidRDefault="00970B69">
      <w:pPr>
        <w:spacing w:line="240" w:lineRule="auto"/>
        <w:rPr>
          <w:rFonts w:ascii="Times New Roman" w:hAnsi="Times New Roman" w:cs="Times New Roman"/>
          <w:b/>
          <w:bCs/>
          <w:noProof/>
          <w:sz w:val="22"/>
        </w:rPr>
      </w:pPr>
    </w:p>
    <w:p w:rsidR="00970B69" w:rsidRDefault="00970B69">
      <w:pPr>
        <w:spacing w:line="240" w:lineRule="auto"/>
        <w:rPr>
          <w:rFonts w:ascii="Times New Roman" w:eastAsia="Times New Roman" w:hAnsi="Times New Roman" w:cs="Times New Roman"/>
          <w:b/>
          <w:sz w:val="32"/>
          <w:szCs w:val="32"/>
        </w:rPr>
      </w:pPr>
      <w:bookmarkStart w:id="0" w:name="_Toc965999233"/>
      <w:bookmarkStart w:id="1" w:name="_Toc123689839"/>
      <w:bookmarkStart w:id="2" w:name="_Toc437087309"/>
      <w:bookmarkStart w:id="3" w:name="_Toc2101044459"/>
      <w:bookmarkStart w:id="4" w:name="_Toc220632735"/>
      <w:bookmarkStart w:id="5" w:name="_Toc686869334"/>
      <w:bookmarkStart w:id="6" w:name="_Toc2023621725"/>
      <w:bookmarkStart w:id="7" w:name="_Toc270092150"/>
      <w:bookmarkStart w:id="8" w:name="_Toc607001617"/>
      <w:bookmarkStart w:id="9" w:name="_Toc1839632597"/>
      <w:bookmarkStart w:id="10" w:name="_Toc1092132854"/>
      <w:bookmarkStart w:id="11" w:name="_Toc657939475"/>
      <w:bookmarkStart w:id="12" w:name="_Toc1846238980"/>
      <w:bookmarkStart w:id="13" w:name="_Toc788559327"/>
      <w:bookmarkStart w:id="14" w:name="_Toc289816686"/>
      <w:bookmarkStart w:id="15" w:name="_Toc1842272771"/>
      <w:bookmarkStart w:id="16" w:name="_Toc1557062194"/>
      <w:bookmarkStart w:id="17" w:name="_Toc871965312"/>
    </w:p>
    <w:p w:rsidR="00970B69" w:rsidRDefault="00970B69">
      <w:pPr>
        <w:spacing w:line="240" w:lineRule="auto"/>
        <w:rPr>
          <w:rFonts w:ascii="Times New Roman" w:eastAsia="Times New Roman" w:hAnsi="Times New Roman" w:cs="Times New Roman"/>
          <w:b/>
          <w:sz w:val="32"/>
          <w:szCs w:val="32"/>
        </w:rPr>
      </w:pPr>
    </w:p>
    <w:p w:rsidR="00970B69" w:rsidRDefault="00970B69">
      <w:pPr>
        <w:spacing w:line="240" w:lineRule="auto"/>
        <w:rPr>
          <w:rFonts w:ascii="Times New Roman" w:eastAsia="Times New Roman" w:hAnsi="Times New Roman" w:cs="Times New Roman"/>
          <w:b/>
          <w:sz w:val="32"/>
          <w:szCs w:val="32"/>
        </w:rPr>
      </w:pPr>
    </w:p>
    <w:p w:rsidR="00970B69" w:rsidRDefault="00970B69">
      <w:pPr>
        <w:spacing w:line="240" w:lineRule="auto"/>
        <w:rPr>
          <w:rFonts w:ascii="Times New Roman" w:eastAsia="Times New Roman" w:hAnsi="Times New Roman" w:cs="Times New Roman"/>
          <w:b/>
          <w:sz w:val="32"/>
          <w:szCs w:val="32"/>
        </w:rPr>
      </w:pPr>
    </w:p>
    <w:p w:rsidR="00970B69" w:rsidRDefault="00970B69">
      <w:pPr>
        <w:spacing w:line="240" w:lineRule="auto"/>
        <w:rPr>
          <w:rFonts w:ascii="Times New Roman" w:eastAsia="Times New Roman" w:hAnsi="Times New Roman" w:cs="Times New Roman"/>
          <w:b/>
          <w:sz w:val="32"/>
          <w:szCs w:val="32"/>
        </w:rPr>
      </w:pPr>
    </w:p>
    <w:p w:rsidR="00970B69" w:rsidRDefault="00970B69">
      <w:pPr>
        <w:spacing w:line="240" w:lineRule="auto"/>
        <w:rPr>
          <w:rFonts w:ascii="Times New Roman" w:eastAsia="Times New Roman" w:hAnsi="Times New Roman" w:cs="Times New Roman"/>
          <w:b/>
          <w:sz w:val="32"/>
          <w:szCs w:val="32"/>
        </w:rPr>
      </w:pPr>
    </w:p>
    <w:p w:rsidR="00970B69" w:rsidRDefault="00970B69">
      <w:pPr>
        <w:spacing w:line="240" w:lineRule="auto"/>
        <w:rPr>
          <w:rFonts w:ascii="Times New Roman" w:eastAsia="Times New Roman" w:hAnsi="Times New Roman" w:cs="Times New Roman"/>
          <w:b/>
          <w:sz w:val="32"/>
          <w:szCs w:val="32"/>
        </w:rPr>
      </w:pPr>
    </w:p>
    <w:p w:rsidR="00970B69" w:rsidRDefault="00970B69">
      <w:pPr>
        <w:spacing w:line="240" w:lineRule="auto"/>
        <w:rPr>
          <w:rFonts w:ascii="Times New Roman" w:eastAsia="Times New Roman" w:hAnsi="Times New Roman" w:cs="Times New Roman"/>
          <w:b/>
          <w:sz w:val="32"/>
          <w:szCs w:val="32"/>
        </w:rPr>
      </w:pPr>
    </w:p>
    <w:p w:rsidR="00970B69" w:rsidRDefault="00970B69">
      <w:pPr>
        <w:spacing w:line="240" w:lineRule="auto"/>
        <w:rPr>
          <w:rFonts w:ascii="Times New Roman" w:eastAsia="Times New Roman" w:hAnsi="Times New Roman" w:cs="Times New Roman"/>
          <w:b/>
          <w:sz w:val="32"/>
          <w:szCs w:val="32"/>
        </w:rPr>
      </w:pPr>
    </w:p>
    <w:p w:rsidR="00970B69" w:rsidRDefault="00970B69">
      <w:pPr>
        <w:spacing w:line="240" w:lineRule="auto"/>
        <w:rPr>
          <w:rFonts w:ascii="Times New Roman" w:eastAsia="Times New Roman" w:hAnsi="Times New Roman" w:cs="Times New Roman"/>
          <w:b/>
          <w:sz w:val="32"/>
          <w:szCs w:val="32"/>
        </w:rPr>
      </w:pPr>
    </w:p>
    <w:p w:rsidR="00970B69" w:rsidRDefault="00970B69">
      <w:pPr>
        <w:spacing w:line="240" w:lineRule="auto"/>
        <w:rPr>
          <w:rFonts w:ascii="Times New Roman" w:eastAsia="Times New Roman" w:hAnsi="Times New Roman" w:cs="Times New Roman"/>
          <w:b/>
          <w:sz w:val="32"/>
          <w:szCs w:val="32"/>
        </w:rPr>
      </w:pPr>
    </w:p>
    <w:p w:rsidR="00970B69" w:rsidRDefault="00CD57D7">
      <w:pPr>
        <w:spacing w:line="240" w:lineRule="auto"/>
        <w:rPr>
          <w:rFonts w:ascii="Times New Roman" w:hAnsi="Times New Roman" w:cs="Times New Roman"/>
          <w:sz w:val="32"/>
          <w:szCs w:val="32"/>
        </w:rPr>
      </w:pPr>
      <w:r>
        <w:rPr>
          <w:rFonts w:ascii="Times New Roman" w:eastAsia="Times New Roman" w:hAnsi="Times New Roman" w:cs="Times New Roman"/>
          <w:b/>
          <w:sz w:val="32"/>
          <w:szCs w:val="32"/>
        </w:rPr>
        <w:lastRenderedPageBreak/>
        <w:t xml:space="preserve">LEGAL AND </w:t>
      </w:r>
      <w:r>
        <w:rPr>
          <w:rFonts w:ascii="Times New Roman" w:eastAsia="Times New Roman" w:hAnsi="Times New Roman" w:cs="Times New Roman"/>
          <w:b/>
          <w:bCs/>
          <w:sz w:val="32"/>
          <w:szCs w:val="32"/>
        </w:rPr>
        <w:t>INSTITUTIONAL FRAMEWORK GOVERNING ICT IN KENYA</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rsidR="00970B69" w:rsidRDefault="00CD57D7">
      <w:pPr>
        <w:pStyle w:val="ListParagraph"/>
        <w:numPr>
          <w:ilvl w:val="0"/>
          <w:numId w:val="1"/>
        </w:numPr>
        <w:rPr>
          <w:rFonts w:ascii="Times New Roman" w:eastAsia="Times New Roman" w:hAnsi="Times New Roman" w:cs="Times New Roman"/>
          <w:b/>
          <w:bCs/>
        </w:rPr>
      </w:pPr>
      <w:bookmarkStart w:id="18" w:name="_Toc743845438"/>
      <w:bookmarkStart w:id="19" w:name="_Toc1730287611"/>
      <w:bookmarkStart w:id="20" w:name="_Toc1015383675"/>
      <w:bookmarkStart w:id="21" w:name="_Toc1885366128"/>
      <w:bookmarkStart w:id="22" w:name="_Toc1009406920"/>
      <w:bookmarkStart w:id="23" w:name="_Toc1944122217"/>
      <w:bookmarkStart w:id="24" w:name="_Toc557002981"/>
      <w:bookmarkStart w:id="25" w:name="_Toc1314733143"/>
      <w:bookmarkStart w:id="26" w:name="_Toc956225316"/>
      <w:bookmarkStart w:id="27" w:name="_Toc1613160085"/>
      <w:bookmarkStart w:id="28" w:name="_Toc1733383201"/>
      <w:bookmarkStart w:id="29" w:name="_Toc1011583789"/>
      <w:bookmarkStart w:id="30" w:name="_Toc413711146"/>
      <w:bookmarkStart w:id="31" w:name="_Toc1448907379"/>
      <w:bookmarkStart w:id="32" w:name="_Toc563953280"/>
      <w:bookmarkStart w:id="33" w:name="_Toc1219297846"/>
      <w:bookmarkStart w:id="34" w:name="_Toc1559290885"/>
      <w:bookmarkStart w:id="35" w:name="_Toc669955179"/>
      <w:bookmarkStart w:id="36" w:name="_Toc160996222"/>
      <w:r>
        <w:rPr>
          <w:rStyle w:val="Heading2Char"/>
          <w:rFonts w:ascii="Times New Roman" w:eastAsia="Times New Roman" w:hAnsi="Times New Roman" w:cs="Times New Roman"/>
          <w:b/>
          <w:color w:val="auto"/>
          <w:sz w:val="28"/>
          <w:szCs w:val="28"/>
        </w:rPr>
        <w:t>Introduction</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p>
    <w:p w:rsidR="00970B69" w:rsidRDefault="00CD57D7">
      <w:pPr>
        <w:spacing w:line="360" w:lineRule="auto"/>
        <w:rPr>
          <w:rFonts w:ascii="Times New Roman" w:eastAsia="Times New Roman" w:hAnsi="Times New Roman" w:cs="Times New Roman"/>
          <w:b/>
          <w:bCs/>
        </w:rPr>
      </w:pPr>
      <w:r>
        <w:rPr>
          <w:rFonts w:ascii="Times New Roman" w:eastAsia="Times New Roman" w:hAnsi="Times New Roman" w:cs="Times New Roman"/>
        </w:rPr>
        <w:t xml:space="preserve">Information Communication Technology (ICT) is an important and developing mode of communication and commerce in Kenya. There has been growth of ICT in Kenya evidenced by telephone lines, Internet Service Providers and the liberation of the mobile cellular market. The judiciary has also adopted the use of ICT through the introduction of e-filing and virtual courts that have helped in reducing the cost of travel among advocates. This paper will, therefore, discuss the legal and institutional framework governing ICT in Kenya to understand how the law caters and limits the use of ICT. </w:t>
      </w:r>
    </w:p>
    <w:p w:rsidR="00970B69" w:rsidRDefault="00CD57D7">
      <w:pPr>
        <w:pStyle w:val="Heading1"/>
        <w:rPr>
          <w:rFonts w:ascii="Times New Roman" w:eastAsia="Times New Roman" w:hAnsi="Times New Roman" w:cs="Times New Roman"/>
          <w:b/>
          <w:bCs/>
          <w:color w:val="000000"/>
          <w:sz w:val="28"/>
          <w:szCs w:val="28"/>
        </w:rPr>
      </w:pPr>
      <w:bookmarkStart w:id="37" w:name="_Toc1223868073"/>
      <w:bookmarkStart w:id="38" w:name="_Toc1658399142"/>
      <w:bookmarkStart w:id="39" w:name="_Toc431816321"/>
      <w:bookmarkStart w:id="40" w:name="_Toc578201169"/>
      <w:bookmarkStart w:id="41" w:name="_Toc844652347"/>
      <w:bookmarkStart w:id="42" w:name="_Toc1104633728"/>
      <w:bookmarkStart w:id="43" w:name="_Toc266438674"/>
      <w:bookmarkStart w:id="44" w:name="_Toc678159414"/>
      <w:bookmarkStart w:id="45" w:name="_Toc1643902697"/>
      <w:bookmarkStart w:id="46" w:name="_Toc1260083785"/>
      <w:bookmarkStart w:id="47" w:name="_Toc142382924"/>
      <w:bookmarkStart w:id="48" w:name="_Toc1183129947"/>
      <w:bookmarkStart w:id="49" w:name="_Toc1110012911"/>
      <w:bookmarkStart w:id="50" w:name="_Toc597502677"/>
      <w:bookmarkStart w:id="51" w:name="_Toc906746018"/>
      <w:bookmarkStart w:id="52" w:name="_Toc167349885"/>
      <w:bookmarkStart w:id="53" w:name="_Toc42564283"/>
      <w:bookmarkStart w:id="54" w:name="_Toc2125323456"/>
      <w:bookmarkStart w:id="55" w:name="_Toc160996223"/>
      <w:r>
        <w:rPr>
          <w:rFonts w:ascii="Times New Roman" w:eastAsia="Times New Roman" w:hAnsi="Times New Roman" w:cs="Times New Roman"/>
          <w:b/>
          <w:bCs/>
          <w:color w:val="000000"/>
          <w:sz w:val="28"/>
          <w:szCs w:val="28"/>
        </w:rPr>
        <w:t>2.0 NATIONAL LEGAL FRAMEWORK</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ab/>
      </w:r>
    </w:p>
    <w:p w:rsidR="00970B69" w:rsidRDefault="00CD57D7">
      <w:pPr>
        <w:pStyle w:val="Heading2"/>
        <w:rPr>
          <w:rFonts w:ascii="Times New Roman" w:eastAsia="Times New Roman" w:hAnsi="Times New Roman" w:cs="Times New Roman"/>
          <w:b/>
          <w:bCs/>
          <w:color w:val="auto"/>
          <w:sz w:val="28"/>
          <w:szCs w:val="28"/>
        </w:rPr>
      </w:pPr>
      <w:bookmarkStart w:id="56" w:name="_Toc421780710"/>
      <w:bookmarkStart w:id="57" w:name="_Toc474218492"/>
      <w:bookmarkStart w:id="58" w:name="_Toc533740177"/>
      <w:bookmarkStart w:id="59" w:name="_Toc803472034"/>
      <w:bookmarkStart w:id="60" w:name="_Toc1097257147"/>
      <w:bookmarkStart w:id="61" w:name="_Toc1561651216"/>
      <w:bookmarkStart w:id="62" w:name="_Toc775573638"/>
      <w:bookmarkStart w:id="63" w:name="_Toc14432140"/>
      <w:bookmarkStart w:id="64" w:name="_Toc1991350976"/>
      <w:bookmarkStart w:id="65" w:name="_Toc1056267799"/>
      <w:bookmarkStart w:id="66" w:name="_Toc1012782127"/>
      <w:bookmarkStart w:id="67" w:name="_Toc1289556898"/>
      <w:bookmarkStart w:id="68" w:name="_Toc963275782"/>
      <w:bookmarkStart w:id="69" w:name="_Toc1813403504"/>
      <w:bookmarkStart w:id="70" w:name="_Toc1648463480"/>
      <w:bookmarkStart w:id="71" w:name="_Toc511707758"/>
      <w:bookmarkStart w:id="72" w:name="_Toc1753129360"/>
      <w:bookmarkStart w:id="73" w:name="_Toc2139418620"/>
      <w:bookmarkStart w:id="74" w:name="_Toc160996224"/>
      <w:r>
        <w:rPr>
          <w:rFonts w:ascii="Times New Roman" w:eastAsia="Times New Roman" w:hAnsi="Times New Roman" w:cs="Times New Roman"/>
          <w:b/>
          <w:bCs/>
          <w:color w:val="auto"/>
          <w:sz w:val="28"/>
          <w:szCs w:val="28"/>
        </w:rPr>
        <w:t>2.1 Constitution of Kenya 2010</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The constitution is the supreme law in Kenya</w:t>
      </w:r>
      <w:r>
        <w:rPr>
          <w:rStyle w:val="FootnoteReference"/>
          <w:rFonts w:ascii="Times New Roman" w:eastAsia="Times New Roman" w:hAnsi="Times New Roman" w:cs="Times New Roman"/>
        </w:rPr>
        <w:footnoteReference w:id="1"/>
      </w:r>
      <w:r>
        <w:rPr>
          <w:rFonts w:ascii="Times New Roman" w:eastAsia="Times New Roman" w:hAnsi="Times New Roman" w:cs="Times New Roman"/>
        </w:rPr>
        <w:t xml:space="preserve"> and hence it is the supreme guiding law on ICT in Kenya. Article 11, 31, 34, 35 and 46 of the Constitution of Kenya, 2010 make provisions with a direct impact on ICT. Article 11 (c) requires the state to recognise the role of science in the development of the nation. Article 31 protects the right to privacy as in the case of   </w:t>
      </w:r>
      <w:r>
        <w:rPr>
          <w:rFonts w:ascii="Times New Roman" w:eastAsia="Times New Roman" w:hAnsi="Times New Roman" w:cs="Times New Roman"/>
          <w:b/>
          <w:bCs/>
          <w:i/>
          <w:iCs/>
        </w:rPr>
        <w:t>Okiya Omtatah Okoiti v Communication Authority of Kenya &amp; 8 Other</w:t>
      </w:r>
      <w:r>
        <w:rPr>
          <w:rFonts w:ascii="Times New Roman" w:eastAsia="Times New Roman" w:hAnsi="Times New Roman" w:cs="Times New Roman"/>
          <w:b/>
          <w:bCs/>
        </w:rPr>
        <w:t>s</w:t>
      </w:r>
      <w:r>
        <w:rPr>
          <w:rStyle w:val="FootnoteReference"/>
          <w:rFonts w:ascii="Times New Roman" w:eastAsia="Times New Roman" w:hAnsi="Times New Roman" w:cs="Times New Roman"/>
          <w:b/>
          <w:bCs/>
        </w:rPr>
        <w:footnoteReference w:id="2"/>
      </w:r>
      <w:r>
        <w:rPr>
          <w:rFonts w:ascii="Times New Roman" w:eastAsia="Times New Roman" w:hAnsi="Times New Roman" w:cs="Times New Roman"/>
        </w:rPr>
        <w:t xml:space="preserve"> Justice Mativo held that the use of Device Management System to access mobile service subscribers' information is a violation of privacy therefore unconstitutional. Article 34 provides for the freedom of electronic, print and all other types of media. Under Article 35, the Constitution guarantees the rights of all citizens to </w:t>
      </w:r>
      <w:r>
        <w:rPr>
          <w:rFonts w:ascii="Times New Roman" w:eastAsia="Times New Roman" w:hAnsi="Times New Roman" w:cs="Times New Roman"/>
        </w:rPr>
        <w:lastRenderedPageBreak/>
        <w:t>access information. On the other hand, Article 46 safeguards the right of consumers to information necessary for them to gain full benefits from goods and services and to fair, honest and decent advertising.</w:t>
      </w:r>
    </w:p>
    <w:p w:rsidR="00970B69" w:rsidRDefault="00CD57D7">
      <w:pPr>
        <w:pStyle w:val="Heading2"/>
        <w:rPr>
          <w:rFonts w:ascii="Times New Roman" w:eastAsia="Times New Roman" w:hAnsi="Times New Roman" w:cs="Times New Roman"/>
          <w:b/>
          <w:bCs/>
          <w:color w:val="auto"/>
          <w:sz w:val="28"/>
          <w:szCs w:val="28"/>
          <w:lang w:val="en-US"/>
        </w:rPr>
      </w:pPr>
      <w:bookmarkStart w:id="75" w:name="_Toc1518898693"/>
      <w:bookmarkStart w:id="76" w:name="_Toc1482345375"/>
      <w:bookmarkStart w:id="77" w:name="_Toc1376044186"/>
      <w:bookmarkStart w:id="78" w:name="_Toc1268578748"/>
      <w:bookmarkStart w:id="79" w:name="_Toc822270770"/>
      <w:bookmarkStart w:id="80" w:name="_Toc108512952"/>
      <w:bookmarkStart w:id="81" w:name="_Toc673846114"/>
      <w:bookmarkStart w:id="82" w:name="_Toc647263528"/>
      <w:bookmarkStart w:id="83" w:name="_Toc1556671773"/>
      <w:bookmarkStart w:id="84" w:name="_Toc1687481931"/>
      <w:bookmarkStart w:id="85" w:name="_Toc591606150"/>
      <w:bookmarkStart w:id="86" w:name="_Toc1228419126"/>
      <w:bookmarkStart w:id="87" w:name="_Toc1959092604"/>
      <w:bookmarkStart w:id="88" w:name="_Toc785064118"/>
      <w:bookmarkStart w:id="89" w:name="_Toc236922624"/>
      <w:bookmarkStart w:id="90" w:name="_Toc1885560309"/>
      <w:bookmarkStart w:id="91" w:name="_Toc816377461"/>
      <w:bookmarkStart w:id="92" w:name="_Toc2133888370"/>
      <w:bookmarkStart w:id="93" w:name="_Toc160996225"/>
      <w:r>
        <w:rPr>
          <w:rFonts w:ascii="Times New Roman" w:eastAsia="Times New Roman" w:hAnsi="Times New Roman" w:cs="Times New Roman"/>
          <w:b/>
          <w:bCs/>
          <w:color w:val="auto"/>
          <w:sz w:val="28"/>
          <w:szCs w:val="28"/>
        </w:rPr>
        <w:t>2.2 Kenya Information and Communication (Amendment) Act</w:t>
      </w:r>
      <w:r>
        <w:rPr>
          <w:rFonts w:ascii="Times New Roman" w:eastAsia="Times New Roman" w:hAnsi="Times New Roman" w:cs="Times New Roman"/>
          <w:b/>
          <w:bCs/>
          <w:color w:val="auto"/>
          <w:sz w:val="28"/>
          <w:szCs w:val="28"/>
          <w:lang w:val="en-US"/>
        </w:rPr>
        <w:t xml:space="preserve"> 2013</w:t>
      </w:r>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Kenya Information and Communication (Amendment) Act (KICA) as enacted in 2013 forms the cornerstone of the legal and institutional framework that governs the operations and development of the information and communications technology (ICT) sector in Kenya. The purpose of the Act is to establish the </w:t>
      </w:r>
      <w:r>
        <w:rPr>
          <w:rFonts w:ascii="Times New Roman" w:eastAsia="Times New Roman" w:hAnsi="Times New Roman" w:cs="Times New Roman"/>
          <w:b/>
          <w:bCs/>
        </w:rPr>
        <w:t>Communications Authority of Kenya (CAK)</w:t>
      </w:r>
      <w:r>
        <w:rPr>
          <w:rStyle w:val="FootnoteReference"/>
          <w:rFonts w:ascii="Times New Roman" w:eastAsia="Times New Roman" w:hAnsi="Times New Roman" w:cs="Times New Roman"/>
        </w:rPr>
        <w:footnoteReference w:id="3"/>
      </w:r>
      <w:r>
        <w:rPr>
          <w:rFonts w:ascii="Times New Roman" w:eastAsia="Times New Roman" w:hAnsi="Times New Roman" w:cs="Times New Roman"/>
        </w:rPr>
        <w:t xml:space="preserve"> and to facilitate the development of the information and communications sector (including broadcasting, multimedia, telecommunications, and postal services) and e-commerce.</w:t>
      </w:r>
      <w:r>
        <w:rPr>
          <w:rStyle w:val="FootnoteReference"/>
          <w:rFonts w:ascii="Times New Roman" w:eastAsia="Times New Roman" w:hAnsi="Times New Roman" w:cs="Times New Roman"/>
        </w:rPr>
        <w:footnoteReference w:id="4"/>
      </w:r>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CAK bears the significant responsibility of facilitating and driving the evolution of the ICT sector in the country.</w:t>
      </w:r>
      <w:r>
        <w:rPr>
          <w:rStyle w:val="FootnoteReference"/>
          <w:rFonts w:ascii="Times New Roman" w:eastAsia="Times New Roman" w:hAnsi="Times New Roman" w:cs="Times New Roman"/>
        </w:rPr>
        <w:footnoteReference w:id="5"/>
      </w:r>
      <w:r>
        <w:rPr>
          <w:rFonts w:ascii="Times New Roman" w:eastAsia="Times New Roman" w:hAnsi="Times New Roman" w:cs="Times New Roman"/>
        </w:rPr>
        <w:t xml:space="preserve"> The CAK is directed to carry out the above mandate while maintaining regard to the values and principles of the Constitution of Kenya 2010.</w:t>
      </w:r>
      <w:r>
        <w:rPr>
          <w:rStyle w:val="FootnoteReference"/>
          <w:rFonts w:ascii="Times New Roman" w:eastAsia="Times New Roman" w:hAnsi="Times New Roman" w:cs="Times New Roman"/>
        </w:rPr>
        <w:footnoteReference w:id="6"/>
      </w:r>
      <w:r>
        <w:rPr>
          <w:rFonts w:ascii="Times New Roman" w:eastAsia="Times New Roman" w:hAnsi="Times New Roman" w:cs="Times New Roman"/>
        </w:rPr>
        <w:t xml:space="preserve"> The execution of this critical role is carried out through several functions. Foremost, the Authority has the power to issue licenses and regulate services across a multitude of ICT sectors. These sectors include telecommunications, postal and courier services, as well as radio communication and broadcasting services. This regulatory function ensures that these sectors operate within the strict confines of the law and maintain high standards of service that meet both national and international benchmarks.</w:t>
      </w:r>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Secondly, the Authority shoulders the responsibility of managing the country's frequency spectrum and numbering resources. This crucial task involves the allocation and reallocation of frequency bands and numbering resources to various users. The purpose of this is to prevent interference that could disrupt services and to promote the efficient use of these critical resources.</w:t>
      </w:r>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Furthermore, the Authority is tasked with enforcing compliance with the Act and its subsequent regulations. This involves making sure all stakeholders, including service providers and consumers, adhere to the stipulated rules and guidelines. This compliance role is integral in ensuring the ICT sector maintains integrity, transparency, and fairness in its operations.</w:t>
      </w:r>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The Act also brings into existence the Universal Service Fund. This financial resource is a vital instrument in promoting the availability and accessibility of quality ICT services across the country. It has a unique focus on rural and underserved areas, where access to ICT services may be limited due to various factors. The goal of this fund is to bridge the digital divide and ensure inclusivity in access to ICT services, regardless of geographical location or socioeconomic status.</w:t>
      </w:r>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The Act also outlines the obligations and responsibilities of service providers. It embodies requirements for fair competition, ensuring that no single service provider has the power to monopolize the market to the detriment of others. This provision is key in maintaining a balanced and competitive market environment that is conducive to growth and innovation.</w:t>
      </w:r>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Consumer protection is another vital element embedded in the Act. This element safeguards the rights and interests of consumers in the ICT sector. It provides measures against unfair practices and ensures consumers receive high-quality services that offer value for money.</w:t>
      </w:r>
    </w:p>
    <w:p w:rsidR="00970B69" w:rsidRDefault="00CD57D7">
      <w:pPr>
        <w:rPr>
          <w:rFonts w:cs="Times New Roman"/>
          <w:b/>
          <w:szCs w:val="24"/>
        </w:rPr>
      </w:pPr>
      <w:r>
        <w:rPr>
          <w:rFonts w:ascii="Times New Roman" w:eastAsia="Times New Roman" w:hAnsi="Times New Roman" w:cs="Times New Roman"/>
        </w:rPr>
        <w:t xml:space="preserve">The Act also outlines clear and fair procedures for dispute resolution. This includes provisions for resolving any disagreements or conflicts that may arise in the sector, whether between service providers or between a service provider and a consumer. This mechanism ensures that disputes are resolved in a timely, fair, and transparent manner. In conclusion, the Kenya Information and </w:t>
      </w:r>
      <w:r>
        <w:rPr>
          <w:rFonts w:ascii="Times New Roman" w:eastAsia="Times New Roman" w:hAnsi="Times New Roman" w:cs="Times New Roman"/>
        </w:rPr>
        <w:lastRenderedPageBreak/>
        <w:t>Communication (Amendment) Act of 2013 offers a comprehensive and robust legal and institutional framework for the ICT sector in Kenya.</w:t>
      </w:r>
      <w:r>
        <w:rPr>
          <w:rFonts w:cs="Times New Roman"/>
          <w:b/>
          <w:szCs w:val="24"/>
        </w:rPr>
        <w:t xml:space="preserve"> </w:t>
      </w:r>
    </w:p>
    <w:p w:rsidR="00970B69" w:rsidRDefault="00CD57D7">
      <w:pPr>
        <w:rPr>
          <w:rFonts w:ascii="Times New Roman" w:hAnsi="Times New Roman" w:cs="Times New Roman"/>
          <w:szCs w:val="24"/>
        </w:rPr>
      </w:pPr>
      <w:r>
        <w:rPr>
          <w:rFonts w:ascii="Times New Roman" w:hAnsi="Times New Roman" w:cs="Times New Roman"/>
          <w:szCs w:val="24"/>
        </w:rPr>
        <w:t xml:space="preserve">In </w:t>
      </w:r>
      <w:r>
        <w:rPr>
          <w:rFonts w:ascii="Times New Roman" w:hAnsi="Times New Roman" w:cs="Times New Roman"/>
          <w:b/>
          <w:i/>
          <w:szCs w:val="24"/>
        </w:rPr>
        <w:t>Safaricom Limited &amp; 3 others v. Communications Authority of Kenya &amp; 3 others</w:t>
      </w:r>
      <w:r>
        <w:rPr>
          <w:rStyle w:val="FootnoteReference"/>
          <w:rFonts w:ascii="Times New Roman" w:hAnsi="Times New Roman" w:cs="Times New Roman"/>
          <w:b/>
          <w:i/>
          <w:szCs w:val="24"/>
        </w:rPr>
        <w:footnoteReference w:id="7"/>
      </w:r>
      <w:r>
        <w:rPr>
          <w:rFonts w:ascii="Times New Roman" w:hAnsi="Times New Roman" w:cs="Times New Roman"/>
          <w:b/>
          <w:i/>
          <w:szCs w:val="24"/>
        </w:rPr>
        <w:t xml:space="preserve"> </w:t>
      </w:r>
      <w:r>
        <w:rPr>
          <w:rFonts w:ascii="Times New Roman" w:hAnsi="Times New Roman" w:cs="Times New Roman"/>
          <w:szCs w:val="24"/>
        </w:rPr>
        <w:t>involved a dispute between mobile network operators (MNOs) and the Communications Authority of Kenya (CAK) over the implementation of new tariff regulations. The MNOs argued that the CA had exceeded its regulatory mandate by imposing price controls on their services, while the CA argued that the regulations were necessary to protect consumers from unfair pricing practices. The High Court ruled in favour of the MNOs, stating that the CA had acted outside its regulatory mandate and that the tariff regulations were unconstitutional. The case was later appealed to the Court of Appeal, which upheld the High Court's ruling</w:t>
      </w:r>
      <w:r>
        <w:rPr>
          <w:rStyle w:val="FootnoteReference"/>
          <w:rFonts w:ascii="Times New Roman" w:hAnsi="Times New Roman" w:cs="Times New Roman"/>
          <w:szCs w:val="24"/>
        </w:rPr>
        <w:footnoteReference w:id="8"/>
      </w:r>
      <w:bookmarkStart w:id="94" w:name="_Toc1456303512"/>
      <w:bookmarkStart w:id="95" w:name="_Toc619463398"/>
      <w:bookmarkStart w:id="96" w:name="_Toc1241718195"/>
      <w:bookmarkStart w:id="97" w:name="_Toc1419758734"/>
      <w:bookmarkStart w:id="98" w:name="_Toc1648986704"/>
      <w:bookmarkStart w:id="99" w:name="_Toc568389297"/>
      <w:bookmarkStart w:id="100" w:name="_Toc1524576521"/>
      <w:bookmarkStart w:id="101" w:name="_Toc1597316562"/>
      <w:bookmarkStart w:id="102" w:name="_Toc1845600528"/>
      <w:bookmarkStart w:id="103" w:name="_Toc1403875301"/>
      <w:bookmarkStart w:id="104" w:name="_Toc569601301"/>
      <w:bookmarkStart w:id="105" w:name="_Toc1491713283"/>
      <w:bookmarkStart w:id="106" w:name="_Toc792039732"/>
      <w:bookmarkStart w:id="107" w:name="_Toc613792352"/>
      <w:bookmarkStart w:id="108" w:name="_Toc460590588"/>
      <w:bookmarkStart w:id="109" w:name="_Toc1440588594"/>
      <w:bookmarkStart w:id="110" w:name="_Toc1992196991"/>
      <w:bookmarkStart w:id="111" w:name="_Toc1960304652"/>
    </w:p>
    <w:p w:rsidR="00970B69" w:rsidRDefault="00CD57D7">
      <w:pPr>
        <w:rPr>
          <w:rFonts w:ascii="Times New Roman" w:hAnsi="Times New Roman" w:cs="Times New Roman"/>
          <w:b/>
          <w:szCs w:val="24"/>
        </w:rPr>
      </w:pPr>
      <w:r>
        <w:rPr>
          <w:rFonts w:ascii="Times New Roman" w:eastAsia="Times New Roman" w:hAnsi="Times New Roman" w:cs="Times New Roman"/>
          <w:b/>
          <w:bCs/>
          <w:sz w:val="28"/>
          <w:szCs w:val="28"/>
        </w:rPr>
        <w:t xml:space="preserve">2.3 Data Protection Act </w:t>
      </w:r>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r>
        <w:rPr>
          <w:rFonts w:ascii="Times New Roman" w:eastAsia="Times New Roman" w:hAnsi="Times New Roman" w:cs="Times New Roman"/>
          <w:b/>
          <w:bCs/>
          <w:sz w:val="28"/>
          <w:szCs w:val="28"/>
        </w:rPr>
        <w:t>2019</w:t>
      </w:r>
    </w:p>
    <w:p w:rsidR="00970B69" w:rsidRDefault="00CD57D7">
      <w:pPr>
        <w:spacing w:line="360" w:lineRule="auto"/>
        <w:rPr>
          <w:rFonts w:ascii="Times New Roman" w:hAnsi="Times New Roman" w:cs="Times New Roman"/>
        </w:rPr>
      </w:pPr>
      <w:r>
        <w:rPr>
          <w:rFonts w:ascii="Times New Roman" w:hAnsi="Times New Roman" w:cs="Times New Roman"/>
        </w:rPr>
        <w:t xml:space="preserve">This act gives effect to the right to privacy as enshrined in article 31(c) and (d) of the Constitution. It establishes the Office of the Data Protection Commissioner (ODPC), makes provision for the regulation of the processing of personal data and provides for the rights of data subjects and obligations of data controllers. Data is defined as information recorded as part of a relevant filing system. It should be processed in accordance with the right to privacy of the data subject in a lawful, fair and transparent manner for explicit, specified and legitimate purposes. Further, data </w:t>
      </w:r>
      <w:r>
        <w:rPr>
          <w:rFonts w:ascii="Times New Roman" w:hAnsi="Times New Roman" w:cs="Times New Roman"/>
        </w:rPr>
        <w:lastRenderedPageBreak/>
        <w:t>should not be kept in a form which identifies the data subjects for no longer than is necessary for the purposes which it was collected. It should also not be transferred outside Kenya, unless there is proof of adequate data protection safeguards or consent from the data subject.</w:t>
      </w:r>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Every data subject has several rights including: a right to be informed of the use to which their personal data is to be put,</w:t>
      </w:r>
      <w:r>
        <w:rPr>
          <w:rStyle w:val="FootnoteReference"/>
          <w:rFonts w:ascii="Times New Roman" w:eastAsia="Times New Roman" w:hAnsi="Times New Roman" w:cs="Times New Roman"/>
        </w:rPr>
        <w:footnoteReference w:id="9"/>
      </w:r>
      <w:r>
        <w:rPr>
          <w:rFonts w:ascii="Times New Roman" w:eastAsia="Times New Roman" w:hAnsi="Times New Roman" w:cs="Times New Roman"/>
        </w:rPr>
        <w:t xml:space="preserve"> access their personal data in custody of data controller or data processor, to object to the processing of all or part of their personal data, to correction of false or misleading data and to deletion of false or misleading data about them.</w:t>
      </w:r>
    </w:p>
    <w:p w:rsidR="003D3684" w:rsidRPr="003D3684" w:rsidRDefault="003D3684" w:rsidP="003D3684">
      <w:pPr>
        <w:spacing w:line="360" w:lineRule="auto"/>
        <w:rPr>
          <w:rFonts w:ascii="Times New Roman" w:hAnsi="Times New Roman" w:cs="Times New Roman"/>
        </w:rPr>
      </w:pPr>
      <w:r w:rsidRPr="003D3684">
        <w:rPr>
          <w:rFonts w:ascii="Times New Roman" w:hAnsi="Times New Roman" w:cs="Times New Roman"/>
        </w:rPr>
        <w:t>The Data Commissioner prescribes the threshold required for mandatory registration of data controllers and data processors. To make such determination, the Data Commissioner considers the nature of industry, the volumes of data processed, whether sensitive personal data is being processed and any other criteria the Data Commissioner may specify.</w:t>
      </w:r>
      <w:r w:rsidRPr="003D3684">
        <w:rPr>
          <w:rStyle w:val="FootnoteReference"/>
          <w:rFonts w:ascii="Times New Roman" w:hAnsi="Times New Roman" w:cs="Times New Roman"/>
        </w:rPr>
        <w:footnoteReference w:id="10"/>
      </w:r>
    </w:p>
    <w:p w:rsidR="003D3684" w:rsidRPr="003D3684" w:rsidRDefault="003D3684" w:rsidP="003D3684">
      <w:pPr>
        <w:spacing w:line="360" w:lineRule="auto"/>
        <w:rPr>
          <w:rFonts w:ascii="Times New Roman" w:hAnsi="Times New Roman" w:cs="Times New Roman"/>
        </w:rPr>
      </w:pPr>
      <w:r w:rsidRPr="003D3684">
        <w:rPr>
          <w:rFonts w:ascii="Times New Roman" w:hAnsi="Times New Roman" w:cs="Times New Roman"/>
        </w:rPr>
        <w:t>Every data controller or data processor is required to implement appropriate technical and organizational measures designed to implement the data protection principles in an effective manner and integrate necessary safeguards into the processing.</w:t>
      </w:r>
      <w:r w:rsidRPr="003D3684">
        <w:rPr>
          <w:rStyle w:val="FootnoteReference"/>
          <w:rFonts w:ascii="Times New Roman" w:hAnsi="Times New Roman" w:cs="Times New Roman"/>
        </w:rPr>
        <w:footnoteReference w:id="11"/>
      </w:r>
    </w:p>
    <w:p w:rsidR="003D3684" w:rsidRPr="003D3684" w:rsidRDefault="003D3684">
      <w:pPr>
        <w:spacing w:line="360" w:lineRule="auto"/>
        <w:rPr>
          <w:rFonts w:ascii="Times New Roman" w:hAnsi="Times New Roman" w:cs="Times New Roman"/>
        </w:rPr>
      </w:pPr>
      <w:r w:rsidRPr="003D3684">
        <w:rPr>
          <w:rFonts w:ascii="Times New Roman" w:hAnsi="Times New Roman" w:cs="Times New Roman"/>
        </w:rPr>
        <w:t xml:space="preserve">Where personal data has been accessed by an unauthorized person and there is a risk of harm to the data subject, a data controller is expected to notify the Data Commissioner without delay, within seventy-two hours of becoming aware of such breach and communicate to the data subject </w:t>
      </w:r>
      <w:r w:rsidRPr="003D3684">
        <w:rPr>
          <w:rFonts w:ascii="Times New Roman" w:hAnsi="Times New Roman" w:cs="Times New Roman"/>
        </w:rPr>
        <w:lastRenderedPageBreak/>
        <w:t>in writing within a reasonably practical period.</w:t>
      </w:r>
      <w:r w:rsidRPr="003D3684">
        <w:rPr>
          <w:rStyle w:val="FootnoteReference"/>
          <w:rFonts w:ascii="Times New Roman" w:hAnsi="Times New Roman" w:cs="Times New Roman"/>
        </w:rPr>
        <w:footnoteReference w:id="12"/>
      </w:r>
      <w:r w:rsidRPr="003D3684">
        <w:rPr>
          <w:rFonts w:ascii="Times New Roman" w:hAnsi="Times New Roman" w:cs="Times New Roman"/>
        </w:rPr>
        <w:t xml:space="preserve"> This is unless the identity of the data subject cannot be established.</w:t>
      </w:r>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In</w:t>
      </w:r>
      <w:r>
        <w:rPr>
          <w:rFonts w:ascii="Times New Roman" w:eastAsia="Times New Roman" w:hAnsi="Times New Roman" w:cs="Times New Roman"/>
          <w:b/>
          <w:bCs/>
          <w:i/>
          <w:iCs/>
        </w:rPr>
        <w:t xml:space="preserve"> Gichuhi &amp;2others v Data Protection Commissioner </w:t>
      </w:r>
      <w:r>
        <w:rPr>
          <w:rStyle w:val="FootnoteReference"/>
          <w:rFonts w:ascii="Times New Roman" w:eastAsia="Times New Roman" w:hAnsi="Times New Roman" w:cs="Times New Roman"/>
          <w:i/>
          <w:iCs/>
        </w:rPr>
        <w:footnoteReference w:id="13"/>
      </w:r>
      <w:r>
        <w:rPr>
          <w:rFonts w:ascii="Times New Roman" w:eastAsia="Times New Roman" w:hAnsi="Times New Roman" w:cs="Times New Roman"/>
          <w:i/>
          <w:iCs/>
        </w:rPr>
        <w:t xml:space="preserve"> </w:t>
      </w:r>
      <w:r>
        <w:rPr>
          <w:rFonts w:ascii="Times New Roman" w:eastAsia="Times New Roman" w:hAnsi="Times New Roman" w:cs="Times New Roman"/>
        </w:rPr>
        <w:t>the applicants discovered unauthorized and unlawful sharing of data and lodged a complaint with the ODPC. The court held  OPRC  should investigate a complaint within 90 days and a data controller has the duty to notify data subjects of their rights, the fact that personal data is being collected, the purpose for which the personal data is being collected and a description of the technical and organizational security measures taken to ensure the integrity and confidentiality of the data.</w:t>
      </w:r>
      <w:r>
        <w:rPr>
          <w:rStyle w:val="FootnoteReference"/>
          <w:rFonts w:ascii="Times New Roman" w:eastAsia="Times New Roman" w:hAnsi="Times New Roman" w:cs="Times New Roman"/>
        </w:rPr>
        <w:footnoteReference w:id="14"/>
      </w:r>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b/>
          <w:bCs/>
          <w:lang w:val="en-US"/>
        </w:rPr>
        <w:t>2.4 The Consumer Protection Act 2012</w:t>
      </w:r>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It was enacted to provide for the protection of the consumer and prevent unfair trade practices in consumer transactions.</w:t>
      </w:r>
      <w:r>
        <w:rPr>
          <w:rStyle w:val="FootnoteReference"/>
          <w:rFonts w:ascii="Times New Roman" w:eastAsia="Times New Roman" w:hAnsi="Times New Roman" w:cs="Times New Roman"/>
        </w:rPr>
        <w:footnoteReference w:id="15"/>
      </w:r>
      <w:r>
        <w:rPr>
          <w:rFonts w:ascii="Times New Roman" w:eastAsia="Times New Roman" w:hAnsi="Times New Roman" w:cs="Times New Roman"/>
        </w:rPr>
        <w:t xml:space="preserve"> It governs the protection of consumers including electronic transactions in the digital era. It protects consumers from all forms and means of unconscionable, unfair, unreasonable, unjust or otherwise improper trade practices including deceptive, misleading, unfair or fraudulent conduct.</w:t>
      </w:r>
      <w:r>
        <w:rPr>
          <w:rStyle w:val="FootnoteReference"/>
          <w:rFonts w:ascii="Times New Roman" w:eastAsia="Times New Roman" w:hAnsi="Times New Roman" w:cs="Times New Roman"/>
        </w:rPr>
        <w:footnoteReference w:id="16"/>
      </w:r>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The Act grants consumers the right to commence legal action on behalf of a class of persons in relation to any contract for the supply of goods and services to the consumer.</w:t>
      </w:r>
      <w:r>
        <w:rPr>
          <w:rStyle w:val="FootnoteReference"/>
          <w:rFonts w:ascii="Times New Roman" w:eastAsia="Times New Roman" w:hAnsi="Times New Roman" w:cs="Times New Roman"/>
        </w:rPr>
        <w:footnoteReference w:id="17"/>
      </w:r>
      <w:r>
        <w:rPr>
          <w:rFonts w:ascii="Times New Roman" w:eastAsia="Times New Roman" w:hAnsi="Times New Roman" w:cs="Times New Roman"/>
        </w:rPr>
        <w:t xml:space="preserve"> The Act also grants </w:t>
      </w:r>
      <w:r>
        <w:rPr>
          <w:rFonts w:ascii="Times New Roman" w:eastAsia="Times New Roman" w:hAnsi="Times New Roman" w:cs="Times New Roman"/>
        </w:rPr>
        <w:lastRenderedPageBreak/>
        <w:t>the consumer the right to terminate an agreement if the seller has engaged in unfair practice and seek any remedy available to them in law including suit for damages.</w:t>
      </w:r>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Furthermore, it regulates internet agreements as an internet agreement is defined as a consumer agreement formed by text-based internet communications.</w:t>
      </w:r>
      <w:r>
        <w:rPr>
          <w:rStyle w:val="FootnoteReference"/>
          <w:rFonts w:ascii="Times New Roman" w:eastAsia="Times New Roman" w:hAnsi="Times New Roman" w:cs="Times New Roman"/>
        </w:rPr>
        <w:footnoteReference w:id="18"/>
      </w:r>
      <w:r>
        <w:rPr>
          <w:rFonts w:ascii="Times New Roman" w:eastAsia="Times New Roman" w:hAnsi="Times New Roman" w:cs="Times New Roman"/>
        </w:rPr>
        <w:t xml:space="preserve"> It requires the supplier to provide the e-consumer an opportunity to accept or decline an offer before entrenching into an agreement. A copy of agreement should be provided to the consumer which discloses all the necessary information otherwise the consumer has the right to terminate the agreement within 7 days after receiving a copy. </w:t>
      </w:r>
      <w:r>
        <w:rPr>
          <w:rStyle w:val="FootnoteReference"/>
          <w:rFonts w:ascii="Times New Roman" w:eastAsia="Times New Roman" w:hAnsi="Times New Roman" w:cs="Times New Roman"/>
        </w:rPr>
        <w:footnoteReference w:id="19"/>
      </w:r>
    </w:p>
    <w:p w:rsidR="00970B69" w:rsidRDefault="00CD57D7">
      <w:pPr>
        <w:rPr>
          <w:rFonts w:ascii="Times New Roman" w:eastAsia="Times New Roman" w:hAnsi="Times New Roman" w:cs="Times New Roman"/>
        </w:rPr>
      </w:pPr>
      <w:r>
        <w:rPr>
          <w:rFonts w:ascii="Times New Roman" w:eastAsia="Times New Roman" w:hAnsi="Times New Roman" w:cs="Times New Roman"/>
        </w:rPr>
        <w:t xml:space="preserve"> The Act establishes Kenya Consumers Protection Advisory Committee whose duty is to advise consumers on their rights and responsibilities, investigate complaints and establish resolution mechanisms among other duties.</w:t>
      </w:r>
    </w:p>
    <w:p w:rsidR="00970B69" w:rsidRDefault="00CD57D7">
      <w:pPr>
        <w:rPr>
          <w:rFonts w:ascii="Times New Roman" w:hAnsi="Times New Roman" w:cs="Times New Roman"/>
          <w:szCs w:val="24"/>
        </w:rPr>
      </w:pPr>
      <w:r>
        <w:rPr>
          <w:rFonts w:ascii="Times New Roman" w:hAnsi="Times New Roman" w:cs="Times New Roman"/>
          <w:b/>
          <w:bCs/>
          <w:i/>
          <w:iCs/>
          <w:szCs w:val="24"/>
        </w:rPr>
        <w:t>Consumer Federation of Kenya v Fone Express [2014]</w:t>
      </w:r>
      <w:r>
        <w:rPr>
          <w:rFonts w:ascii="Times New Roman" w:hAnsi="Times New Roman" w:cs="Times New Roman"/>
          <w:szCs w:val="24"/>
        </w:rPr>
        <w:t xml:space="preserve"> illustrates the disadvantages a consumer faces on the internal policies of e-commerce companies that do not allow for inspection before payment in electronic transactions. In this case a customer had purchased a phone and computers from Fone Express that turned out to be defective and sought the help of COFEK in getting legal redress as the internal policies at the phone company do not address consumer interests sufficiently.</w:t>
      </w:r>
    </w:p>
    <w:p w:rsidR="00970B69" w:rsidRDefault="00CD57D7">
      <w:pPr>
        <w:spacing w:line="360" w:lineRule="auto"/>
        <w:rPr>
          <w:rFonts w:ascii="Times New Roman" w:eastAsia="Times New Roman" w:hAnsi="Times New Roman" w:cs="Times New Roman"/>
          <w:szCs w:val="24"/>
          <w:lang w:val="en-US"/>
        </w:rPr>
      </w:pPr>
      <w:r>
        <w:rPr>
          <w:rFonts w:ascii="Times New Roman" w:hAnsi="Times New Roman" w:cs="Times New Roman"/>
          <w:szCs w:val="24"/>
          <w:lang w:val="en-US"/>
        </w:rPr>
        <w:lastRenderedPageBreak/>
        <w:t xml:space="preserve">In the </w:t>
      </w:r>
      <w:r>
        <w:rPr>
          <w:rFonts w:ascii="Times New Roman" w:hAnsi="Times New Roman" w:cs="Times New Roman"/>
          <w:b/>
          <w:bCs/>
          <w:i/>
          <w:iCs/>
          <w:szCs w:val="24"/>
          <w:lang w:val="en-US"/>
        </w:rPr>
        <w:t>Marissella v Zuku</w:t>
      </w:r>
      <w:r>
        <w:rPr>
          <w:rFonts w:ascii="Times New Roman" w:hAnsi="Times New Roman" w:cs="Times New Roman"/>
          <w:szCs w:val="24"/>
          <w:lang w:val="en-US"/>
        </w:rPr>
        <w:t xml:space="preserve"> </w:t>
      </w:r>
      <w:r>
        <w:rPr>
          <w:rStyle w:val="FootnoteReference"/>
          <w:rFonts w:ascii="Times New Roman" w:hAnsi="Times New Roman" w:cs="Times New Roman"/>
          <w:szCs w:val="24"/>
          <w:lang w:val="en-US"/>
        </w:rPr>
        <w:footnoteReference w:id="20"/>
      </w:r>
      <w:r>
        <w:rPr>
          <w:rFonts w:ascii="Times New Roman" w:hAnsi="Times New Roman" w:cs="Times New Roman"/>
          <w:szCs w:val="24"/>
          <w:lang w:val="en-US"/>
        </w:rPr>
        <w:t>.The case was brought under sections 56(3) and (4) of the consumer protection Act on unconscionable conduct on the part of Zuku. The complainant alleged that Zuku had changed her monthly package without notifying her. As a result, she was required to pay more money than usual to continue enjoying her viewing. Zuku was held liable and ordered to refund the complainant as well as change her package accordingly.</w:t>
      </w:r>
      <w:r>
        <w:rPr>
          <w:rStyle w:val="FootnoteReference"/>
          <w:rFonts w:ascii="Times New Roman" w:hAnsi="Times New Roman" w:cs="Times New Roman"/>
          <w:szCs w:val="24"/>
          <w:lang w:val="en-US"/>
        </w:rPr>
        <w:footnoteReference w:id="21"/>
      </w:r>
    </w:p>
    <w:p w:rsidR="00970B69" w:rsidRDefault="00CD57D7">
      <w:pPr>
        <w:pStyle w:val="Heading2"/>
        <w:rPr>
          <w:rFonts w:ascii="Times New Roman" w:eastAsia="Times New Roman" w:hAnsi="Times New Roman" w:cs="Times New Roman"/>
          <w:b/>
          <w:bCs/>
          <w:color w:val="auto"/>
          <w:sz w:val="28"/>
          <w:szCs w:val="28"/>
        </w:rPr>
      </w:pPr>
      <w:bookmarkStart w:id="112" w:name="_Toc1498844559"/>
      <w:bookmarkStart w:id="113" w:name="_Toc833399764"/>
      <w:bookmarkStart w:id="114" w:name="_Toc1812983971"/>
      <w:bookmarkStart w:id="115" w:name="_Toc66542989"/>
      <w:bookmarkStart w:id="116" w:name="_Toc1813879488"/>
      <w:bookmarkStart w:id="117" w:name="_Toc1539280257"/>
      <w:bookmarkStart w:id="118" w:name="_Toc64709064"/>
      <w:bookmarkStart w:id="119" w:name="_Toc1213293643"/>
      <w:bookmarkStart w:id="120" w:name="_Toc20417111"/>
      <w:bookmarkStart w:id="121" w:name="_Toc1858924895"/>
      <w:bookmarkStart w:id="122" w:name="_Toc694605259"/>
      <w:bookmarkStart w:id="123" w:name="_Toc1411250715"/>
      <w:bookmarkStart w:id="124" w:name="_Toc511154768"/>
      <w:bookmarkStart w:id="125" w:name="_Toc122200253"/>
      <w:bookmarkStart w:id="126" w:name="_Toc1451115611"/>
      <w:bookmarkStart w:id="127" w:name="_Toc1583653152"/>
      <w:bookmarkStart w:id="128" w:name="_Toc627063160"/>
      <w:bookmarkStart w:id="129" w:name="_Toc1215077243"/>
      <w:bookmarkStart w:id="130" w:name="_Toc160996226"/>
      <w:r>
        <w:rPr>
          <w:rFonts w:ascii="Times New Roman" w:eastAsia="Times New Roman" w:hAnsi="Times New Roman" w:cs="Times New Roman"/>
          <w:b/>
          <w:bCs/>
          <w:color w:val="auto"/>
          <w:sz w:val="28"/>
          <w:szCs w:val="28"/>
        </w:rPr>
        <w:t>2.5 Computer Misuse and Cyber Crimes Act No.5 of 2018</w:t>
      </w:r>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p>
    <w:p w:rsidR="00970B69" w:rsidRDefault="00CD57D7">
      <w:pPr>
        <w:spacing w:line="360" w:lineRule="auto"/>
        <w:rPr>
          <w:rFonts w:ascii="Times New Roman" w:hAnsi="Times New Roman" w:cs="Times New Roman"/>
          <w:b/>
          <w:bCs/>
          <w:sz w:val="28"/>
          <w:szCs w:val="28"/>
        </w:rPr>
      </w:pPr>
      <w:r>
        <w:rPr>
          <w:rFonts w:ascii="Times New Roman" w:hAnsi="Times New Roman" w:cs="Times New Roman"/>
        </w:rPr>
        <w:t>The Act establishes the National Computer and Cybercrimes Co-ordination Committee responsible for advising the government on aspects relating to block chain technology, critical infrastructure and mobile money, developing a framework for training on prevention, detection and mitigation of computer and cybercrimes and coordinating efforts to combat cybercrimes in Kenya. It also outlines different offences such as unauthorized access and interference with a computer system and outlines the investigation procedures for such offences.  Other offences include cyber espionage, false publication, child pornography, computer forgery, computer fraud, cyber harassment, cybersquatting, phishing, cyber terrorism and fraudulent use of electronic data among others. It further lays out the procedures for international cooperation in dealing with computer and cyber-crimes issues.</w:t>
      </w:r>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 xml:space="preserve">Some of the sections of the Act have been challenged claiming that it violates the rights enshrined in the Constitution of Kenya 2010. For instance, in the </w:t>
      </w:r>
      <w:r>
        <w:rPr>
          <w:rFonts w:ascii="Times New Roman" w:eastAsia="Times New Roman" w:hAnsi="Times New Roman" w:cs="Times New Roman"/>
          <w:b/>
          <w:bCs/>
          <w:i/>
          <w:iCs/>
        </w:rPr>
        <w:t xml:space="preserve">Bloggers Association of Kenya (BAKE) v Attorney General </w:t>
      </w:r>
      <w:r>
        <w:rPr>
          <w:rFonts w:ascii="Times New Roman" w:eastAsia="Times New Roman" w:hAnsi="Times New Roman" w:cs="Times New Roman"/>
        </w:rPr>
        <w:t xml:space="preserve">the petitioners claimed that some sections of the act violated the right to access information particularly section 22 on false publication, section 23 on publication of false information, section 24 on child pornography, section 28 on cybersquatting and section 37 on </w:t>
      </w:r>
      <w:r>
        <w:rPr>
          <w:rFonts w:ascii="Times New Roman" w:eastAsia="Times New Roman" w:hAnsi="Times New Roman" w:cs="Times New Roman"/>
        </w:rPr>
        <w:lastRenderedPageBreak/>
        <w:t xml:space="preserve">wrongful distribution of obscene or intimate images. The court held that the offences are clear and unambiguous hence they are not inconsistent with the constitution. </w:t>
      </w:r>
      <w:r>
        <w:rPr>
          <w:rStyle w:val="FootnoteReference"/>
          <w:rFonts w:ascii="Times New Roman" w:eastAsia="Times New Roman" w:hAnsi="Times New Roman" w:cs="Times New Roman"/>
        </w:rPr>
        <w:footnoteReference w:id="22"/>
      </w:r>
      <w:r>
        <w:rPr>
          <w:rFonts w:ascii="Times New Roman" w:eastAsia="Times New Roman" w:hAnsi="Times New Roman" w:cs="Times New Roman"/>
        </w:rPr>
        <w:t xml:space="preserve"> </w:t>
      </w:r>
    </w:p>
    <w:p w:rsidR="00970B69" w:rsidRDefault="00CD57D7">
      <w:pPr>
        <w:pStyle w:val="Heading2"/>
        <w:rPr>
          <w:rFonts w:ascii="Times New Roman" w:eastAsia="Times New Roman" w:hAnsi="Times New Roman" w:cs="Times New Roman"/>
          <w:b/>
          <w:bCs/>
          <w:color w:val="auto"/>
          <w:sz w:val="28"/>
          <w:szCs w:val="28"/>
        </w:rPr>
      </w:pPr>
      <w:bookmarkStart w:id="131" w:name="_Toc990384121"/>
      <w:bookmarkStart w:id="132" w:name="_Toc245586670"/>
      <w:bookmarkStart w:id="133" w:name="_Toc310931005"/>
      <w:bookmarkStart w:id="134" w:name="_Toc1031616786"/>
      <w:bookmarkStart w:id="135" w:name="_Toc2108742999"/>
      <w:bookmarkStart w:id="136" w:name="_Toc607508818"/>
      <w:bookmarkStart w:id="137" w:name="_Toc250627535"/>
      <w:bookmarkStart w:id="138" w:name="_Toc1755634291"/>
      <w:bookmarkStart w:id="139" w:name="_Toc1758486707"/>
      <w:bookmarkStart w:id="140" w:name="_Toc307678612"/>
      <w:bookmarkStart w:id="141" w:name="_Toc406667948"/>
      <w:bookmarkStart w:id="142" w:name="_Toc1756704539"/>
      <w:bookmarkStart w:id="143" w:name="_Toc2007785236"/>
      <w:bookmarkStart w:id="144" w:name="_Toc1721406195"/>
      <w:bookmarkStart w:id="145" w:name="_Toc707945444"/>
      <w:bookmarkStart w:id="146" w:name="_Toc820863898"/>
      <w:bookmarkStart w:id="147" w:name="_Toc2097846073"/>
      <w:bookmarkStart w:id="148" w:name="_Toc1689243203"/>
      <w:bookmarkStart w:id="149" w:name="_Toc160996227"/>
      <w:r>
        <w:rPr>
          <w:rFonts w:ascii="Times New Roman" w:eastAsia="Times New Roman" w:hAnsi="Times New Roman" w:cs="Times New Roman"/>
          <w:b/>
          <w:bCs/>
          <w:color w:val="auto"/>
          <w:sz w:val="28"/>
          <w:szCs w:val="28"/>
        </w:rPr>
        <w:t>2.6 Science, Technology, and Innovation Act</w:t>
      </w:r>
      <w:r>
        <w:rPr>
          <w:rFonts w:ascii="Times New Roman" w:eastAsia="Times New Roman" w:hAnsi="Times New Roman" w:cs="Times New Roman"/>
          <w:b/>
          <w:bCs/>
          <w:color w:val="auto"/>
          <w:sz w:val="28"/>
          <w:szCs w:val="28"/>
          <w:lang w:val="en-US"/>
        </w:rPr>
        <w:t xml:space="preserve"> 2013</w:t>
      </w:r>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lang w:val="en-US"/>
        </w:rPr>
        <w:t>T</w:t>
      </w:r>
      <w:r>
        <w:rPr>
          <w:rFonts w:ascii="Times New Roman" w:eastAsia="Times New Roman" w:hAnsi="Times New Roman" w:cs="Times New Roman"/>
        </w:rPr>
        <w:t xml:space="preserve">he Science, Technology and Innovation Act of 2013 in Kenya plays a pivotal role by providing a legal and institutional framework for the governance of Information and Communication Technology (ICT). This act is not just a piece of legislation, but an embodiment of the Kenyan government's vision to integrate science, technology, and innovation into the country's socio-economic sector. </w:t>
      </w:r>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The Act goes beyond just supporting research and development. It also establishes clear policies and strategies for promoting science, technology, and innovation. A particular focus of these policies is the promotion of ICT, which the Act recognizes as a critical tool for driving socio-economic development in Kenya.</w:t>
      </w:r>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Furthermore, the Act provides for the protection and commercialization of innovation.</w:t>
      </w:r>
      <w:r>
        <w:rPr>
          <w:rStyle w:val="FootnoteReference"/>
          <w:rFonts w:ascii="Times New Roman" w:eastAsia="Times New Roman" w:hAnsi="Times New Roman" w:cs="Times New Roman"/>
        </w:rPr>
        <w:footnoteReference w:id="23"/>
      </w:r>
      <w:r>
        <w:rPr>
          <w:rFonts w:ascii="Times New Roman" w:eastAsia="Times New Roman" w:hAnsi="Times New Roman" w:cs="Times New Roman"/>
        </w:rPr>
        <w:t xml:space="preserve"> It not only acknowledges the potential of local innovators but also ensures their work is protected and can be commercialized. The Act also stipulates the responsibilities of both the government and private sector in the development of science, technology, and innovation. It sets out policies on intellectual property, data protection, and privacy – critical aspects in the governance of ICT. These policies help ensure that the ICT sector operates within a robust legal framework that maintains fair competition, protects user data, and respects individual privacy.</w:t>
      </w:r>
    </w:p>
    <w:p w:rsidR="00970B69" w:rsidRDefault="00CD57D7">
      <w:pPr>
        <w:pStyle w:val="Heading2"/>
        <w:rPr>
          <w:rFonts w:ascii="Times New Roman" w:eastAsia="Times New Roman" w:hAnsi="Times New Roman" w:cs="Times New Roman"/>
          <w:b/>
          <w:bCs/>
          <w:color w:val="auto"/>
          <w:sz w:val="28"/>
          <w:szCs w:val="28"/>
          <w:u w:val="single"/>
        </w:rPr>
      </w:pPr>
      <w:bookmarkStart w:id="150" w:name="_Toc36755453"/>
      <w:bookmarkStart w:id="151" w:name="_Toc1835289756"/>
      <w:bookmarkStart w:id="152" w:name="_Toc1036238410"/>
      <w:bookmarkStart w:id="153" w:name="_Toc782771630"/>
      <w:bookmarkStart w:id="154" w:name="_Toc37435035"/>
      <w:bookmarkStart w:id="155" w:name="_Toc647240523"/>
      <w:bookmarkStart w:id="156" w:name="_Toc26093380"/>
      <w:bookmarkStart w:id="157" w:name="_Toc1199885869"/>
      <w:bookmarkStart w:id="158" w:name="_Toc1637836525"/>
      <w:bookmarkStart w:id="159" w:name="_Toc2021645499"/>
      <w:bookmarkStart w:id="160" w:name="_Toc2116139090"/>
      <w:bookmarkStart w:id="161" w:name="_Toc721685519"/>
      <w:bookmarkStart w:id="162" w:name="_Toc1071124297"/>
      <w:bookmarkStart w:id="163" w:name="_Toc805131209"/>
      <w:bookmarkStart w:id="164" w:name="_Toc1827790378"/>
      <w:bookmarkStart w:id="165" w:name="_Toc68963898"/>
      <w:bookmarkStart w:id="166" w:name="_Toc1740097644"/>
      <w:bookmarkStart w:id="167" w:name="_Toc352643785"/>
      <w:bookmarkStart w:id="168" w:name="_Toc160996228"/>
      <w:r>
        <w:rPr>
          <w:rFonts w:ascii="Times New Roman" w:eastAsia="Times New Roman" w:hAnsi="Times New Roman" w:cs="Times New Roman"/>
          <w:b/>
          <w:bCs/>
          <w:color w:val="auto"/>
          <w:sz w:val="28"/>
          <w:szCs w:val="28"/>
        </w:rPr>
        <w:lastRenderedPageBreak/>
        <w:t>2.7 The Competition Act</w:t>
      </w:r>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Competition Act was enacted in 2010 as the primary legal and regulatory framework governing competition and protects consumers from unfair and misleading market conduct. Section 7 of the Act establishes the </w:t>
      </w:r>
      <w:r>
        <w:rPr>
          <w:rFonts w:ascii="Times New Roman" w:eastAsia="Times New Roman" w:hAnsi="Times New Roman" w:cs="Times New Roman"/>
          <w:b/>
          <w:bCs/>
        </w:rPr>
        <w:t>Competition Authority of Kenya</w:t>
      </w:r>
      <w:r>
        <w:rPr>
          <w:rFonts w:ascii="Times New Roman" w:eastAsia="Times New Roman" w:hAnsi="Times New Roman" w:cs="Times New Roman"/>
        </w:rPr>
        <w:t xml:space="preserve"> that ensures fair market practices, promotes competition, and safeguards consumer welfare in Kenya by enforcing antitrust laws and regulations.</w:t>
      </w:r>
      <w:r>
        <w:rPr>
          <w:rStyle w:val="FootnoteReference"/>
          <w:rFonts w:ascii="Times New Roman" w:eastAsia="Times New Roman" w:hAnsi="Times New Roman" w:cs="Times New Roman"/>
        </w:rPr>
        <w:footnoteReference w:id="24"/>
      </w:r>
      <w:r>
        <w:rPr>
          <w:rFonts w:ascii="Times New Roman" w:eastAsia="Times New Roman" w:hAnsi="Times New Roman" w:cs="Times New Roman"/>
        </w:rPr>
        <w:t xml:space="preserve"> An overlap exists in the mandate of the Communications Authority (CA) and the Competition Authority (CAK). While the CA is mandated to ensure competition within the telecommunication sector, the CAK has a broader economy-wide mandate to enforce competition under the Competition Act.  </w:t>
      </w:r>
    </w:p>
    <w:p w:rsidR="00970B69" w:rsidRDefault="00CD57D7">
      <w:pPr>
        <w:rPr>
          <w:rFonts w:cs="Times New Roman"/>
          <w:b/>
          <w:i/>
          <w:szCs w:val="24"/>
        </w:rPr>
      </w:pPr>
      <w:r>
        <w:rPr>
          <w:rFonts w:ascii="Times New Roman" w:eastAsia="Times New Roman" w:hAnsi="Times New Roman" w:cs="Times New Roman"/>
        </w:rPr>
        <w:t xml:space="preserve">The Act also establishes the </w:t>
      </w:r>
      <w:r>
        <w:rPr>
          <w:rFonts w:ascii="Times New Roman" w:eastAsia="Times New Roman" w:hAnsi="Times New Roman" w:cs="Times New Roman"/>
          <w:b/>
          <w:bCs/>
        </w:rPr>
        <w:t>Competition Tribunal</w:t>
      </w:r>
      <w:r>
        <w:rPr>
          <w:rFonts w:ascii="Times New Roman" w:eastAsia="Times New Roman" w:hAnsi="Times New Roman" w:cs="Times New Roman"/>
        </w:rPr>
        <w:t xml:space="preserve"> which is regulated by the Competition Tribunal (Procedure) Rules, 2017.</w:t>
      </w:r>
      <w:r>
        <w:rPr>
          <w:rStyle w:val="FootnoteReference"/>
          <w:rFonts w:ascii="Times New Roman" w:eastAsia="Times New Roman" w:hAnsi="Times New Roman" w:cs="Times New Roman"/>
        </w:rPr>
        <w:footnoteReference w:id="25"/>
      </w:r>
      <w:r>
        <w:rPr>
          <w:rFonts w:ascii="Times New Roman" w:eastAsia="Times New Roman" w:hAnsi="Times New Roman" w:cs="Times New Roman"/>
        </w:rPr>
        <w:t xml:space="preserve"> The tribunal reviews or determines appeals on decisions of the CAK or deals with any matter referred to it by a competent court of law.</w:t>
      </w:r>
      <w:r>
        <w:rPr>
          <w:rStyle w:val="FootnoteReference"/>
          <w:rFonts w:ascii="Times New Roman" w:eastAsia="Times New Roman" w:hAnsi="Times New Roman" w:cs="Times New Roman"/>
        </w:rPr>
        <w:footnoteReference w:id="26"/>
      </w:r>
      <w:r>
        <w:rPr>
          <w:rFonts w:cs="Times New Roman"/>
          <w:b/>
          <w:i/>
          <w:szCs w:val="24"/>
        </w:rPr>
        <w:t xml:space="preserve"> </w:t>
      </w:r>
    </w:p>
    <w:p w:rsidR="00970B69" w:rsidRDefault="00CD57D7">
      <w:pPr>
        <w:rPr>
          <w:rFonts w:ascii="Times New Roman" w:hAnsi="Times New Roman" w:cs="Times New Roman"/>
          <w:szCs w:val="24"/>
          <w:lang w:val="en-US"/>
        </w:rPr>
      </w:pPr>
      <w:bookmarkStart w:id="169" w:name="_Toc762682252"/>
      <w:bookmarkStart w:id="170" w:name="_Toc1453272743"/>
      <w:bookmarkStart w:id="171" w:name="_Toc1621566041"/>
      <w:bookmarkStart w:id="172" w:name="_Toc1923106580"/>
      <w:bookmarkStart w:id="173" w:name="_Toc1443911594"/>
      <w:bookmarkStart w:id="174" w:name="_Toc1144133099"/>
      <w:bookmarkStart w:id="175" w:name="_Toc121983467"/>
      <w:bookmarkStart w:id="176" w:name="_Toc1258827590"/>
      <w:bookmarkStart w:id="177" w:name="_Toc519725063"/>
      <w:bookmarkStart w:id="178" w:name="_Toc1747879364"/>
      <w:bookmarkStart w:id="179" w:name="_Toc950250226"/>
      <w:bookmarkStart w:id="180" w:name="_Toc295580839"/>
      <w:bookmarkStart w:id="181" w:name="_Toc1827114311"/>
      <w:bookmarkStart w:id="182" w:name="_Toc217515548"/>
      <w:bookmarkStart w:id="183" w:name="_Toc1316466613"/>
      <w:bookmarkStart w:id="184" w:name="_Toc1939398792"/>
      <w:bookmarkStart w:id="185" w:name="_Toc439270094"/>
      <w:bookmarkStart w:id="186" w:name="_Toc407106421"/>
      <w:r>
        <w:rPr>
          <w:rFonts w:ascii="Times New Roman" w:hAnsi="Times New Roman" w:cs="Times New Roman"/>
          <w:szCs w:val="24"/>
          <w:lang w:val="en-US"/>
        </w:rPr>
        <w:t xml:space="preserve">In the case of </w:t>
      </w:r>
      <w:r>
        <w:rPr>
          <w:rFonts w:ascii="Times New Roman" w:hAnsi="Times New Roman" w:cs="Times New Roman"/>
          <w:b/>
          <w:bCs/>
          <w:i/>
          <w:iCs/>
          <w:szCs w:val="24"/>
          <w:lang w:val="en-US"/>
        </w:rPr>
        <w:t>Mr. Stephen v Zuku</w:t>
      </w:r>
      <w:r>
        <w:rPr>
          <w:rStyle w:val="FootnoteReference"/>
          <w:rFonts w:ascii="Times New Roman" w:hAnsi="Times New Roman" w:cs="Times New Roman"/>
          <w:szCs w:val="24"/>
          <w:lang w:val="en-US"/>
        </w:rPr>
        <w:footnoteReference w:id="27"/>
      </w:r>
      <w:r>
        <w:rPr>
          <w:rFonts w:ascii="Times New Roman" w:hAnsi="Times New Roman" w:cs="Times New Roman"/>
          <w:szCs w:val="24"/>
          <w:lang w:val="en-US"/>
        </w:rPr>
        <w:t xml:space="preserve">, Mr. Stephen complained that there was frequent downtime of the Zuku network in his area. He complained that there was unconscionable conduct from the service provider that is contrary to section 56(1)(2)(a) of the competition authority Act on unconscionable conduct from a supplier to a consumer. The authority intervened in the matter and </w:t>
      </w:r>
      <w:r>
        <w:rPr>
          <w:rFonts w:ascii="Times New Roman" w:hAnsi="Times New Roman" w:cs="Times New Roman"/>
          <w:szCs w:val="24"/>
          <w:lang w:val="en-US"/>
        </w:rPr>
        <w:lastRenderedPageBreak/>
        <w:t>resolved it to the customer’s satisfaction rectifying the mistake that was being done by the service provider.</w:t>
      </w:r>
      <w:r>
        <w:rPr>
          <w:rStyle w:val="FootnoteReference"/>
          <w:rFonts w:ascii="Times New Roman" w:hAnsi="Times New Roman" w:cs="Times New Roman"/>
          <w:szCs w:val="24"/>
          <w:lang w:val="en-US"/>
        </w:rPr>
        <w:footnoteReference w:id="28"/>
      </w:r>
    </w:p>
    <w:p w:rsidR="003D3684" w:rsidRPr="00E27AFD" w:rsidRDefault="003D3684" w:rsidP="003D3684">
      <w:pPr>
        <w:spacing w:line="360" w:lineRule="auto"/>
        <w:rPr>
          <w:rFonts w:ascii="Times New Roman" w:hAnsi="Times New Roman" w:cs="Times New Roman"/>
          <w:b/>
          <w:u w:val="single"/>
        </w:rPr>
      </w:pPr>
      <w:r w:rsidRPr="00E27AFD">
        <w:rPr>
          <w:rFonts w:ascii="Times New Roman" w:hAnsi="Times New Roman" w:cs="Times New Roman"/>
          <w:b/>
          <w:u w:val="single"/>
        </w:rPr>
        <w:t xml:space="preserve">Duty of Advocates </w:t>
      </w:r>
    </w:p>
    <w:p w:rsidR="003D3684" w:rsidRPr="00E27AFD" w:rsidRDefault="003D3684" w:rsidP="003D3684">
      <w:pPr>
        <w:spacing w:line="360" w:lineRule="auto"/>
        <w:rPr>
          <w:rFonts w:ascii="Times New Roman" w:hAnsi="Times New Roman" w:cs="Times New Roman"/>
        </w:rPr>
      </w:pPr>
      <w:r w:rsidRPr="00E27AFD">
        <w:rPr>
          <w:rFonts w:ascii="Times New Roman" w:hAnsi="Times New Roman" w:cs="Times New Roman"/>
        </w:rPr>
        <w:t>Advocates play a crucial role in ensuring that business activities fall within the CAK mandate. This includes:</w:t>
      </w:r>
    </w:p>
    <w:p w:rsidR="003D3684" w:rsidRPr="003D3684" w:rsidRDefault="003D3684" w:rsidP="003D3684">
      <w:pPr>
        <w:pStyle w:val="ListParagraph"/>
        <w:numPr>
          <w:ilvl w:val="0"/>
          <w:numId w:val="5"/>
        </w:numPr>
        <w:spacing w:line="360" w:lineRule="auto"/>
        <w:jc w:val="both"/>
        <w:rPr>
          <w:rFonts w:ascii="Times New Roman" w:hAnsi="Times New Roman" w:cs="Times New Roman"/>
          <w:sz w:val="24"/>
          <w:szCs w:val="24"/>
        </w:rPr>
      </w:pPr>
      <w:r w:rsidRPr="003D3684">
        <w:rPr>
          <w:rFonts w:ascii="Times New Roman" w:hAnsi="Times New Roman" w:cs="Times New Roman"/>
          <w:sz w:val="24"/>
          <w:szCs w:val="24"/>
        </w:rPr>
        <w:t>Mergers and Acquisition review- Advocates assist businesses in navigating the merger control process by advising on the legal requirements for mergers and acquisitions and representing clients before the CAK in merger review proceedings.</w:t>
      </w:r>
    </w:p>
    <w:p w:rsidR="003D3684" w:rsidRPr="003D3684" w:rsidRDefault="003D3684" w:rsidP="003D3684">
      <w:pPr>
        <w:pStyle w:val="ListParagraph"/>
        <w:numPr>
          <w:ilvl w:val="0"/>
          <w:numId w:val="5"/>
        </w:numPr>
        <w:spacing w:line="360" w:lineRule="auto"/>
        <w:jc w:val="both"/>
        <w:rPr>
          <w:rFonts w:ascii="Times New Roman" w:hAnsi="Times New Roman" w:cs="Times New Roman"/>
          <w:sz w:val="24"/>
          <w:szCs w:val="24"/>
        </w:rPr>
      </w:pPr>
      <w:r w:rsidRPr="003D3684">
        <w:rPr>
          <w:rFonts w:ascii="Times New Roman" w:eastAsia="Times New Roman" w:hAnsi="Times New Roman" w:cs="Times New Roman"/>
          <w:sz w:val="24"/>
          <w:szCs w:val="24"/>
        </w:rPr>
        <w:t>Legal Compliance: Advocates help businesses understand and comply with the Competition Act's requirements. They offer legal counsel on how to set up agreements, contracts, and corporate operations so that competition law is adhered to.</w:t>
      </w:r>
    </w:p>
    <w:p w:rsidR="003D3684" w:rsidRPr="003D3684" w:rsidRDefault="003D3684" w:rsidP="003D3684">
      <w:pPr>
        <w:pStyle w:val="ListParagraph"/>
        <w:numPr>
          <w:ilvl w:val="0"/>
          <w:numId w:val="5"/>
        </w:numPr>
        <w:spacing w:line="360" w:lineRule="auto"/>
        <w:jc w:val="both"/>
        <w:rPr>
          <w:rFonts w:ascii="Times New Roman" w:hAnsi="Times New Roman" w:cs="Times New Roman"/>
          <w:sz w:val="24"/>
          <w:szCs w:val="24"/>
        </w:rPr>
      </w:pPr>
      <w:r w:rsidRPr="003D3684">
        <w:rPr>
          <w:rFonts w:ascii="Times New Roman" w:hAnsi="Times New Roman" w:cs="Times New Roman"/>
          <w:sz w:val="24"/>
          <w:szCs w:val="24"/>
        </w:rPr>
        <w:t>Representation- advocates represent businesses in hearing conferences for oral representations in instances of investigation into prohibited practices.</w:t>
      </w:r>
      <w:r w:rsidRPr="003D3684">
        <w:rPr>
          <w:rStyle w:val="FootnoteReference"/>
          <w:rFonts w:ascii="Times New Roman" w:hAnsi="Times New Roman" w:cs="Times New Roman"/>
          <w:sz w:val="24"/>
          <w:szCs w:val="24"/>
        </w:rPr>
        <w:footnoteReference w:id="29"/>
      </w:r>
    </w:p>
    <w:p w:rsidR="003D3684" w:rsidRPr="003D3684" w:rsidRDefault="003D3684" w:rsidP="003D3684">
      <w:pPr>
        <w:pStyle w:val="ListParagraph"/>
        <w:numPr>
          <w:ilvl w:val="0"/>
          <w:numId w:val="5"/>
        </w:numPr>
        <w:spacing w:line="360" w:lineRule="auto"/>
        <w:jc w:val="both"/>
        <w:rPr>
          <w:rFonts w:ascii="Times New Roman" w:hAnsi="Times New Roman" w:cs="Times New Roman"/>
          <w:sz w:val="24"/>
          <w:szCs w:val="24"/>
        </w:rPr>
      </w:pPr>
      <w:r w:rsidRPr="003D3684">
        <w:rPr>
          <w:rFonts w:ascii="Times New Roman" w:hAnsi="Times New Roman" w:cs="Times New Roman"/>
          <w:sz w:val="24"/>
          <w:szCs w:val="24"/>
        </w:rPr>
        <w:t>Appeals and Litigation- advocates represent clients in appeals of the Authority’s decisions before the Competition Tribunal or higher courts.</w:t>
      </w:r>
    </w:p>
    <w:p w:rsidR="003D3684" w:rsidRPr="003D3684" w:rsidRDefault="003D3684" w:rsidP="003D3684">
      <w:pPr>
        <w:pStyle w:val="ListParagraph"/>
        <w:numPr>
          <w:ilvl w:val="0"/>
          <w:numId w:val="5"/>
        </w:numPr>
        <w:spacing w:line="360" w:lineRule="auto"/>
        <w:jc w:val="both"/>
        <w:rPr>
          <w:rFonts w:ascii="Times New Roman" w:hAnsi="Times New Roman" w:cs="Times New Roman"/>
          <w:sz w:val="24"/>
          <w:szCs w:val="24"/>
        </w:rPr>
      </w:pPr>
      <w:r w:rsidRPr="003D3684">
        <w:rPr>
          <w:rFonts w:ascii="Times New Roman" w:hAnsi="Times New Roman" w:cs="Times New Roman"/>
          <w:bCs/>
          <w:sz w:val="24"/>
          <w:szCs w:val="24"/>
        </w:rPr>
        <w:t>Preventive Measures</w:t>
      </w:r>
      <w:r w:rsidRPr="003D3684">
        <w:rPr>
          <w:rFonts w:ascii="Times New Roman" w:hAnsi="Times New Roman" w:cs="Times New Roman"/>
          <w:sz w:val="24"/>
          <w:szCs w:val="24"/>
        </w:rPr>
        <w:t>: Advocates work with businesses to identify and mitigate potential anti-competitive practices by helping companies develop internal policies and procedures to ensure compliance with competition law and avoid engaging in activities that could attract scrutiny from the Competition Authority.</w:t>
      </w:r>
    </w:p>
    <w:p w:rsidR="00970B69" w:rsidRDefault="00CD57D7">
      <w:pPr>
        <w:pStyle w:val="Heading2"/>
        <w:rPr>
          <w:rFonts w:ascii="Times New Roman" w:eastAsia="Times New Roman" w:hAnsi="Times New Roman" w:cs="Times New Roman"/>
          <w:b/>
          <w:bCs/>
          <w:color w:val="auto"/>
          <w:sz w:val="28"/>
          <w:szCs w:val="28"/>
        </w:rPr>
      </w:pPr>
      <w:bookmarkStart w:id="187" w:name="_Toc160996229"/>
      <w:r>
        <w:rPr>
          <w:rFonts w:ascii="Times New Roman" w:eastAsia="Times New Roman" w:hAnsi="Times New Roman" w:cs="Times New Roman"/>
          <w:b/>
          <w:bCs/>
          <w:color w:val="auto"/>
          <w:sz w:val="28"/>
          <w:szCs w:val="28"/>
        </w:rPr>
        <w:lastRenderedPageBreak/>
        <w:t>2.8 Evidence Act Cap 80</w:t>
      </w:r>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Lilly Graham defines the law of evidence as the law that governs the proof of facts in legal proceedings.</w:t>
      </w:r>
      <w:r>
        <w:rPr>
          <w:rStyle w:val="FootnoteReference"/>
          <w:rFonts w:ascii="Times New Roman" w:eastAsia="Times New Roman" w:hAnsi="Times New Roman" w:cs="Times New Roman"/>
        </w:rPr>
        <w:footnoteReference w:id="30"/>
      </w:r>
      <w:r>
        <w:rPr>
          <w:rFonts w:ascii="Times New Roman" w:eastAsia="Times New Roman" w:hAnsi="Times New Roman" w:cs="Times New Roman"/>
        </w:rPr>
        <w:t xml:space="preserve"> The nexus between evidence law and ICT is best captured by Juhana Riekkinen in the following words, “The development of information and communication technologies and the associated societal development towards the network society, have significantly transformed the context of legal fact-finding.”</w:t>
      </w:r>
      <w:r>
        <w:rPr>
          <w:rStyle w:val="FootnoteReference"/>
          <w:rFonts w:ascii="Times New Roman" w:eastAsia="Times New Roman" w:hAnsi="Times New Roman" w:cs="Times New Roman"/>
        </w:rPr>
        <w:footnoteReference w:id="31"/>
      </w:r>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Evidence Act has been amended several times to incorporate recent changes in ICT including the 2009 amendment of the Kenya Communication Act. The most significant one of those however, is the introduction of section 106A and 106B on electronic evidence. The two provisions cover proof and admissibility of electronic records. Further amendments introduced section 78A which allows the admission of electronic messages and digital material as evidence in legal proceedings. </w:t>
      </w:r>
      <w:r>
        <w:rPr>
          <w:rStyle w:val="FootnoteReference"/>
          <w:rFonts w:ascii="Times New Roman" w:eastAsia="Times New Roman" w:hAnsi="Times New Roman" w:cs="Times New Roman"/>
        </w:rPr>
        <w:footnoteReference w:id="32"/>
      </w:r>
      <w:r w:rsidR="00362072">
        <w:rPr>
          <w:rFonts w:ascii="Times New Roman" w:eastAsia="Times New Roman" w:hAnsi="Times New Roman" w:cs="Times New Roman"/>
        </w:rPr>
        <w:t xml:space="preserve"> For its authentication</w:t>
      </w:r>
      <w:r w:rsidR="00362072" w:rsidRPr="00362072">
        <w:rPr>
          <w:rFonts w:ascii="Times New Roman" w:eastAsia="Times New Roman" w:hAnsi="Times New Roman" w:cs="Times New Roman"/>
        </w:rPr>
        <w:t>, any electronic evidence to be deemed admissible must be accompanied by a certificate in terms of Section 106B (4).</w:t>
      </w:r>
    </w:p>
    <w:p w:rsidR="00970B69" w:rsidRDefault="00CD57D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2.9 National Cohesion and Integration Commission Act </w:t>
      </w:r>
    </w:p>
    <w:p w:rsidR="00970B69" w:rsidRDefault="00CD57D7">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rPr>
        <w:t>The establishment of NCIC recognized the need for a national institution to promote national identity and values, mitigate ethno-political competition and ethnically motivated violence, eliminate discrimination on ethnic, racial and religious basis and promote national reconciliation.</w:t>
      </w:r>
      <w:r>
        <w:rPr>
          <w:rStyle w:val="FootnoteReference"/>
          <w:rFonts w:ascii="Times New Roman" w:eastAsia="Times New Roman" w:hAnsi="Times New Roman" w:cs="Times New Roman"/>
        </w:rPr>
        <w:footnoteReference w:id="33"/>
      </w:r>
      <w:r>
        <w:rPr>
          <w:rFonts w:ascii="Times New Roman" w:eastAsia="Times New Roman" w:hAnsi="Times New Roman" w:cs="Times New Roman"/>
        </w:rPr>
        <w:t xml:space="preserve"> </w:t>
      </w:r>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The Act purposefully outlaws hate speech, dissemination of false publications and incitement to violence, such offences are made through social media among other ways of disseminating information, thus it regulates the Information, Communication and Technology in Kenya.</w:t>
      </w:r>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In section 62 persons who utter words with intend to incite feelings of contempt, hatred, hostility, violence, or discrimination against others on basis of ethnicity, commits an offence. It furthers states that, newspapers, radio stations or other media enterprises that publishes the utterances referred herein above commit an offence and shall be liable on conviction to a fine.</w:t>
      </w:r>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Section 13 stipulates that persons who use threatening, abusive or insulting words or behaviour, or displays any written material; publishes or distributes written material; presents or directs the performance the public performance of a play; distributes, shows or plays, a recording of visual images; or provides, produces or directs a Programme, commits an offence if such person intends thereby to stir up ethnic hatred and shall be liable to a fine or to imprisonment.</w:t>
      </w:r>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NCIC Act gives the commission all the powers necessary for the proper performance of its functions and subject not to the direction or control of any other person or authority. </w:t>
      </w:r>
      <w:r>
        <w:rPr>
          <w:rStyle w:val="FootnoteReference"/>
          <w:rFonts w:ascii="Times New Roman" w:eastAsia="Times New Roman" w:hAnsi="Times New Roman" w:cs="Times New Roman"/>
        </w:rPr>
        <w:footnoteReference w:id="34"/>
      </w:r>
    </w:p>
    <w:p w:rsidR="00970B69" w:rsidRDefault="00CD57D7">
      <w:pPr>
        <w:pStyle w:val="Heading2"/>
        <w:rPr>
          <w:rFonts w:ascii="Times New Roman" w:eastAsia="Times New Roman" w:hAnsi="Times New Roman" w:cs="Times New Roman"/>
          <w:b/>
          <w:bCs/>
          <w:color w:val="000000"/>
          <w:sz w:val="28"/>
          <w:szCs w:val="28"/>
        </w:rPr>
      </w:pPr>
      <w:bookmarkStart w:id="188" w:name="_Toc781845231"/>
      <w:bookmarkStart w:id="189" w:name="_Toc13087682"/>
      <w:bookmarkStart w:id="190" w:name="_Toc1518422602"/>
      <w:bookmarkStart w:id="191" w:name="_Toc257796031"/>
      <w:bookmarkStart w:id="192" w:name="_Toc6592723"/>
      <w:bookmarkStart w:id="193" w:name="_Toc1270551803"/>
      <w:bookmarkStart w:id="194" w:name="_Toc1008169218"/>
      <w:bookmarkStart w:id="195" w:name="_Toc803878401"/>
      <w:bookmarkStart w:id="196" w:name="_Toc73512125"/>
      <w:bookmarkStart w:id="197" w:name="_Toc1176337772"/>
      <w:bookmarkStart w:id="198" w:name="_Toc905477199"/>
      <w:bookmarkStart w:id="199" w:name="_Toc253783178"/>
      <w:bookmarkStart w:id="200" w:name="_Toc1876700258"/>
      <w:bookmarkStart w:id="201" w:name="_Toc1053307191"/>
      <w:bookmarkStart w:id="202" w:name="_Toc1428785775"/>
      <w:bookmarkStart w:id="203" w:name="_Toc764691023"/>
      <w:bookmarkStart w:id="204" w:name="_Toc1864681282"/>
      <w:bookmarkStart w:id="205" w:name="_Toc1118360344"/>
      <w:bookmarkStart w:id="206" w:name="_Toc160996230"/>
      <w:r>
        <w:rPr>
          <w:rFonts w:ascii="Times New Roman" w:eastAsia="Times New Roman" w:hAnsi="Times New Roman" w:cs="Times New Roman"/>
          <w:b/>
          <w:bCs/>
          <w:color w:val="000000"/>
          <w:sz w:val="28"/>
          <w:szCs w:val="28"/>
        </w:rPr>
        <w:t>2.10 Media Council Act</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r>
        <w:rPr>
          <w:rFonts w:ascii="Times New Roman" w:eastAsia="Times New Roman" w:hAnsi="Times New Roman" w:cs="Times New Roman"/>
          <w:b/>
          <w:bCs/>
          <w:color w:val="000000"/>
          <w:sz w:val="28"/>
          <w:szCs w:val="28"/>
        </w:rPr>
        <w:t xml:space="preserve"> </w:t>
      </w:r>
    </w:p>
    <w:p w:rsidR="00970B69" w:rsidRDefault="00CD57D7">
      <w:pPr>
        <w:spacing w:line="360" w:lineRule="auto"/>
        <w:rPr>
          <w:rFonts w:ascii="Times New Roman" w:hAnsi="Times New Roman" w:cs="Times New Roman"/>
          <w:b/>
          <w:bCs/>
          <w:color w:val="000000"/>
          <w:sz w:val="28"/>
          <w:szCs w:val="28"/>
        </w:rPr>
      </w:pPr>
      <w:r>
        <w:rPr>
          <w:rFonts w:ascii="Times New Roman" w:hAnsi="Times New Roman" w:cs="Times New Roman"/>
          <w:lang w:val="en-US"/>
        </w:rPr>
        <w:t>The Act gives effect to Article 34 (5) of the Constitution that guarantees freedom of media and mandates the Parliament to enact legislation that provides for the establishment of an independent a body, which shall set media standards, regulate, and monitor compliance with those standards.</w:t>
      </w:r>
    </w:p>
    <w:p w:rsidR="00970B69" w:rsidRDefault="00CD57D7">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 xml:space="preserve">The Act applies to; Media enterprises, journalists, media practitioners, foreign journalist accredited by the Media Council of Kenya, and Consumers of media services (the public falls under this </w:t>
      </w:r>
      <w:r>
        <w:rPr>
          <w:rFonts w:ascii="Times New Roman" w:eastAsia="Times New Roman" w:hAnsi="Times New Roman" w:cs="Times New Roman"/>
          <w:lang w:val="en-US"/>
        </w:rPr>
        <w:lastRenderedPageBreak/>
        <w:t xml:space="preserve">category).The Act  </w:t>
      </w:r>
      <w:r>
        <w:rPr>
          <w:rFonts w:ascii="Times New Roman" w:hAnsi="Times New Roman"/>
          <w:szCs w:val="24"/>
        </w:rPr>
        <w:t>governs the conduct and practice of all media practitioners in the country</w:t>
      </w:r>
      <w:r>
        <w:rPr>
          <w:rFonts w:ascii="Times New Roman" w:eastAsia="Times New Roman" w:hAnsi="Times New Roman" w:cs="Times New Roman"/>
          <w:lang w:val="en-US"/>
        </w:rPr>
        <w:t xml:space="preserve"> .</w:t>
      </w:r>
      <w:r>
        <w:rPr>
          <w:rStyle w:val="FootnoteReference"/>
          <w:rFonts w:ascii="Times New Roman" w:eastAsia="Times New Roman" w:hAnsi="Times New Roman" w:cs="Times New Roman"/>
          <w:lang w:val="en-US"/>
        </w:rPr>
        <w:footnoteReference w:id="35"/>
      </w:r>
      <w:r>
        <w:rPr>
          <w:rFonts w:ascii="Times New Roman" w:eastAsia="Times New Roman" w:hAnsi="Times New Roman" w:cs="Times New Roman"/>
          <w:lang w:val="en-US"/>
        </w:rPr>
        <w:t xml:space="preserve"> In exercising the right to freedom of expression they are required to respect the interests of all sections of society and  be guided by the national values and principles enumerated in Article 10 of the Constitution.</w:t>
      </w:r>
      <w:r>
        <w:rPr>
          <w:rStyle w:val="FootnoteReference"/>
          <w:rFonts w:ascii="Times New Roman" w:eastAsia="Times New Roman" w:hAnsi="Times New Roman" w:cs="Times New Roman"/>
          <w:lang w:val="en-US"/>
        </w:rPr>
        <w:footnoteReference w:id="36"/>
      </w:r>
    </w:p>
    <w:p w:rsidR="00970B69" w:rsidRDefault="00CD57D7">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It limits the right of freedom of expression including propaganda for war, incitement to violence, hate speech, or advocacy of hatred that constitutes ethnic incitement, or incitement to cause harm, or based on any ground of discrimination. It also demands that journalists or the media should protect national security, public order, public health and public morals.</w:t>
      </w:r>
    </w:p>
    <w:p w:rsidR="00970B69" w:rsidRDefault="00CD57D7">
      <w:pPr>
        <w:spacing w:line="360" w:lineRule="auto"/>
        <w:rPr>
          <w:rFonts w:ascii="Times New Roman" w:hAnsi="Times New Roman"/>
          <w:b/>
          <w:bCs/>
          <w:szCs w:val="24"/>
        </w:rPr>
      </w:pPr>
      <w:r>
        <w:rPr>
          <w:rFonts w:ascii="Times New Roman" w:hAnsi="Times New Roman"/>
          <w:b/>
          <w:bCs/>
          <w:szCs w:val="24"/>
        </w:rPr>
        <w:t>The Communication and Multimedia Appeals Tribunal (CMAT</w:t>
      </w:r>
      <w:r>
        <w:rPr>
          <w:rFonts w:ascii="Times New Roman" w:hAnsi="Times New Roman"/>
          <w:szCs w:val="24"/>
        </w:rPr>
        <w:t>) is a quasi-judicial tribunal established under the Media Council Act. A person aggrieved by any publication or conduct of a journalist or media enterprise or anything done against a journalist or media enterprise that limits or interferes with the constitutional freedom of expression of such journalist or media enterprise</w:t>
      </w:r>
      <w:r>
        <w:rPr>
          <w:rFonts w:ascii="Times New Roman" w:hAnsi="Times New Roman"/>
          <w:b/>
          <w:bCs/>
          <w:szCs w:val="24"/>
        </w:rPr>
        <w:t xml:space="preserve"> </w:t>
      </w:r>
      <w:r>
        <w:rPr>
          <w:rFonts w:ascii="Times New Roman" w:hAnsi="Times New Roman"/>
          <w:szCs w:val="24"/>
        </w:rPr>
        <w:t>can make a written complaint to the tribunal</w:t>
      </w:r>
      <w:r>
        <w:rPr>
          <w:rFonts w:ascii="Times New Roman" w:hAnsi="Times New Roman"/>
          <w:b/>
          <w:bCs/>
          <w:szCs w:val="24"/>
        </w:rPr>
        <w:t xml:space="preserve">. </w:t>
      </w:r>
      <w:r>
        <w:rPr>
          <w:rFonts w:ascii="Times New Roman" w:hAnsi="Times New Roman"/>
          <w:szCs w:val="24"/>
        </w:rPr>
        <w:t>They should set out the grounds for the complaint, nature of the injury or damage sued and the remedy sought. The Tribunal will notify the person complained against to respond to the Complaint in writing, upon which it may set a date for hearing the Complaint.</w:t>
      </w:r>
    </w:p>
    <w:p w:rsidR="00970B69" w:rsidRDefault="00CD57D7">
      <w:pPr>
        <w:spacing w:line="360" w:lineRule="auto"/>
        <w:rPr>
          <w:rFonts w:ascii="Times New Roman" w:hAnsi="Times New Roman"/>
          <w:szCs w:val="24"/>
        </w:rPr>
      </w:pPr>
      <w:r>
        <w:rPr>
          <w:rFonts w:ascii="Times New Roman" w:hAnsi="Times New Roman"/>
          <w:szCs w:val="24"/>
        </w:rPr>
        <w:t xml:space="preserve">Some of the cases resolved from the Complaints Commission include </w:t>
      </w:r>
      <w:r>
        <w:rPr>
          <w:rFonts w:ascii="Times New Roman" w:hAnsi="Times New Roman"/>
          <w:b/>
          <w:i/>
          <w:iCs/>
          <w:szCs w:val="24"/>
        </w:rPr>
        <w:t>Francis Muthaura v the standard Group Ben Agina and Beuttah Omang</w:t>
      </w:r>
      <w:r>
        <w:rPr>
          <w:rStyle w:val="FootnoteReference"/>
          <w:rFonts w:ascii="Times New Roman" w:hAnsi="Times New Roman"/>
          <w:szCs w:val="24"/>
        </w:rPr>
        <w:footnoteReference w:id="37"/>
      </w:r>
      <w:r>
        <w:rPr>
          <w:rFonts w:ascii="Times New Roman" w:hAnsi="Times New Roman"/>
          <w:szCs w:val="24"/>
        </w:rPr>
        <w:t xml:space="preserve"> where the court held that the Standard Group and two reporters to retract story and offer apology to Muthaura of equal prominence in paper. The Standard Group was obligated to pay Kshs 50,000 fine to MCK or 3 months in prison for </w:t>
      </w:r>
      <w:r>
        <w:rPr>
          <w:rFonts w:ascii="Times New Roman" w:hAnsi="Times New Roman"/>
          <w:szCs w:val="24"/>
        </w:rPr>
        <w:lastRenderedPageBreak/>
        <w:t>false/misleading information to CC and also pay Kshs 250,000 to MCK, or 3 months in prison for violating item 4 of the Accuracy and Fairness provisions of the Code.</w:t>
      </w:r>
      <w:r>
        <w:rPr>
          <w:rStyle w:val="FootnoteReference"/>
          <w:rFonts w:ascii="Times New Roman" w:hAnsi="Times New Roman"/>
          <w:szCs w:val="24"/>
        </w:rPr>
        <w:footnoteReference w:id="38"/>
      </w:r>
    </w:p>
    <w:p w:rsidR="00970B69" w:rsidRDefault="00CD57D7">
      <w:pPr>
        <w:pStyle w:val="Heading2"/>
        <w:rPr>
          <w:rFonts w:ascii="Times New Roman" w:eastAsia="Times New Roman" w:hAnsi="Times New Roman" w:cs="Times New Roman"/>
          <w:b/>
          <w:bCs/>
          <w:color w:val="auto"/>
          <w:sz w:val="28"/>
          <w:szCs w:val="28"/>
        </w:rPr>
      </w:pPr>
      <w:bookmarkStart w:id="207" w:name="_Toc296212535"/>
      <w:bookmarkStart w:id="208" w:name="_Toc2137577786"/>
      <w:bookmarkStart w:id="209" w:name="_Toc645234923"/>
      <w:bookmarkStart w:id="210" w:name="_Toc238362640"/>
      <w:bookmarkStart w:id="211" w:name="_Toc1259901810"/>
      <w:bookmarkStart w:id="212" w:name="_Toc1591226806"/>
      <w:bookmarkStart w:id="213" w:name="_Toc9100101"/>
      <w:bookmarkStart w:id="214" w:name="_Toc1235921504"/>
      <w:bookmarkStart w:id="215" w:name="_Toc1851394364"/>
      <w:bookmarkStart w:id="216" w:name="_Toc607845479"/>
      <w:bookmarkStart w:id="217" w:name="_Toc1451688662"/>
      <w:bookmarkStart w:id="218" w:name="_Toc205253918"/>
      <w:bookmarkStart w:id="219" w:name="_Toc1534381323"/>
      <w:bookmarkStart w:id="220" w:name="_Toc1719608809"/>
      <w:bookmarkStart w:id="221" w:name="_Toc1044569365"/>
      <w:bookmarkStart w:id="222" w:name="_Toc1487260463"/>
      <w:bookmarkStart w:id="223" w:name="_Toc545983482"/>
      <w:bookmarkStart w:id="224" w:name="_Toc860877542"/>
      <w:bookmarkStart w:id="225" w:name="_Toc160996231"/>
      <w:r>
        <w:rPr>
          <w:rFonts w:ascii="Times New Roman" w:eastAsia="Times New Roman" w:hAnsi="Times New Roman" w:cs="Times New Roman"/>
          <w:b/>
          <w:bCs/>
          <w:color w:val="auto"/>
          <w:sz w:val="28"/>
          <w:szCs w:val="28"/>
        </w:rPr>
        <w:t>2.11 Access to Information Act No.31 of 2016</w:t>
      </w:r>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p>
    <w:p w:rsidR="00362392"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The Act was enacted to give effect to Article 35 of the Constitution that provides for the right of access to information. It identifies the powers and the functions of the Commission for Administrative Justice or include hearing and determining complaints arising from the right to access information, promote data protection and monitor state compliance with international treaty obligations on the right to information and protection of personal data.</w:t>
      </w:r>
    </w:p>
    <w:p w:rsidR="00362392" w:rsidRDefault="00362392" w:rsidP="003E5414">
      <w:pPr>
        <w:spacing w:line="240" w:lineRule="auto"/>
        <w:rPr>
          <w:rFonts w:ascii="Times New Roman" w:eastAsia="Times New Roman" w:hAnsi="Times New Roman" w:cs="Times New Roman"/>
        </w:rPr>
      </w:pPr>
      <w:r>
        <w:rPr>
          <w:rFonts w:ascii="Times New Roman" w:eastAsia="Times New Roman" w:hAnsi="Times New Roman" w:cs="Times New Roman"/>
        </w:rPr>
        <w:t xml:space="preserve">Regulations that govern ICT include: </w:t>
      </w:r>
    </w:p>
    <w:p w:rsidR="00362392" w:rsidRDefault="003E5414" w:rsidP="003E541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w:t>
      </w:r>
      <w:bookmarkStart w:id="226" w:name="_GoBack"/>
      <w:bookmarkEnd w:id="226"/>
      <w:r w:rsidR="00362392">
        <w:rPr>
          <w:rFonts w:ascii="Times New Roman" w:eastAsia="Times New Roman" w:hAnsi="Times New Roman" w:cs="Times New Roman"/>
        </w:rPr>
        <w:t>Broadcasting R</w:t>
      </w:r>
      <w:r>
        <w:rPr>
          <w:rFonts w:ascii="Times New Roman" w:eastAsia="Times New Roman" w:hAnsi="Times New Roman" w:cs="Times New Roman"/>
        </w:rPr>
        <w:t xml:space="preserve">egulations </w:t>
      </w:r>
      <w:r w:rsidR="00362392">
        <w:rPr>
          <w:rFonts w:ascii="Times New Roman" w:eastAsia="Times New Roman" w:hAnsi="Times New Roman" w:cs="Times New Roman"/>
        </w:rPr>
        <w:t>2009)</w:t>
      </w:r>
    </w:p>
    <w:p w:rsidR="00362392" w:rsidRDefault="00362392" w:rsidP="003E5414">
      <w:pPr>
        <w:spacing w:line="240" w:lineRule="auto"/>
        <w:rPr>
          <w:rFonts w:ascii="Times New Roman" w:eastAsia="Times New Roman" w:hAnsi="Times New Roman" w:cs="Times New Roman"/>
        </w:rPr>
      </w:pPr>
      <w:r>
        <w:rPr>
          <w:rFonts w:ascii="Times New Roman" w:eastAsia="Times New Roman" w:hAnsi="Times New Roman" w:cs="Times New Roman"/>
        </w:rPr>
        <w:t>2. Compliance, Monitoring, Inspections and Enforcement</w:t>
      </w:r>
      <w:r w:rsidR="003E5414">
        <w:rPr>
          <w:rFonts w:ascii="Times New Roman" w:eastAsia="Times New Roman" w:hAnsi="Times New Roman" w:cs="Times New Roman"/>
        </w:rPr>
        <w:t xml:space="preserve"> </w:t>
      </w:r>
      <w:r>
        <w:rPr>
          <w:rFonts w:ascii="Times New Roman" w:eastAsia="Times New Roman" w:hAnsi="Times New Roman" w:cs="Times New Roman"/>
        </w:rPr>
        <w:t>Regulations 2010</w:t>
      </w:r>
    </w:p>
    <w:p w:rsidR="00362392" w:rsidRDefault="00362392" w:rsidP="003E5414">
      <w:pPr>
        <w:spacing w:line="240" w:lineRule="auto"/>
        <w:rPr>
          <w:rFonts w:ascii="Times New Roman" w:eastAsia="Times New Roman" w:hAnsi="Times New Roman" w:cs="Times New Roman"/>
        </w:rPr>
      </w:pPr>
      <w:r>
        <w:rPr>
          <w:rFonts w:ascii="Times New Roman" w:eastAsia="Times New Roman" w:hAnsi="Times New Roman" w:cs="Times New Roman"/>
        </w:rPr>
        <w:t>3. Consumer Protection Regulations 2010</w:t>
      </w:r>
    </w:p>
    <w:p w:rsidR="00362392" w:rsidRDefault="00362392" w:rsidP="003E5414">
      <w:pPr>
        <w:spacing w:line="240" w:lineRule="auto"/>
        <w:rPr>
          <w:rFonts w:ascii="Times New Roman" w:eastAsia="Times New Roman" w:hAnsi="Times New Roman" w:cs="Times New Roman"/>
        </w:rPr>
      </w:pPr>
      <w:r>
        <w:rPr>
          <w:rFonts w:ascii="Times New Roman" w:eastAsia="Times New Roman" w:hAnsi="Times New Roman" w:cs="Times New Roman"/>
        </w:rPr>
        <w:t>4. Dispute Resolution Regulations, 2010</w:t>
      </w:r>
    </w:p>
    <w:p w:rsidR="00362392" w:rsidRDefault="00362392" w:rsidP="003E5414">
      <w:pPr>
        <w:spacing w:line="240" w:lineRule="auto"/>
        <w:rPr>
          <w:rFonts w:ascii="Times New Roman" w:eastAsia="Times New Roman" w:hAnsi="Times New Roman" w:cs="Times New Roman"/>
        </w:rPr>
      </w:pPr>
      <w:r>
        <w:rPr>
          <w:rFonts w:ascii="Times New Roman" w:eastAsia="Times New Roman" w:hAnsi="Times New Roman" w:cs="Times New Roman"/>
        </w:rPr>
        <w:t xml:space="preserve">5. Electronic Certification </w:t>
      </w:r>
      <w:r w:rsidR="003E5414">
        <w:rPr>
          <w:rFonts w:ascii="Times New Roman" w:eastAsia="Times New Roman" w:hAnsi="Times New Roman" w:cs="Times New Roman"/>
        </w:rPr>
        <w:t>and Domain Name Administration Regulations 2010</w:t>
      </w:r>
    </w:p>
    <w:p w:rsidR="003E5414" w:rsidRDefault="003E5414" w:rsidP="003E5414">
      <w:pPr>
        <w:spacing w:line="240" w:lineRule="auto"/>
        <w:rPr>
          <w:rFonts w:ascii="Times New Roman" w:eastAsia="Times New Roman" w:hAnsi="Times New Roman" w:cs="Times New Roman"/>
        </w:rPr>
      </w:pPr>
      <w:r>
        <w:rPr>
          <w:rFonts w:ascii="Times New Roman" w:eastAsia="Times New Roman" w:hAnsi="Times New Roman" w:cs="Times New Roman"/>
        </w:rPr>
        <w:t>6. Fair Competition and Equality of Treatment Regulations 2010</w:t>
      </w:r>
    </w:p>
    <w:p w:rsidR="003E5414" w:rsidRDefault="003E5414" w:rsidP="003E5414">
      <w:pPr>
        <w:spacing w:line="240" w:lineRule="auto"/>
        <w:rPr>
          <w:rFonts w:ascii="Times New Roman" w:eastAsia="Times New Roman" w:hAnsi="Times New Roman" w:cs="Times New Roman"/>
        </w:rPr>
      </w:pPr>
      <w:r>
        <w:rPr>
          <w:rFonts w:ascii="Times New Roman" w:eastAsia="Times New Roman" w:hAnsi="Times New Roman" w:cs="Times New Roman"/>
        </w:rPr>
        <w:t>7. Interconnection and Provision of Fixed Links, Access and Facilities Regulations, 2010</w:t>
      </w:r>
    </w:p>
    <w:p w:rsidR="003E5414" w:rsidRDefault="003E5414" w:rsidP="003E5414">
      <w:pPr>
        <w:spacing w:line="240" w:lineRule="auto"/>
        <w:rPr>
          <w:rFonts w:ascii="Times New Roman" w:eastAsia="Times New Roman" w:hAnsi="Times New Roman" w:cs="Times New Roman"/>
        </w:rPr>
      </w:pPr>
      <w:r>
        <w:rPr>
          <w:rFonts w:ascii="Times New Roman" w:eastAsia="Times New Roman" w:hAnsi="Times New Roman" w:cs="Times New Roman"/>
        </w:rPr>
        <w:t>8. Licencing and Quality of Service Regulations 2010</w:t>
      </w:r>
    </w:p>
    <w:p w:rsidR="003E5414" w:rsidRDefault="003E5414" w:rsidP="003E5414">
      <w:pPr>
        <w:spacing w:line="240" w:lineRule="auto"/>
        <w:rPr>
          <w:rFonts w:ascii="Times New Roman" w:eastAsia="Times New Roman" w:hAnsi="Times New Roman" w:cs="Times New Roman"/>
        </w:rPr>
      </w:pPr>
      <w:r>
        <w:rPr>
          <w:rFonts w:ascii="Times New Roman" w:eastAsia="Times New Roman" w:hAnsi="Times New Roman" w:cs="Times New Roman"/>
        </w:rPr>
        <w:t>9. Numbering Regulations 2010</w:t>
      </w:r>
    </w:p>
    <w:p w:rsidR="003E5414" w:rsidRDefault="003E5414" w:rsidP="003E5414">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10. Postal and Courier Services Regulations 2010</w:t>
      </w:r>
    </w:p>
    <w:p w:rsidR="00970B69" w:rsidRDefault="00CD57D7">
      <w:pPr>
        <w:pStyle w:val="Heading2"/>
        <w:rPr>
          <w:rFonts w:ascii="Times New Roman" w:eastAsia="Times New Roman" w:hAnsi="Times New Roman" w:cs="Times New Roman"/>
          <w:b/>
          <w:color w:val="auto"/>
        </w:rPr>
      </w:pPr>
      <w:bookmarkStart w:id="227" w:name="_Toc160996232"/>
      <w:r>
        <w:rPr>
          <w:rFonts w:ascii="Times New Roman" w:eastAsia="Times New Roman" w:hAnsi="Times New Roman" w:cs="Times New Roman"/>
          <w:b/>
          <w:color w:val="auto"/>
        </w:rPr>
        <w:t>2.12 Other Institutions that govern ICT in Kenya</w:t>
      </w:r>
      <w:bookmarkEnd w:id="227"/>
      <w:r>
        <w:rPr>
          <w:rFonts w:ascii="Times New Roman" w:eastAsia="Times New Roman" w:hAnsi="Times New Roman" w:cs="Times New Roman"/>
          <w:b/>
          <w:color w:val="auto"/>
        </w:rPr>
        <w:t xml:space="preserve"> </w:t>
      </w:r>
      <w:bookmarkStart w:id="228" w:name="_Toc160995119"/>
    </w:p>
    <w:p w:rsidR="00970B69" w:rsidRDefault="00CD57D7">
      <w:pPr>
        <w:pStyle w:val="Heading2"/>
        <w:rPr>
          <w:rFonts w:ascii="Times New Roman" w:eastAsia="Times New Roman" w:hAnsi="Times New Roman" w:cs="Times New Roman"/>
          <w:b/>
          <w:color w:val="auto"/>
        </w:rPr>
      </w:pPr>
      <w:bookmarkStart w:id="229" w:name="_Toc160996233"/>
      <w:r>
        <w:rPr>
          <w:rFonts w:ascii="Times New Roman" w:hAnsi="Times New Roman" w:cs="Times New Roman"/>
          <w:b/>
          <w:color w:val="auto"/>
        </w:rPr>
        <w:t>2.12.1Ministry of Information Communication and Technology (MoICT)</w:t>
      </w:r>
      <w:bookmarkEnd w:id="228"/>
      <w:bookmarkEnd w:id="229"/>
    </w:p>
    <w:p w:rsidR="00970B69" w:rsidRDefault="00CD57D7">
      <w:pPr>
        <w:spacing w:line="360" w:lineRule="auto"/>
        <w:rPr>
          <w:rFonts w:ascii="Times New Roman" w:hAnsi="Times New Roman" w:cs="Times New Roman"/>
          <w:szCs w:val="24"/>
        </w:rPr>
      </w:pPr>
      <w:r>
        <w:rPr>
          <w:rFonts w:ascii="Times New Roman" w:hAnsi="Times New Roman" w:cs="Times New Roman"/>
          <w:szCs w:val="24"/>
        </w:rPr>
        <w:t>It is responsible for formulating and implementing the laws, policies and regulations that promote the development of ICT sector in Kenya. In August 2020, the ministry published a new policy which requires government ICT procurement policies to give preference to local ICT companies in the award of tenders.</w:t>
      </w:r>
      <w:r>
        <w:rPr>
          <w:rStyle w:val="FootnoteReference"/>
          <w:rFonts w:ascii="Times New Roman" w:hAnsi="Times New Roman" w:cs="Times New Roman"/>
          <w:szCs w:val="24"/>
        </w:rPr>
        <w:footnoteReference w:id="39"/>
      </w:r>
      <w:r>
        <w:rPr>
          <w:rFonts w:ascii="Times New Roman" w:hAnsi="Times New Roman" w:cs="Times New Roman"/>
          <w:szCs w:val="24"/>
        </w:rPr>
        <w:t xml:space="preserve">  </w:t>
      </w:r>
    </w:p>
    <w:p w:rsidR="00970B69" w:rsidRDefault="00CD57D7">
      <w:pPr>
        <w:pStyle w:val="Heading3"/>
        <w:rPr>
          <w:rFonts w:ascii="Times New Roman" w:hAnsi="Times New Roman" w:cs="Times New Roman"/>
          <w:b/>
          <w:color w:val="auto"/>
        </w:rPr>
      </w:pPr>
      <w:bookmarkStart w:id="230" w:name="_Toc160996234"/>
      <w:r>
        <w:rPr>
          <w:rFonts w:ascii="Times New Roman" w:hAnsi="Times New Roman" w:cs="Times New Roman"/>
          <w:b/>
          <w:color w:val="auto"/>
        </w:rPr>
        <w:t>2.12.2 Information and communications Technology Authority (ICTA)</w:t>
      </w:r>
      <w:bookmarkEnd w:id="230"/>
    </w:p>
    <w:p w:rsidR="00970B69" w:rsidRDefault="00CD57D7">
      <w:pPr>
        <w:spacing w:line="360" w:lineRule="auto"/>
        <w:rPr>
          <w:rFonts w:ascii="Times New Roman" w:hAnsi="Times New Roman" w:cs="Times New Roman"/>
          <w:szCs w:val="24"/>
        </w:rPr>
      </w:pPr>
      <w:r>
        <w:rPr>
          <w:rFonts w:ascii="Times New Roman" w:hAnsi="Times New Roman" w:cs="Times New Roman"/>
          <w:szCs w:val="24"/>
        </w:rPr>
        <w:t>The Authority is a state corporation under the Ministry of Information Communication and Technology.</w:t>
      </w:r>
      <w:r>
        <w:rPr>
          <w:rStyle w:val="FootnoteReference"/>
          <w:rFonts w:ascii="Times New Roman" w:hAnsi="Times New Roman" w:cs="Times New Roman"/>
          <w:szCs w:val="24"/>
        </w:rPr>
        <w:footnoteReference w:id="40"/>
      </w:r>
      <w:r>
        <w:rPr>
          <w:rFonts w:ascii="Times New Roman" w:hAnsi="Times New Roman" w:cs="Times New Roman"/>
          <w:szCs w:val="24"/>
        </w:rPr>
        <w:t xml:space="preserve">  ICTA is responsible for the development and the implementation of ICT Policies and strategies. This body also has the mandate to promote e-government services and the growth of local ICT industry. It also facilitates optimal electronic record and equipment use in public service.</w:t>
      </w:r>
    </w:p>
    <w:p w:rsidR="00970B69" w:rsidRDefault="00CD57D7">
      <w:pPr>
        <w:pStyle w:val="Heading2"/>
        <w:rPr>
          <w:rFonts w:ascii="Times New Roman" w:hAnsi="Times New Roman" w:cs="Times New Roman"/>
          <w:b/>
          <w:color w:val="auto"/>
          <w:sz w:val="24"/>
          <w:szCs w:val="24"/>
        </w:rPr>
      </w:pPr>
      <w:bookmarkStart w:id="231" w:name="_Toc160996235"/>
      <w:r>
        <w:rPr>
          <w:rFonts w:ascii="Times New Roman" w:hAnsi="Times New Roman" w:cs="Times New Roman"/>
          <w:b/>
          <w:color w:val="auto"/>
          <w:sz w:val="24"/>
          <w:szCs w:val="24"/>
        </w:rPr>
        <w:t>2.12.3 Information Communication Technology (ICT) Committee</w:t>
      </w:r>
      <w:bookmarkEnd w:id="231"/>
    </w:p>
    <w:p w:rsidR="00970B69" w:rsidRDefault="00CD57D7">
      <w:pPr>
        <w:spacing w:line="360" w:lineRule="auto"/>
        <w:rPr>
          <w:rFonts w:ascii="Times New Roman" w:hAnsi="Times New Roman" w:cs="Times New Roman"/>
          <w:szCs w:val="24"/>
        </w:rPr>
      </w:pPr>
      <w:r>
        <w:rPr>
          <w:rFonts w:ascii="Times New Roman" w:hAnsi="Times New Roman" w:cs="Times New Roman"/>
          <w:szCs w:val="24"/>
        </w:rPr>
        <w:t xml:space="preserve">This Committee handles all matters relating to the development of ICT at the county levels. It offers a platform for consultations on E-Government initiatives with the aim of making </w:t>
      </w:r>
      <w:r>
        <w:rPr>
          <w:rFonts w:ascii="Times New Roman" w:hAnsi="Times New Roman" w:cs="Times New Roman"/>
          <w:szCs w:val="24"/>
        </w:rPr>
        <w:lastRenderedPageBreak/>
        <w:t>government services more efficient and citizen-centred.</w:t>
      </w:r>
      <w:r>
        <w:rPr>
          <w:rStyle w:val="FootnoteReference"/>
          <w:rFonts w:ascii="Times New Roman" w:hAnsi="Times New Roman" w:cs="Times New Roman"/>
          <w:szCs w:val="24"/>
        </w:rPr>
        <w:footnoteReference w:id="41"/>
      </w:r>
      <w:r>
        <w:rPr>
          <w:rFonts w:ascii="Times New Roman" w:hAnsi="Times New Roman" w:cs="Times New Roman"/>
          <w:szCs w:val="24"/>
        </w:rPr>
        <w:t xml:space="preserve"> The committee is obliged to facilitate media relations nationally and regionally, including interview opportunities and coverage. The committee has successfully launched the Smart county project whose aim is to support ICT adoption within county governments in the country.</w:t>
      </w:r>
    </w:p>
    <w:p w:rsidR="00970B69" w:rsidRDefault="00CD57D7">
      <w:pPr>
        <w:pStyle w:val="Heading3"/>
        <w:rPr>
          <w:rFonts w:ascii="Times New Roman" w:hAnsi="Times New Roman" w:cs="Times New Roman"/>
          <w:b/>
          <w:color w:val="auto"/>
        </w:rPr>
      </w:pPr>
      <w:bookmarkStart w:id="232" w:name="_Toc160996236"/>
      <w:r>
        <w:rPr>
          <w:rFonts w:ascii="Times New Roman" w:hAnsi="Times New Roman" w:cs="Times New Roman"/>
          <w:b/>
          <w:color w:val="auto"/>
        </w:rPr>
        <w:t>2.12.4 National Commission for Science Technology and Innovation (NACOSTI)</w:t>
      </w:r>
      <w:bookmarkEnd w:id="232"/>
    </w:p>
    <w:p w:rsidR="00970B69" w:rsidRDefault="00CD57D7">
      <w:pPr>
        <w:spacing w:line="360" w:lineRule="auto"/>
        <w:rPr>
          <w:rFonts w:ascii="Times New Roman" w:hAnsi="Times New Roman" w:cs="Times New Roman"/>
          <w:szCs w:val="24"/>
        </w:rPr>
      </w:pPr>
      <w:r>
        <w:rPr>
          <w:rFonts w:ascii="Times New Roman" w:hAnsi="Times New Roman" w:cs="Times New Roman"/>
          <w:szCs w:val="24"/>
        </w:rPr>
        <w:t>The commission is responsible for promoting the development of science, technology and innovation in Kenya including ICT. It regulates and assure quality in the research science and technology and advices the government in matters related thereto.</w:t>
      </w:r>
      <w:r>
        <w:rPr>
          <w:rStyle w:val="FootnoteReference"/>
          <w:rFonts w:ascii="Times New Roman" w:hAnsi="Times New Roman" w:cs="Times New Roman"/>
          <w:szCs w:val="24"/>
        </w:rPr>
        <w:footnoteReference w:id="42"/>
      </w:r>
      <w:r>
        <w:rPr>
          <w:rFonts w:ascii="Times New Roman" w:hAnsi="Times New Roman" w:cs="Times New Roman"/>
          <w:szCs w:val="24"/>
        </w:rPr>
        <w:t xml:space="preserve"> </w:t>
      </w:r>
    </w:p>
    <w:p w:rsidR="00970B69" w:rsidRDefault="00CD57D7">
      <w:pPr>
        <w:pStyle w:val="Heading2"/>
        <w:rPr>
          <w:rFonts w:ascii="Times New Roman" w:hAnsi="Times New Roman" w:cs="Times New Roman"/>
          <w:b/>
          <w:color w:val="auto"/>
          <w:sz w:val="28"/>
          <w:szCs w:val="28"/>
        </w:rPr>
      </w:pPr>
      <w:bookmarkStart w:id="233" w:name="_Toc160996237"/>
      <w:r>
        <w:rPr>
          <w:rFonts w:ascii="Times New Roman" w:hAnsi="Times New Roman" w:cs="Times New Roman"/>
          <w:b/>
          <w:color w:val="auto"/>
          <w:sz w:val="28"/>
          <w:szCs w:val="28"/>
        </w:rPr>
        <w:t>2.13 Policy Framework on ICT in Kenya</w:t>
      </w:r>
      <w:bookmarkEnd w:id="233"/>
    </w:p>
    <w:p w:rsidR="00970B69" w:rsidRDefault="00CD57D7">
      <w:pPr>
        <w:pStyle w:val="Heading2"/>
        <w:rPr>
          <w:rFonts w:ascii="Times New Roman" w:hAnsi="Times New Roman" w:cs="Times New Roman"/>
          <w:b/>
          <w:color w:val="auto"/>
          <w:sz w:val="24"/>
          <w:szCs w:val="24"/>
        </w:rPr>
      </w:pPr>
      <w:bookmarkStart w:id="234" w:name="_Toc160996238"/>
      <w:r>
        <w:rPr>
          <w:rFonts w:ascii="Times New Roman" w:hAnsi="Times New Roman" w:cs="Times New Roman"/>
          <w:b/>
          <w:color w:val="auto"/>
          <w:sz w:val="24"/>
          <w:szCs w:val="24"/>
        </w:rPr>
        <w:t>2.13.1National Information, Communications and Technology (ICT) Policy, 2019</w:t>
      </w:r>
      <w:bookmarkEnd w:id="234"/>
    </w:p>
    <w:p w:rsidR="00970B69" w:rsidRDefault="00CD57D7">
      <w:pPr>
        <w:spacing w:line="360" w:lineRule="auto"/>
        <w:rPr>
          <w:rFonts w:ascii="Times New Roman" w:hAnsi="Times New Roman" w:cs="Times New Roman"/>
        </w:rPr>
      </w:pPr>
      <w:r>
        <w:rPr>
          <w:rFonts w:ascii="Times New Roman" w:hAnsi="Times New Roman" w:cs="Times New Roman"/>
        </w:rPr>
        <w:t xml:space="preserve">The policy is designed to realize the full potential of the digital environment by creating an enabling environment for all citizens and stakeholders. Its objectives include creating infrastructure to enable the use of high-speed wireless internet connection across the country,  facilitating the creating of infrastructure frameworks that support growth of data centres, develop the contribution of ICT to 10% of the GDP by 2030. Enhancing the education institutions and skills to take advantage of the emerging trends such as the shared and gig economy and to gain global recognition for innovation, efficiency and quality in public service delivery.  </w:t>
      </w:r>
      <w:bookmarkStart w:id="235" w:name="_Toc1039627897"/>
      <w:bookmarkStart w:id="236" w:name="_Toc478447561"/>
      <w:bookmarkStart w:id="237" w:name="_Toc646403938"/>
      <w:bookmarkStart w:id="238" w:name="_Toc947553944"/>
      <w:bookmarkStart w:id="239" w:name="_Toc1395455084"/>
      <w:bookmarkStart w:id="240" w:name="_Toc1152528372"/>
      <w:bookmarkStart w:id="241" w:name="_Toc31876267"/>
      <w:bookmarkStart w:id="242" w:name="_Toc1459884788"/>
      <w:bookmarkStart w:id="243" w:name="_Toc440108000"/>
      <w:bookmarkStart w:id="244" w:name="_Toc482851481"/>
      <w:bookmarkStart w:id="245" w:name="_Toc473437683"/>
      <w:bookmarkStart w:id="246" w:name="_Toc331370323"/>
      <w:bookmarkStart w:id="247" w:name="_Toc67768800"/>
      <w:bookmarkStart w:id="248" w:name="_Toc1666496317"/>
      <w:bookmarkStart w:id="249" w:name="_Toc641197136"/>
      <w:bookmarkStart w:id="250" w:name="_Toc1062140888"/>
      <w:bookmarkStart w:id="251" w:name="_Toc1898106187"/>
      <w:bookmarkStart w:id="252" w:name="_Toc78219223"/>
    </w:p>
    <w:p w:rsidR="00970B69" w:rsidRDefault="00CD57D7">
      <w:pPr>
        <w:spacing w:line="360" w:lineRule="auto"/>
        <w:jc w:val="center"/>
        <w:rPr>
          <w:rFonts w:ascii="Times New Roman" w:eastAsia="SimSun" w:hAnsi="Times New Roman" w:cs="Times New Roman"/>
          <w:b/>
          <w:sz w:val="28"/>
          <w:szCs w:val="28"/>
        </w:rPr>
      </w:pPr>
      <w:r>
        <w:rPr>
          <w:rFonts w:ascii="Times New Roman" w:eastAsia="Times New Roman" w:hAnsi="Times New Roman" w:cs="Times New Roman"/>
          <w:b/>
          <w:bCs/>
          <w:color w:val="000000"/>
          <w:sz w:val="28"/>
          <w:szCs w:val="28"/>
        </w:rPr>
        <w:lastRenderedPageBreak/>
        <w:t>3.0 INTERNATIONAL FRAMEWORK</w:t>
      </w:r>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Constitution of Kenya, under Article 2(6), incorporates treaties and conventions ratified by Kenya in its laws. </w:t>
      </w:r>
    </w:p>
    <w:p w:rsidR="00970B69" w:rsidRDefault="00CD57D7">
      <w:pPr>
        <w:pStyle w:val="Heading2"/>
        <w:rPr>
          <w:rFonts w:ascii="Times New Roman" w:eastAsia="Times New Roman" w:hAnsi="Times New Roman" w:cs="Times New Roman"/>
          <w:b/>
          <w:bCs/>
          <w:color w:val="auto"/>
          <w:sz w:val="28"/>
          <w:szCs w:val="28"/>
        </w:rPr>
      </w:pPr>
      <w:bookmarkStart w:id="253" w:name="_Toc1793666411"/>
      <w:bookmarkStart w:id="254" w:name="_Toc804442017"/>
      <w:bookmarkStart w:id="255" w:name="_Toc1657654737"/>
      <w:bookmarkStart w:id="256" w:name="_Toc1694472625"/>
      <w:bookmarkStart w:id="257" w:name="_Toc1137770525"/>
      <w:bookmarkStart w:id="258" w:name="_Toc850166814"/>
      <w:bookmarkStart w:id="259" w:name="_Toc560445420"/>
      <w:bookmarkStart w:id="260" w:name="_Toc1537410763"/>
      <w:bookmarkStart w:id="261" w:name="_Toc1243793112"/>
      <w:bookmarkStart w:id="262" w:name="_Toc171142984"/>
      <w:bookmarkStart w:id="263" w:name="_Toc1595515698"/>
      <w:bookmarkStart w:id="264" w:name="_Toc1630759185"/>
      <w:bookmarkStart w:id="265" w:name="_Toc623342084"/>
      <w:bookmarkStart w:id="266" w:name="_Toc2077742666"/>
      <w:bookmarkStart w:id="267" w:name="_Toc335908592"/>
      <w:bookmarkStart w:id="268" w:name="_Toc443506432"/>
      <w:bookmarkStart w:id="269" w:name="_Toc2053060989"/>
      <w:bookmarkStart w:id="270" w:name="_Toc1382568107"/>
      <w:bookmarkStart w:id="271" w:name="_Toc160996239"/>
      <w:r>
        <w:rPr>
          <w:rFonts w:ascii="Times New Roman" w:eastAsia="Times New Roman" w:hAnsi="Times New Roman" w:cs="Times New Roman"/>
          <w:b/>
          <w:bCs/>
          <w:color w:val="auto"/>
          <w:sz w:val="28"/>
          <w:szCs w:val="28"/>
        </w:rPr>
        <w:t>3.1 Universal Declaration of Human Rights (UDHR) 1948</w:t>
      </w:r>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p>
    <w:p w:rsidR="00970B69" w:rsidRDefault="00CD57D7">
      <w:pPr>
        <w:spacing w:line="360" w:lineRule="auto"/>
      </w:pPr>
      <w:r>
        <w:rPr>
          <w:rFonts w:ascii="Times New Roman" w:eastAsia="Times New Roman" w:hAnsi="Times New Roman" w:cs="Times New Roman"/>
        </w:rPr>
        <w:t>The Universal Declaration of Human Rights (UDHR) was adopted in 1948 by the United Nations General Assembly and it encompasses the right to privacy which is fundamental. This right has been addressed in Article 12 of the Convention which stipulates that no one shall be subjected to arbitrary interference of his privacy. The law protects individuals from attacks or interference with their privacy. State parties are charged with the responsibility of creating means and tools that protect the right of privacy of all individuals.</w:t>
      </w:r>
    </w:p>
    <w:p w:rsidR="00970B69" w:rsidRDefault="00CD57D7">
      <w:pPr>
        <w:pStyle w:val="Heading2"/>
        <w:rPr>
          <w:rFonts w:ascii="Times New Roman" w:eastAsia="Times New Roman" w:hAnsi="Times New Roman" w:cs="Times New Roman"/>
          <w:b/>
          <w:bCs/>
          <w:color w:val="auto"/>
          <w:sz w:val="28"/>
          <w:szCs w:val="28"/>
        </w:rPr>
      </w:pPr>
      <w:bookmarkStart w:id="272" w:name="_Toc264196871"/>
      <w:bookmarkStart w:id="273" w:name="_Toc1942767261"/>
      <w:bookmarkStart w:id="274" w:name="_Toc1968892241"/>
      <w:bookmarkStart w:id="275" w:name="_Toc1763574432"/>
      <w:bookmarkStart w:id="276" w:name="_Toc360236022"/>
      <w:bookmarkStart w:id="277" w:name="_Toc262887455"/>
      <w:bookmarkStart w:id="278" w:name="_Toc1517512751"/>
      <w:bookmarkStart w:id="279" w:name="_Toc1637288553"/>
      <w:bookmarkStart w:id="280" w:name="_Toc322759346"/>
      <w:bookmarkStart w:id="281" w:name="_Toc801037081"/>
      <w:bookmarkStart w:id="282" w:name="_Toc533352626"/>
      <w:bookmarkStart w:id="283" w:name="_Toc115264773"/>
      <w:bookmarkStart w:id="284" w:name="_Toc212529800"/>
      <w:bookmarkStart w:id="285" w:name="_Toc1602202717"/>
      <w:bookmarkStart w:id="286" w:name="_Toc1229296793"/>
      <w:bookmarkStart w:id="287" w:name="_Toc278658462"/>
      <w:bookmarkStart w:id="288" w:name="_Toc1604754680"/>
      <w:bookmarkStart w:id="289" w:name="_Toc644215475"/>
      <w:bookmarkStart w:id="290" w:name="_Toc160996240"/>
      <w:r>
        <w:rPr>
          <w:rFonts w:ascii="Times New Roman" w:eastAsia="Times New Roman" w:hAnsi="Times New Roman" w:cs="Times New Roman"/>
          <w:b/>
          <w:bCs/>
          <w:color w:val="auto"/>
          <w:sz w:val="28"/>
          <w:szCs w:val="28"/>
        </w:rPr>
        <w:t>3.2 International Covenant on Civil and Political Rights (ICCPR)</w:t>
      </w:r>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The Covenant elaborates on the civil and political rights and freedoms listed in the Universal Declaration of Human Rights (UDHR). Article 17, based on Article 12 of the UDHR, guarantees that no one shall be subjected to arbitrary or unlawful interference with their privacy, family, home, or correspondence, and everyone has the right to protect the law against such interference.</w:t>
      </w:r>
    </w:p>
    <w:p w:rsidR="00970B69" w:rsidRDefault="00CD57D7">
      <w:pPr>
        <w:spacing w:line="360" w:lineRule="auto"/>
      </w:pPr>
      <w:r>
        <w:rPr>
          <w:rFonts w:ascii="Times New Roman" w:eastAsia="Times New Roman" w:hAnsi="Times New Roman" w:cs="Times New Roman"/>
        </w:rPr>
        <w:t xml:space="preserve">With time, the right to privacy has expanded to include rights to data access and management. General comment 16 discusses the concept of information privacy, emphasizing the need for legal regulation of the collection and storage of personal information on computers, databanks, and other devices. It emphasizes the need for states to ensure that personal information is not misused by unauthorized individuals and is not used in ways that conflict with the Covenant. It also advocates for individuals to have the right to understand the purpose and storage of their personal data in automatic data files, as well as the control authorities or individuals may have over their files. </w:t>
      </w:r>
      <w:r>
        <w:rPr>
          <w:rFonts w:ascii="Times New Roman" w:eastAsia="Times New Roman" w:hAnsi="Times New Roman" w:cs="Times New Roman"/>
        </w:rPr>
        <w:lastRenderedPageBreak/>
        <w:t>Additionally, individuals can request rectification or elimination of incorrect personal data in these files.</w:t>
      </w:r>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 xml:space="preserve">Article 19 stipulates the right of every person to freedom of expression; this right shall include freedom to seek, receive and impart information and ideas of all kinds, regardless of frontiers, either orally, in writing or in print, in the form of art, or through any other media of his choice.  General Comment No 34 regarding Article 19 of the ICCPR, it asserts that Article 19 protects all forms of expression and their dissemination, including electronic and internet-based modes, ensuring freedom of expression online and offline. </w:t>
      </w:r>
    </w:p>
    <w:p w:rsidR="00970B69" w:rsidRDefault="00CD57D7">
      <w:pPr>
        <w:pStyle w:val="Heading2"/>
        <w:rPr>
          <w:rFonts w:ascii="Times New Roman" w:eastAsia="Times New Roman" w:hAnsi="Times New Roman" w:cs="Times New Roman"/>
          <w:b/>
          <w:bCs/>
          <w:color w:val="auto"/>
          <w:sz w:val="28"/>
          <w:szCs w:val="28"/>
        </w:rPr>
      </w:pPr>
      <w:bookmarkStart w:id="291" w:name="_Toc133782489"/>
      <w:bookmarkStart w:id="292" w:name="_Toc494024201"/>
      <w:bookmarkStart w:id="293" w:name="_Toc1228123179"/>
      <w:bookmarkStart w:id="294" w:name="_Toc1486321497"/>
      <w:bookmarkStart w:id="295" w:name="_Toc2018303302"/>
      <w:bookmarkStart w:id="296" w:name="_Toc298757315"/>
      <w:bookmarkStart w:id="297" w:name="_Toc1404481225"/>
      <w:bookmarkStart w:id="298" w:name="_Toc631461212"/>
      <w:bookmarkStart w:id="299" w:name="_Toc216079756"/>
      <w:bookmarkStart w:id="300" w:name="_Toc1792140613"/>
      <w:bookmarkStart w:id="301" w:name="_Toc2053209088"/>
      <w:bookmarkStart w:id="302" w:name="_Toc1919566840"/>
      <w:bookmarkStart w:id="303" w:name="_Toc362274675"/>
      <w:bookmarkStart w:id="304" w:name="_Toc2124159766"/>
      <w:bookmarkStart w:id="305" w:name="_Toc2116400581"/>
      <w:bookmarkStart w:id="306" w:name="_Toc1778426462"/>
      <w:bookmarkStart w:id="307" w:name="_Toc440800"/>
      <w:bookmarkStart w:id="308" w:name="_Toc1351812521"/>
      <w:bookmarkStart w:id="309" w:name="_Toc160996241"/>
      <w:r>
        <w:rPr>
          <w:rFonts w:ascii="Times New Roman" w:hAnsi="Times New Roman" w:cs="Times New Roman"/>
          <w:b/>
          <w:bCs/>
          <w:color w:val="auto"/>
        </w:rPr>
        <w:t>3.3 Convention on The Rights of Persons with Disabilities</w:t>
      </w:r>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p>
    <w:p w:rsidR="00970B69" w:rsidRDefault="00CD57D7">
      <w:pPr>
        <w:spacing w:line="360" w:lineRule="auto"/>
      </w:pPr>
      <w:r>
        <w:rPr>
          <w:rFonts w:ascii="Times New Roman" w:eastAsia="Times New Roman" w:hAnsi="Times New Roman" w:cs="Times New Roman"/>
        </w:rPr>
        <w:t>The Convention on the rights of persons with disabilities was ratified by Kenya on May, 19, 2008.Article 9 provides for the rights of Persons with disabilities to access information and communication. They have the right to obtain information through the different mediums that have been provided without any form of discrimination.</w:t>
      </w:r>
    </w:p>
    <w:p w:rsidR="00970B69" w:rsidRDefault="00CD57D7">
      <w:pPr>
        <w:spacing w:line="360" w:lineRule="auto"/>
      </w:pPr>
      <w:r>
        <w:rPr>
          <w:rFonts w:ascii="Times New Roman" w:eastAsia="Times New Roman" w:hAnsi="Times New Roman" w:cs="Times New Roman"/>
        </w:rPr>
        <w:t>The article further focuses on the elimination of any barrier that may hinder accessibility of information and communication. The states parties have a responsibility to take up appropriate measures to ensure persons with disabilities access new information and communication technologies and systems that have been introduced.</w:t>
      </w:r>
      <w:r>
        <w:rPr>
          <w:rFonts w:ascii="Times New Roman" w:hAnsi="Times New Roman" w:cs="Times New Roman"/>
          <w:szCs w:val="24"/>
        </w:rPr>
        <w:t>.</w:t>
      </w:r>
    </w:p>
    <w:p w:rsidR="00970B69" w:rsidRDefault="00CD57D7">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4.0 REGIONAL FRAMEWORK</w:t>
      </w:r>
    </w:p>
    <w:p w:rsidR="00970B69" w:rsidRDefault="00CD57D7">
      <w:pPr>
        <w:rPr>
          <w:rFonts w:ascii="Times New Roman" w:eastAsia="Times New Roman" w:hAnsi="Times New Roman" w:cs="Times New Roman"/>
          <w:b/>
          <w:bCs/>
          <w:sz w:val="28"/>
          <w:szCs w:val="28"/>
        </w:rPr>
      </w:pPr>
      <w:bookmarkStart w:id="310" w:name="_Toc1440819576"/>
      <w:bookmarkStart w:id="311" w:name="_Toc828902821"/>
      <w:bookmarkStart w:id="312" w:name="_Toc734178961"/>
      <w:bookmarkStart w:id="313" w:name="_Toc2018288994"/>
      <w:bookmarkStart w:id="314" w:name="_Toc382071964"/>
      <w:bookmarkStart w:id="315" w:name="_Toc320882127"/>
      <w:bookmarkStart w:id="316" w:name="_Toc742228505"/>
      <w:bookmarkStart w:id="317" w:name="_Toc1491425889"/>
      <w:bookmarkStart w:id="318" w:name="_Toc236328903"/>
      <w:bookmarkStart w:id="319" w:name="_Toc936793505"/>
      <w:bookmarkStart w:id="320" w:name="_Toc2127485417"/>
      <w:bookmarkStart w:id="321" w:name="_Toc1828158814"/>
      <w:bookmarkStart w:id="322" w:name="_Toc1007081435"/>
      <w:bookmarkStart w:id="323" w:name="_Toc885895494"/>
      <w:bookmarkStart w:id="324" w:name="_Toc730323305"/>
      <w:bookmarkStart w:id="325" w:name="_Toc1519870087"/>
      <w:bookmarkStart w:id="326" w:name="_Toc127169254"/>
      <w:bookmarkStart w:id="327" w:name="_Toc1813899750"/>
      <w:bookmarkStart w:id="328" w:name="_Toc160996242"/>
      <w:r>
        <w:rPr>
          <w:rStyle w:val="Heading2Char"/>
          <w:rFonts w:ascii="Times New Roman" w:eastAsia="Times New Roman" w:hAnsi="Times New Roman" w:cs="Times New Roman"/>
          <w:b/>
          <w:bCs/>
          <w:color w:val="auto"/>
          <w:sz w:val="28"/>
          <w:szCs w:val="28"/>
        </w:rPr>
        <w:t>4.1 The African (Banjul) Charter on Human and People’s Rights</w:t>
      </w:r>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r>
        <w:rPr>
          <w:rFonts w:ascii="Times New Roman" w:eastAsia="Times New Roman" w:hAnsi="Times New Roman" w:cs="Times New Roman"/>
          <w:b/>
          <w:bCs/>
          <w:sz w:val="28"/>
          <w:szCs w:val="28"/>
        </w:rPr>
        <w:t xml:space="preserve">  </w:t>
      </w:r>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African Charter was developed to protect human and people’s rights  taking into account the traditions of the African people. It stipulates some rights directly related to ICT including the right to express and receive information under Article 9(1). </w:t>
      </w:r>
    </w:p>
    <w:p w:rsidR="00970B69" w:rsidRDefault="00CD57D7">
      <w:pPr>
        <w:pStyle w:val="Heading2"/>
        <w:rPr>
          <w:rFonts w:ascii="Times New Roman" w:eastAsia="Times New Roman" w:hAnsi="Times New Roman" w:cs="Times New Roman"/>
          <w:b/>
          <w:bCs/>
          <w:color w:val="auto"/>
          <w:sz w:val="28"/>
          <w:szCs w:val="28"/>
        </w:rPr>
      </w:pPr>
      <w:bookmarkStart w:id="329" w:name="_Toc1337669077"/>
      <w:bookmarkStart w:id="330" w:name="_Toc1448397141"/>
      <w:bookmarkStart w:id="331" w:name="_Toc1618880542"/>
      <w:bookmarkStart w:id="332" w:name="_Toc723304696"/>
      <w:bookmarkStart w:id="333" w:name="_Toc710390348"/>
      <w:bookmarkStart w:id="334" w:name="_Toc612483492"/>
      <w:bookmarkStart w:id="335" w:name="_Toc256496422"/>
      <w:bookmarkStart w:id="336" w:name="_Toc1756907707"/>
      <w:bookmarkStart w:id="337" w:name="_Toc1156815306"/>
      <w:bookmarkStart w:id="338" w:name="_Toc330276644"/>
      <w:bookmarkStart w:id="339" w:name="_Toc17067966"/>
      <w:bookmarkStart w:id="340" w:name="_Toc1372784640"/>
      <w:bookmarkStart w:id="341" w:name="_Toc706126497"/>
      <w:bookmarkStart w:id="342" w:name="_Toc660345226"/>
      <w:bookmarkStart w:id="343" w:name="_Toc1443633622"/>
      <w:bookmarkStart w:id="344" w:name="_Toc1656534931"/>
      <w:bookmarkStart w:id="345" w:name="_Toc396744187"/>
      <w:bookmarkStart w:id="346" w:name="_Toc570071696"/>
      <w:bookmarkStart w:id="347" w:name="_Toc160996243"/>
      <w:r>
        <w:rPr>
          <w:rFonts w:ascii="Times New Roman" w:eastAsia="Times New Roman" w:hAnsi="Times New Roman" w:cs="Times New Roman"/>
          <w:b/>
          <w:bCs/>
          <w:color w:val="auto"/>
          <w:sz w:val="28"/>
          <w:szCs w:val="28"/>
        </w:rPr>
        <w:lastRenderedPageBreak/>
        <w:t>4.2 The African Union Convention on Cyber Security and Personal Data Protection (Malabo Protocol)</w:t>
      </w:r>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r>
        <w:rPr>
          <w:rFonts w:ascii="Times New Roman" w:eastAsia="Times New Roman" w:hAnsi="Times New Roman" w:cs="Times New Roman"/>
          <w:b/>
          <w:bCs/>
          <w:color w:val="auto"/>
          <w:sz w:val="28"/>
          <w:szCs w:val="28"/>
        </w:rPr>
        <w:t xml:space="preserve"> </w:t>
      </w:r>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szCs w:val="24"/>
        </w:rPr>
        <w:t xml:space="preserve"> The AU Convention is the most comprehensive and authoritative regional-wide normative framework for data privacy in Africa. The convention was enacted to regulate the evolving technological domain to meet the expectations of diverse actors in the region. It sets forth the security rules essential for establishing a credible digital space for electronic transactions, personal data protection and combatting crimes. The objective of the convention is to address the need for harmonized legislation in cyber security among member states and to establish a mechanism to combat violations of privacy generated from personal data protection, processing, transmission and use in the member states. It heavily borrows its regulations from the Organisation</w:t>
      </w:r>
      <w:r>
        <w:rPr>
          <w:rFonts w:ascii="Times New Roman" w:eastAsia="Times New Roman" w:hAnsi="Times New Roman" w:cs="Times New Roman"/>
        </w:rPr>
        <w:t xml:space="preserve"> for Economic Co-operation and Development (OECD).</w:t>
      </w:r>
    </w:p>
    <w:p w:rsidR="00970B69" w:rsidRDefault="00CD57D7">
      <w:pPr>
        <w:spacing w:line="360" w:lineRule="auto"/>
        <w:ind w:left="-20" w:right="-20"/>
        <w:rPr>
          <w:rFonts w:ascii="Times New Roman" w:eastAsia="Times New Roman" w:hAnsi="Times New Roman" w:cs="Times New Roman"/>
          <w:szCs w:val="24"/>
        </w:rPr>
      </w:pPr>
      <w:r>
        <w:rPr>
          <w:rFonts w:ascii="Times New Roman" w:eastAsia="Times New Roman" w:hAnsi="Times New Roman" w:cs="Times New Roman"/>
          <w:szCs w:val="24"/>
        </w:rPr>
        <w:t xml:space="preserve">The convention is divided into three chapters. Chapter 1 addresses electronic transactions on matters rules on contractual liability of the provider of goods and services by electronic means, advertising, electronic contracts and security of electronic contracts. </w:t>
      </w:r>
    </w:p>
    <w:p w:rsidR="00970B69" w:rsidRDefault="00CD57D7">
      <w:pPr>
        <w:spacing w:line="360" w:lineRule="auto"/>
        <w:ind w:left="-20" w:right="-20"/>
        <w:rPr>
          <w:rFonts w:ascii="Times New Roman" w:eastAsia="Times New Roman" w:hAnsi="Times New Roman" w:cs="Times New Roman"/>
          <w:szCs w:val="24"/>
        </w:rPr>
      </w:pPr>
      <w:r>
        <w:rPr>
          <w:rFonts w:ascii="Times New Roman" w:eastAsia="Times New Roman" w:hAnsi="Times New Roman" w:cs="Times New Roman"/>
          <w:szCs w:val="24"/>
        </w:rPr>
        <w:t xml:space="preserve">Chapter 2 establishes a legal framework on personal data protection. The Convention has the potential to become the common standard for data privacy in the African continent. It is noteworthy that Article 13 of the AU Convention in this respect provides for principles of consent and legitimacy, lawfulness and fairness, and purpose, relevance and storage. In addition, the convention provides for the principles of accuracy, transparency, confidentiality and security as principles 4 to 6. </w:t>
      </w:r>
    </w:p>
    <w:p w:rsidR="00970B69" w:rsidRDefault="00CD57D7">
      <w:p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 xml:space="preserve">Lastly, Chapter 3 deals with promoting cyber security and combatting cyber-crimes. It calls for the establishment of a National Cyber Security framework among member states under Article 24. Article 27(2) specifically provides for the institutional framework governing cyber security in that each state party shall adopt such measures as it deems necessary in order to establish appropriate institutions to combat cyber-crime.  </w:t>
      </w:r>
    </w:p>
    <w:p w:rsidR="00970B69" w:rsidRDefault="00CD57D7">
      <w:pPr>
        <w:pStyle w:val="Heading2"/>
        <w:rPr>
          <w:rFonts w:ascii="Times New Roman" w:eastAsia="Times New Roman" w:hAnsi="Times New Roman" w:cs="Times New Roman"/>
          <w:b/>
          <w:bCs/>
          <w:color w:val="auto"/>
          <w:sz w:val="28"/>
          <w:szCs w:val="28"/>
        </w:rPr>
      </w:pPr>
      <w:bookmarkStart w:id="348" w:name="_Toc824105316"/>
      <w:bookmarkStart w:id="349" w:name="_Toc1350851546"/>
      <w:bookmarkStart w:id="350" w:name="_Toc1176123109"/>
      <w:bookmarkStart w:id="351" w:name="_Toc2000129577"/>
      <w:bookmarkStart w:id="352" w:name="_Toc56926028"/>
      <w:bookmarkStart w:id="353" w:name="_Toc399406248"/>
      <w:bookmarkStart w:id="354" w:name="_Toc771017672"/>
      <w:bookmarkStart w:id="355" w:name="_Toc1416076823"/>
      <w:bookmarkStart w:id="356" w:name="_Toc1526645671"/>
      <w:bookmarkStart w:id="357" w:name="_Toc1994387620"/>
      <w:bookmarkStart w:id="358" w:name="_Toc942662031"/>
      <w:bookmarkStart w:id="359" w:name="_Toc310874890"/>
      <w:bookmarkStart w:id="360" w:name="_Toc832784928"/>
      <w:bookmarkStart w:id="361" w:name="_Toc269691950"/>
      <w:bookmarkStart w:id="362" w:name="_Toc484375989"/>
      <w:bookmarkStart w:id="363" w:name="_Toc831184165"/>
      <w:bookmarkStart w:id="364" w:name="_Toc2109653613"/>
      <w:bookmarkStart w:id="365" w:name="_Toc1831575794"/>
      <w:bookmarkStart w:id="366" w:name="_Toc160996244"/>
      <w:r>
        <w:rPr>
          <w:rFonts w:ascii="Times New Roman" w:eastAsia="Times New Roman" w:hAnsi="Times New Roman" w:cs="Times New Roman"/>
          <w:b/>
          <w:bCs/>
          <w:color w:val="auto"/>
          <w:sz w:val="28"/>
          <w:szCs w:val="28"/>
        </w:rPr>
        <w:lastRenderedPageBreak/>
        <w:t>5.0 Conclusion</w:t>
      </w:r>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p>
    <w:p w:rsidR="00970B69" w:rsidRDefault="00CD57D7">
      <w:pPr>
        <w:spacing w:line="360" w:lineRule="auto"/>
        <w:rPr>
          <w:rFonts w:ascii="Times New Roman" w:eastAsia="Times New Roman" w:hAnsi="Times New Roman" w:cs="Times New Roman"/>
        </w:rPr>
      </w:pPr>
      <w:r>
        <w:rPr>
          <w:rFonts w:ascii="Times New Roman" w:eastAsia="Times New Roman" w:hAnsi="Times New Roman" w:cs="Times New Roman"/>
        </w:rPr>
        <w:t xml:space="preserve">It is evident that the Kenyan regulatory framework seeks to protect and promote the use of ICT in different sectors such as commercial transactions, media, interpersonal relationship and the use of personal data by regulatory agents. Although, the legislations seek to protect citizens from cyber-crimes ICT continues to evolve hence the laws need to be regularly amended to reflect the evolving nature of ICT. </w:t>
      </w:r>
    </w:p>
    <w:p w:rsidR="00970B69" w:rsidRDefault="00970B69">
      <w:pPr>
        <w:rPr>
          <w:rFonts w:ascii="Times New Roman" w:eastAsia="Times New Roman" w:hAnsi="Times New Roman" w:cs="Times New Roman"/>
          <w:b/>
          <w:bCs/>
        </w:rPr>
      </w:pPr>
    </w:p>
    <w:p w:rsidR="00970B69" w:rsidRDefault="00970B69">
      <w:pPr>
        <w:rPr>
          <w:rFonts w:ascii="Times New Roman" w:eastAsia="Times New Roman" w:hAnsi="Times New Roman" w:cs="Times New Roman"/>
          <w:b/>
          <w:bCs/>
        </w:rPr>
      </w:pPr>
    </w:p>
    <w:p w:rsidR="00970B69" w:rsidRDefault="00970B69">
      <w:pPr>
        <w:rPr>
          <w:rFonts w:ascii="Times New Roman" w:eastAsia="Times New Roman" w:hAnsi="Times New Roman" w:cs="Times New Roman"/>
          <w:b/>
          <w:bCs/>
        </w:rPr>
      </w:pPr>
    </w:p>
    <w:p w:rsidR="00970B69" w:rsidRDefault="00970B69">
      <w:pPr>
        <w:rPr>
          <w:rFonts w:ascii="Times New Roman" w:eastAsia="Times New Roman" w:hAnsi="Times New Roman" w:cs="Times New Roman"/>
        </w:rPr>
      </w:pPr>
    </w:p>
    <w:sectPr w:rsidR="00970B69">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33E0" w:rsidRDefault="007B33E0">
      <w:pPr>
        <w:spacing w:before="0" w:after="0" w:line="240" w:lineRule="auto"/>
      </w:pPr>
      <w:r>
        <w:separator/>
      </w:r>
    </w:p>
  </w:endnote>
  <w:endnote w:type="continuationSeparator" w:id="0">
    <w:p w:rsidR="007B33E0" w:rsidRDefault="007B33E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0B69" w:rsidRDefault="00CD57D7">
    <w:pPr>
      <w:pStyle w:val="Footer"/>
      <w:jc w:val="center"/>
    </w:pPr>
    <w:r>
      <w:fldChar w:fldCharType="begin"/>
    </w:r>
    <w:r>
      <w:instrText xml:space="preserve"> PAGE   \* MERGEFORMAT </w:instrText>
    </w:r>
    <w:r>
      <w:fldChar w:fldCharType="separate"/>
    </w:r>
    <w:r w:rsidR="003E5414">
      <w:rPr>
        <w:noProof/>
      </w:rPr>
      <w:t>20</w:t>
    </w:r>
    <w:r>
      <w:rPr>
        <w:noProof/>
      </w:rPr>
      <w:fldChar w:fldCharType="end"/>
    </w:r>
  </w:p>
  <w:p w:rsidR="00970B69" w:rsidRDefault="00970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33E0" w:rsidRDefault="007B33E0">
      <w:pPr>
        <w:spacing w:before="0" w:after="0" w:line="240" w:lineRule="auto"/>
      </w:pPr>
      <w:r>
        <w:separator/>
      </w:r>
    </w:p>
  </w:footnote>
  <w:footnote w:type="continuationSeparator" w:id="0">
    <w:p w:rsidR="007B33E0" w:rsidRDefault="007B33E0">
      <w:pPr>
        <w:spacing w:before="0" w:after="0" w:line="240" w:lineRule="auto"/>
      </w:pPr>
      <w:r>
        <w:continuationSeparator/>
      </w:r>
    </w:p>
  </w:footnote>
  <w:footnote w:id="1">
    <w:p w:rsidR="00970B69" w:rsidRDefault="00CD57D7">
      <w:pPr>
        <w:pStyle w:val="FootnoteText"/>
        <w:spacing w:before="100" w:after="100"/>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The Constitution of Kenya 2010. Article 2(1)</w:t>
      </w:r>
    </w:p>
  </w:footnote>
  <w:footnote w:id="2">
    <w:p w:rsidR="00970B69" w:rsidRDefault="00CD57D7">
      <w:pPr>
        <w:pStyle w:val="FootnoteText"/>
        <w:spacing w:before="100" w:after="100"/>
        <w:rPr>
          <w:rFonts w:ascii="Times New Roman" w:hAnsi="Times New Roman" w:cs="Times New Roman"/>
          <w:lang w:val="en-US"/>
        </w:rPr>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lang w:val="en-US"/>
        </w:rPr>
        <w:t>[2018] eKLR</w:t>
      </w:r>
    </w:p>
  </w:footnote>
  <w:footnote w:id="3">
    <w:p w:rsidR="00970B69" w:rsidRDefault="00CD57D7">
      <w:pPr>
        <w:pStyle w:val="FootnoteText"/>
        <w:spacing w:before="100" w:after="100"/>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Kenya Information and Communication (Amendment) Act 2013. s. 3</w:t>
      </w:r>
    </w:p>
  </w:footnote>
  <w:footnote w:id="4">
    <w:p w:rsidR="00970B69" w:rsidRDefault="00CD57D7">
      <w:pPr>
        <w:pStyle w:val="FootnoteText"/>
        <w:spacing w:before="100" w:after="100"/>
        <w:rPr>
          <w:rFonts w:ascii="Times New Roman" w:hAnsi="Times New Roman" w:cs="Times New Roman"/>
          <w:lang w:val="en-US"/>
        </w:rPr>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lang w:val="en-US"/>
        </w:rPr>
        <w:t>Ibid, preamble</w:t>
      </w:r>
    </w:p>
  </w:footnote>
  <w:footnote w:id="5">
    <w:p w:rsidR="00970B69" w:rsidRDefault="00CD57D7">
      <w:pPr>
        <w:pStyle w:val="FootnoteText"/>
        <w:spacing w:before="100" w:after="100"/>
        <w:rPr>
          <w:rFonts w:ascii="Times New Roman" w:hAnsi="Times New Roman" w:cs="Times New Roman"/>
          <w:lang w:val="en-US"/>
        </w:rPr>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lang w:val="en-US"/>
        </w:rPr>
        <w:t>Ibid, s.5(b)</w:t>
      </w:r>
    </w:p>
  </w:footnote>
  <w:footnote w:id="6">
    <w:p w:rsidR="00970B69" w:rsidRDefault="00CD57D7">
      <w:pPr>
        <w:pStyle w:val="FootnoteText"/>
        <w:spacing w:before="100" w:after="100"/>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i/>
        </w:rPr>
        <w:t>Okiya Omtatah Okoiti v Communication Authority of Kenya &amp; 8 Others</w:t>
      </w:r>
      <w:r>
        <w:rPr>
          <w:rFonts w:ascii="Times New Roman" w:hAnsi="Times New Roman" w:cs="Times New Roman"/>
        </w:rPr>
        <w:t xml:space="preserve"> [2018] eKLR the court noted that the CAK’s decision should be guided by Article 10 of the constitution of Kenya. </w:t>
      </w:r>
    </w:p>
  </w:footnote>
  <w:footnote w:id="7">
    <w:p w:rsidR="00970B69" w:rsidRDefault="00CD57D7">
      <w:pPr>
        <w:pStyle w:val="FootnoteText"/>
        <w:rPr>
          <w:rFonts w:cs="Times New Roman"/>
        </w:rPr>
      </w:pPr>
      <w:r>
        <w:rPr>
          <w:rStyle w:val="FootnoteReference"/>
          <w:rFonts w:cs="Times New Roman"/>
        </w:rPr>
        <w:footnoteRef/>
      </w:r>
      <w:r>
        <w:rPr>
          <w:rFonts w:cs="Times New Roman"/>
        </w:rPr>
        <w:t xml:space="preserve"> [2018] eKLR</w:t>
      </w:r>
    </w:p>
  </w:footnote>
  <w:footnote w:id="8">
    <w:p w:rsidR="00970B69" w:rsidRDefault="00CD57D7">
      <w:pPr>
        <w:pStyle w:val="FootnoteText"/>
        <w:rPr>
          <w:lang w:val="en-US"/>
        </w:rPr>
      </w:pPr>
      <w:r>
        <w:rPr>
          <w:rStyle w:val="FootnoteReference"/>
        </w:rPr>
        <w:footnoteRef/>
      </w:r>
      <w:r>
        <w:t xml:space="preserve"> </w:t>
      </w:r>
      <w:r>
        <w:rPr>
          <w:rFonts w:ascii="Times New Roman" w:hAnsi="Times New Roman" w:cs="Times New Roman"/>
        </w:rPr>
        <w:t xml:space="preserve">Similar cases have arisen on disputes between the CAK and service providers such as the </w:t>
      </w:r>
      <w:r>
        <w:rPr>
          <w:rFonts w:ascii="Times New Roman" w:hAnsi="Times New Roman" w:cs="Times New Roman"/>
          <w:i/>
        </w:rPr>
        <w:t>Telecommunications Service Providers Association of Kenya v Communications Commission of Kenya</w:t>
      </w:r>
      <w:r>
        <w:rPr>
          <w:rFonts w:ascii="Times New Roman" w:hAnsi="Times New Roman" w:cs="Times New Roman"/>
        </w:rPr>
        <w:t xml:space="preserve"> (2014) ekLR and </w:t>
      </w:r>
      <w:r>
        <w:rPr>
          <w:rFonts w:ascii="Times New Roman" w:hAnsi="Times New Roman" w:cs="Times New Roman"/>
          <w:i/>
        </w:rPr>
        <w:t xml:space="preserve">Airtel Network Kenya Ltd v Communications Authority of Kenya </w:t>
      </w:r>
      <w:r>
        <w:rPr>
          <w:rFonts w:ascii="Times New Roman" w:hAnsi="Times New Roman" w:cs="Times New Roman"/>
        </w:rPr>
        <w:t>2019(eKLR) on grounds that the CAK had exceeded their mandate.</w:t>
      </w:r>
    </w:p>
  </w:footnote>
  <w:footnote w:id="9">
    <w:p w:rsidR="00970B69" w:rsidRDefault="00CD57D7">
      <w:pPr>
        <w:pStyle w:val="FootnoteText"/>
        <w:spacing w:before="100" w:after="100"/>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Data Protection Act 2019. s.26</w:t>
      </w:r>
    </w:p>
  </w:footnote>
  <w:footnote w:id="10">
    <w:p w:rsidR="003D3684" w:rsidRDefault="003D3684" w:rsidP="003D3684">
      <w:pPr>
        <w:pStyle w:val="FootnoteText"/>
      </w:pPr>
      <w:r>
        <w:rPr>
          <w:rStyle w:val="FootnoteReference"/>
        </w:rPr>
        <w:footnoteRef/>
      </w:r>
      <w:r>
        <w:t xml:space="preserve"> Sec 18</w:t>
      </w:r>
    </w:p>
  </w:footnote>
  <w:footnote w:id="11">
    <w:p w:rsidR="003D3684" w:rsidRDefault="003D3684" w:rsidP="003D3684">
      <w:pPr>
        <w:pStyle w:val="FootnoteText"/>
      </w:pPr>
      <w:r>
        <w:rPr>
          <w:rStyle w:val="FootnoteReference"/>
        </w:rPr>
        <w:footnoteRef/>
      </w:r>
      <w:r>
        <w:t xml:space="preserve"> Sec 41</w:t>
      </w:r>
    </w:p>
  </w:footnote>
  <w:footnote w:id="12">
    <w:p w:rsidR="003D3684" w:rsidRDefault="003D3684" w:rsidP="003D3684">
      <w:pPr>
        <w:pStyle w:val="FootnoteText"/>
      </w:pPr>
      <w:r>
        <w:rPr>
          <w:rStyle w:val="FootnoteReference"/>
        </w:rPr>
        <w:footnoteRef/>
      </w:r>
      <w:r>
        <w:t xml:space="preserve"> Sec 43</w:t>
      </w:r>
    </w:p>
  </w:footnote>
  <w:footnote w:id="13">
    <w:p w:rsidR="00970B69" w:rsidRDefault="00CD57D7">
      <w:pPr>
        <w:pStyle w:val="FootnoteText"/>
        <w:spacing w:before="100" w:after="100"/>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(Judicial Review) E028 of 2023</w:t>
      </w:r>
    </w:p>
  </w:footnote>
  <w:footnote w:id="14">
    <w:p w:rsidR="00970B69" w:rsidRDefault="00CD57D7">
      <w:pPr>
        <w:pStyle w:val="FootnoteText"/>
        <w:spacing w:before="100" w:after="100"/>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ibid, s.29</w:t>
      </w:r>
    </w:p>
  </w:footnote>
  <w:footnote w:id="15">
    <w:p w:rsidR="00970B69" w:rsidRDefault="00CD57D7">
      <w:pPr>
        <w:pStyle w:val="FootnoteText"/>
        <w:spacing w:before="100" w:after="100"/>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Consumer Protection Act 2013. Long Title </w:t>
      </w:r>
    </w:p>
  </w:footnote>
  <w:footnote w:id="16">
    <w:p w:rsidR="00970B69" w:rsidRDefault="00CD57D7">
      <w:pPr>
        <w:spacing w:line="240" w:lineRule="auto"/>
        <w:rPr>
          <w:rFonts w:ascii="Times New Roman" w:hAnsi="Times New Roman" w:cs="Times New Roman"/>
          <w:sz w:val="20"/>
          <w:szCs w:val="20"/>
        </w:rPr>
      </w:pPr>
      <w:r>
        <w:rPr>
          <w:rStyle w:val="FootnoteReference"/>
          <w:rFonts w:ascii="Times New Roman" w:hAnsi="Times New Roman" w:cs="Times New Roman"/>
          <w:sz w:val="20"/>
          <w:szCs w:val="20"/>
        </w:rPr>
        <w:footnoteRef/>
      </w:r>
      <w:r>
        <w:rPr>
          <w:rFonts w:ascii="Times New Roman" w:hAnsi="Times New Roman" w:cs="Times New Roman"/>
          <w:sz w:val="20"/>
          <w:szCs w:val="20"/>
        </w:rPr>
        <w:t xml:space="preserve"> ibid, s. 3(4)(d)</w:t>
      </w:r>
    </w:p>
  </w:footnote>
  <w:footnote w:id="17">
    <w:p w:rsidR="00970B69" w:rsidRDefault="00CD57D7">
      <w:pPr>
        <w:pStyle w:val="FootnoteText"/>
        <w:spacing w:before="100" w:after="100"/>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Ibid, s.4</w:t>
      </w:r>
    </w:p>
  </w:footnote>
  <w:footnote w:id="18">
    <w:p w:rsidR="00970B69" w:rsidRDefault="00CD57D7">
      <w:pPr>
        <w:pStyle w:val="FootnoteText"/>
        <w:spacing w:before="100" w:after="100"/>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ibid, s.2</w:t>
      </w:r>
    </w:p>
  </w:footnote>
  <w:footnote w:id="19">
    <w:p w:rsidR="00970B69" w:rsidRDefault="00CD57D7">
      <w:pPr>
        <w:pStyle w:val="FootnoteText"/>
        <w:spacing w:before="100" w:after="100"/>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ibid, s. 32-34</w:t>
      </w:r>
    </w:p>
  </w:footnote>
  <w:footnote w:id="20">
    <w:p w:rsidR="00970B69" w:rsidRDefault="00CD57D7">
      <w:pPr>
        <w:pStyle w:val="FootnoteText"/>
        <w:rPr>
          <w:rFonts w:ascii="Times New Roman" w:hAnsi="Times New Roman" w:cs="Times New Roman"/>
          <w:lang w:val="en-US"/>
        </w:rPr>
      </w:pPr>
      <w:r>
        <w:rPr>
          <w:rStyle w:val="FootnoteReference"/>
        </w:rPr>
        <w:footnoteRef/>
      </w:r>
      <w:r>
        <w:rPr>
          <w:rFonts w:ascii="Times New Roman" w:hAnsi="Times New Roman" w:cs="Times New Roman"/>
          <w:iCs/>
          <w:lang w:val="en-US"/>
        </w:rPr>
        <w:t xml:space="preserve">Sampled cases by the Competition authority of Kenya accessed at </w:t>
      </w:r>
      <w:hyperlink r:id="rId1" w:history="1">
        <w:r>
          <w:rPr>
            <w:rStyle w:val="Hyperlink"/>
            <w:rFonts w:ascii="Times New Roman" w:hAnsi="Times New Roman" w:cs="Times New Roman"/>
            <w:iCs/>
          </w:rPr>
          <w:t>https://cak.go.ke/sites/default/files/guidelines/consumer</w:t>
        </w:r>
      </w:hyperlink>
      <w:r>
        <w:rPr>
          <w:rFonts w:ascii="Times New Roman" w:hAnsi="Times New Roman" w:cs="Times New Roman"/>
          <w:iCs/>
          <w:lang w:val="en-US"/>
        </w:rPr>
        <w:t xml:space="preserve"> </w:t>
      </w:r>
      <w:r>
        <w:rPr>
          <w:rFonts w:ascii="Times New Roman" w:hAnsi="Times New Roman" w:cs="Times New Roman"/>
          <w:iCs/>
        </w:rPr>
        <w:t>protection/Sampled%20Consumer%20Protection%20Cases.pdf</w:t>
      </w:r>
    </w:p>
  </w:footnote>
  <w:footnote w:id="21">
    <w:p w:rsidR="00970B69" w:rsidRDefault="00CD57D7">
      <w:pPr>
        <w:pStyle w:val="FootnoteText"/>
        <w:rPr>
          <w:lang w:val="en-US"/>
        </w:rPr>
      </w:pPr>
      <w:r>
        <w:rPr>
          <w:rStyle w:val="FootnoteReference"/>
        </w:rPr>
        <w:footnoteRef/>
      </w:r>
      <w:r>
        <w:t xml:space="preserve"> </w:t>
      </w:r>
      <w:r>
        <w:rPr>
          <w:rFonts w:ascii="Times New Roman" w:hAnsi="Times New Roman" w:cs="Times New Roman"/>
          <w:bCs/>
          <w:i/>
          <w:szCs w:val="24"/>
        </w:rPr>
        <w:t xml:space="preserve">Consumers Federation of Kenya &amp; 4 others v. Safaricom Limited &amp; 3 others </w:t>
      </w:r>
      <w:r>
        <w:rPr>
          <w:rFonts w:ascii="Times New Roman" w:hAnsi="Times New Roman" w:cs="Times New Roman"/>
          <w:bCs/>
          <w:szCs w:val="24"/>
        </w:rPr>
        <w:t>(2019) eKLR</w:t>
      </w:r>
    </w:p>
  </w:footnote>
  <w:footnote w:id="22">
    <w:p w:rsidR="00970B69" w:rsidRDefault="00CD57D7">
      <w:pPr>
        <w:pStyle w:val="FootnoteText"/>
        <w:spacing w:before="100" w:after="100"/>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[2020] eKLR </w:t>
      </w:r>
    </w:p>
  </w:footnote>
  <w:footnote w:id="23">
    <w:p w:rsidR="00970B69" w:rsidRDefault="00CD57D7">
      <w:pPr>
        <w:pStyle w:val="FootnoteText"/>
        <w:spacing w:before="100" w:after="100"/>
        <w:rPr>
          <w:rFonts w:ascii="Times New Roman" w:hAnsi="Times New Roman" w:cs="Times New Roman"/>
          <w:lang w:val="en-US"/>
        </w:rPr>
      </w:pPr>
      <w:r>
        <w:rPr>
          <w:rStyle w:val="FootnoteReference"/>
          <w:rFonts w:ascii="Times New Roman" w:hAnsi="Times New Roman" w:cs="Times New Roman"/>
        </w:rPr>
        <w:footnoteRef/>
      </w:r>
      <w:r>
        <w:rPr>
          <w:rFonts w:ascii="Times New Roman" w:hAnsi="Times New Roman" w:cs="Times New Roman"/>
        </w:rPr>
        <w:t xml:space="preserve"> Science, Technology and Innovation Act</w:t>
      </w:r>
      <w:r>
        <w:rPr>
          <w:rFonts w:ascii="Times New Roman" w:hAnsi="Times New Roman" w:cs="Times New Roman"/>
          <w:lang w:val="en-US"/>
        </w:rPr>
        <w:t xml:space="preserve"> 2013, s.29</w:t>
      </w:r>
    </w:p>
  </w:footnote>
  <w:footnote w:id="24">
    <w:p w:rsidR="00970B69" w:rsidRDefault="00CD57D7">
      <w:pPr>
        <w:pStyle w:val="FootnoteText"/>
        <w:spacing w:before="100" w:after="100"/>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Competition Act 2012. s.9</w:t>
      </w:r>
    </w:p>
  </w:footnote>
  <w:footnote w:id="25">
    <w:p w:rsidR="00970B69" w:rsidRDefault="00CD57D7">
      <w:pPr>
        <w:pStyle w:val="FootnoteText"/>
        <w:spacing w:before="100" w:after="100"/>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ibid,s.17</w:t>
      </w:r>
    </w:p>
  </w:footnote>
  <w:footnote w:id="26">
    <w:p w:rsidR="00970B69" w:rsidRDefault="00CD57D7">
      <w:pPr>
        <w:pStyle w:val="FootnoteText"/>
        <w:spacing w:before="100" w:after="100"/>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Competition Tribunal (Procedure) Rules, Rule 9.</w:t>
      </w:r>
    </w:p>
  </w:footnote>
  <w:footnote w:id="27">
    <w:p w:rsidR="00970B69" w:rsidRDefault="00CD57D7">
      <w:pPr>
        <w:pStyle w:val="FootnoteText"/>
        <w:rPr>
          <w:lang w:val="en-US"/>
        </w:rPr>
      </w:pPr>
      <w:r>
        <w:rPr>
          <w:rStyle w:val="FootnoteReference"/>
        </w:rPr>
        <w:footnoteRef/>
      </w:r>
      <w:r>
        <w:rPr>
          <w:lang w:val="en-US"/>
        </w:rPr>
        <w:t xml:space="preserve">ibid </w:t>
      </w:r>
    </w:p>
  </w:footnote>
  <w:footnote w:id="28">
    <w:p w:rsidR="00970B69" w:rsidRDefault="00CD57D7">
      <w:pPr>
        <w:pStyle w:val="FootnoteText"/>
        <w:rPr>
          <w:rFonts w:ascii="Times New Roman" w:hAnsi="Times New Roman" w:cs="Times New Roman"/>
          <w:lang w:val="en-US"/>
        </w:rPr>
      </w:pPr>
      <w:r>
        <w:rPr>
          <w:rStyle w:val="FootnoteReference"/>
        </w:rPr>
        <w:footnoteRef/>
      </w:r>
      <w:r>
        <w:t xml:space="preserve"> </w:t>
      </w:r>
      <w:r>
        <w:rPr>
          <w:lang w:val="en-US"/>
        </w:rPr>
        <w:t xml:space="preserve"> </w:t>
      </w:r>
      <w:r>
        <w:rPr>
          <w:rFonts w:ascii="Times New Roman" w:hAnsi="Times New Roman" w:cs="Times New Roman"/>
          <w:lang w:val="en-US"/>
        </w:rPr>
        <w:t xml:space="preserve">Similarly, in </w:t>
      </w:r>
      <w:r>
        <w:rPr>
          <w:rFonts w:ascii="Times New Roman" w:hAnsi="Times New Roman" w:cs="Times New Roman"/>
          <w:i/>
          <w:lang w:val="en-US"/>
        </w:rPr>
        <w:t>Eric v GOTV</w:t>
      </w:r>
      <w:r>
        <w:rPr>
          <w:rFonts w:ascii="Times New Roman" w:hAnsi="Times New Roman" w:cs="Times New Roman"/>
          <w:lang w:val="en-US"/>
        </w:rPr>
        <w:t xml:space="preserve"> the court held that a consumer has a right to have his complaints addressed and the matter solved to the customer’s satisfaction. </w:t>
      </w:r>
    </w:p>
  </w:footnote>
  <w:footnote w:id="29">
    <w:p w:rsidR="003D3684" w:rsidRDefault="003D3684" w:rsidP="003D3684">
      <w:pPr>
        <w:pStyle w:val="FootnoteText"/>
      </w:pPr>
      <w:r>
        <w:rPr>
          <w:rStyle w:val="FootnoteReference"/>
        </w:rPr>
        <w:footnoteRef/>
      </w:r>
      <w:r>
        <w:t xml:space="preserve"> Competition Act, Section 35(2).</w:t>
      </w:r>
    </w:p>
    <w:p w:rsidR="003D3684" w:rsidRDefault="003D3684" w:rsidP="003D3684">
      <w:pPr>
        <w:pStyle w:val="FootnoteText"/>
      </w:pPr>
    </w:p>
  </w:footnote>
  <w:footnote w:id="30">
    <w:p w:rsidR="00970B69" w:rsidRDefault="00CD57D7">
      <w:pPr>
        <w:spacing w:line="240" w:lineRule="auto"/>
        <w:rPr>
          <w:rFonts w:ascii="Times New Roman" w:eastAsia="Times New Roman" w:hAnsi="Times New Roman" w:cs="Times New Roman"/>
          <w:b/>
          <w:bCs/>
          <w:sz w:val="20"/>
          <w:szCs w:val="20"/>
        </w:rPr>
      </w:pPr>
      <w:r>
        <w:rPr>
          <w:rStyle w:val="FootnoteReference"/>
          <w:rFonts w:ascii="Times New Roman" w:hAnsi="Times New Roman" w:cs="Times New Roman"/>
          <w:sz w:val="20"/>
          <w:szCs w:val="20"/>
        </w:rPr>
        <w:footnoteRef/>
      </w:r>
      <w:r>
        <w:rPr>
          <w:rFonts w:ascii="Times New Roman" w:hAnsi="Times New Roman" w:cs="Times New Roman"/>
          <w:sz w:val="20"/>
          <w:szCs w:val="20"/>
        </w:rPr>
        <w:t xml:space="preserve"> Lilly Graham,” An Introduction to the law of Evidence.” West Publishing Company (1978)</w:t>
      </w:r>
    </w:p>
  </w:footnote>
  <w:footnote w:id="31">
    <w:p w:rsidR="00970B69" w:rsidRDefault="00CD57D7">
      <w:pPr>
        <w:pStyle w:val="FootnoteText"/>
        <w:spacing w:before="100" w:after="100"/>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Juhana  Riekkinen,“ Electronic Evidence in Criminal Procedure: </w:t>
      </w:r>
      <w:r>
        <w:rPr>
          <w:rFonts w:ascii="Times New Roman" w:hAnsi="Times New Roman" w:cs="Times New Roman"/>
          <w:i/>
          <w:iCs/>
        </w:rPr>
        <w:t xml:space="preserve">On the Effects of ICT and the Development towards the Network Society on the Life-cycle of Evidence“  </w:t>
      </w:r>
      <w:r>
        <w:rPr>
          <w:rFonts w:ascii="Times New Roman" w:hAnsi="Times New Roman" w:cs="Times New Roman"/>
        </w:rPr>
        <w:t>(2019)</w:t>
      </w:r>
    </w:p>
  </w:footnote>
  <w:footnote w:id="32">
    <w:p w:rsidR="00970B69" w:rsidRDefault="00CD57D7">
      <w:pPr>
        <w:pStyle w:val="FootnoteText"/>
        <w:spacing w:before="100" w:after="100"/>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In </w:t>
      </w:r>
      <w:r>
        <w:rPr>
          <w:rFonts w:ascii="Times New Roman" w:hAnsi="Times New Roman" w:cs="Times New Roman"/>
          <w:i/>
        </w:rPr>
        <w:t>Alfred Kiptoo Keter &amp;Anor v Republic</w:t>
      </w:r>
      <w:r>
        <w:rPr>
          <w:rFonts w:ascii="Times New Roman" w:hAnsi="Times New Roman" w:cs="Times New Roman"/>
        </w:rPr>
        <w:t xml:space="preserve"> (2020) eKLR the court allowed the production of electronic evidence. </w:t>
      </w:r>
    </w:p>
  </w:footnote>
  <w:footnote w:id="33">
    <w:p w:rsidR="00970B69" w:rsidRDefault="00CD57D7">
      <w:pPr>
        <w:pStyle w:val="FootnoteText"/>
        <w:spacing w:before="100" w:after="100"/>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National Cohesion and Integration Commission Act (No. 12 OF 2008)</w:t>
      </w:r>
    </w:p>
    <w:p w:rsidR="00970B69" w:rsidRDefault="00970B69">
      <w:pPr>
        <w:pStyle w:val="FootnoteText"/>
        <w:spacing w:before="100" w:after="100"/>
        <w:rPr>
          <w:rFonts w:ascii="Times New Roman" w:hAnsi="Times New Roman" w:cs="Times New Roman"/>
        </w:rPr>
      </w:pPr>
    </w:p>
  </w:footnote>
  <w:footnote w:id="34">
    <w:p w:rsidR="00970B69" w:rsidRDefault="00CD57D7">
      <w:pPr>
        <w:pStyle w:val="FootnoteText"/>
        <w:spacing w:before="100" w:after="100"/>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Ibid, s.26</w:t>
      </w:r>
    </w:p>
  </w:footnote>
  <w:footnote w:id="35">
    <w:p w:rsidR="00970B69" w:rsidRDefault="00CD57D7">
      <w:pPr>
        <w:pStyle w:val="FootnoteText"/>
        <w:rPr>
          <w:lang w:val="en-US"/>
        </w:rPr>
      </w:pPr>
      <w:r>
        <w:rPr>
          <w:rStyle w:val="FootnoteReference"/>
        </w:rPr>
        <w:footnoteRef/>
      </w:r>
      <w:r>
        <w:t xml:space="preserve"> </w:t>
      </w:r>
      <w:r>
        <w:rPr>
          <w:rFonts w:ascii="Times New Roman" w:hAnsi="Times New Roman"/>
          <w:i/>
        </w:rPr>
        <w:t>The Media Council Act</w:t>
      </w:r>
      <w:r>
        <w:rPr>
          <w:rFonts w:ascii="Times New Roman" w:hAnsi="Times New Roman"/>
        </w:rPr>
        <w:t xml:space="preserve"> 2013, 2nd schedule</w:t>
      </w:r>
    </w:p>
  </w:footnote>
  <w:footnote w:id="36">
    <w:p w:rsidR="00970B69" w:rsidRDefault="00970B69">
      <w:pPr>
        <w:pStyle w:val="FootnoteText"/>
        <w:spacing w:before="100" w:after="100"/>
        <w:rPr>
          <w:lang w:val="en-US"/>
        </w:rPr>
      </w:pPr>
    </w:p>
  </w:footnote>
  <w:footnote w:id="37">
    <w:p w:rsidR="00970B69" w:rsidRDefault="00CD57D7">
      <w:pPr>
        <w:pStyle w:val="NoSpacing"/>
        <w:rPr>
          <w:sz w:val="20"/>
          <w:szCs w:val="20"/>
        </w:rPr>
      </w:pPr>
      <w:r>
        <w:rPr>
          <w:rStyle w:val="FootnoteReference"/>
          <w:sz w:val="20"/>
          <w:szCs w:val="20"/>
        </w:rPr>
        <w:footnoteRef/>
      </w:r>
      <w:r>
        <w:rPr>
          <w:sz w:val="20"/>
          <w:szCs w:val="20"/>
        </w:rPr>
        <w:t xml:space="preserve"> </w:t>
      </w:r>
      <w:r>
        <w:rPr>
          <w:i/>
          <w:sz w:val="20"/>
          <w:szCs w:val="20"/>
        </w:rPr>
        <w:t>Francis Muthaura vs. The Standard Group, Ben Agina and Beuttah Omanga</w:t>
      </w:r>
      <w:r>
        <w:rPr>
          <w:sz w:val="20"/>
          <w:szCs w:val="20"/>
        </w:rPr>
        <w:t xml:space="preserve"> – Complaint 1/2011 and 2/2011</w:t>
      </w:r>
    </w:p>
  </w:footnote>
  <w:footnote w:id="38">
    <w:p w:rsidR="00970B69" w:rsidRDefault="00CD57D7">
      <w:pPr>
        <w:pStyle w:val="FootnoteText"/>
        <w:rPr>
          <w:rFonts w:ascii="Times New Roman" w:hAnsi="Times New Roman" w:cs="Times New Roman"/>
          <w:lang w:val="en-US"/>
        </w:rPr>
      </w:pPr>
      <w:r>
        <w:rPr>
          <w:rStyle w:val="FootnoteReference"/>
        </w:rPr>
        <w:footnoteRef/>
      </w:r>
      <w:r>
        <w:t xml:space="preserve"> </w:t>
      </w:r>
      <w:r>
        <w:rPr>
          <w:rFonts w:ascii="Times New Roman" w:hAnsi="Times New Roman" w:cs="Times New Roman"/>
          <w:lang w:val="en-US"/>
        </w:rPr>
        <w:t xml:space="preserve">Similarly, in </w:t>
      </w:r>
      <w:r>
        <w:rPr>
          <w:rFonts w:ascii="Times New Roman" w:hAnsi="Times New Roman" w:cs="Times New Roman"/>
          <w:i/>
          <w:lang w:val="en-US"/>
        </w:rPr>
        <w:t>Miguna Miguna v The Nairobi Law Monthly and Ahmednassir Abdullahi-Complaint No, 094/2010</w:t>
      </w:r>
      <w:r>
        <w:rPr>
          <w:rFonts w:ascii="Times New Roman" w:hAnsi="Times New Roman" w:cs="Times New Roman"/>
          <w:lang w:val="en-US"/>
        </w:rPr>
        <w:t xml:space="preserve"> the respondent was held liable and was ordered to pay damages. </w:t>
      </w:r>
    </w:p>
  </w:footnote>
  <w:footnote w:id="39">
    <w:p w:rsidR="00970B69" w:rsidRDefault="00CD57D7">
      <w:pPr>
        <w:pStyle w:val="FootnoteText"/>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The plan was called the ICT Authority Strategic plan</w:t>
      </w:r>
    </w:p>
  </w:footnote>
  <w:footnote w:id="40">
    <w:p w:rsidR="00970B69" w:rsidRDefault="00CD57D7">
      <w:pPr>
        <w:pStyle w:val="FootnoteText"/>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Republic of Kenya, ICT Authority available at </w:t>
      </w:r>
      <w:hyperlink r:id="rId2" w:history="1">
        <w:r>
          <w:rPr>
            <w:rStyle w:val="Hyperlink"/>
            <w:rFonts w:ascii="Times New Roman" w:hAnsi="Times New Roman" w:cs="Times New Roman"/>
          </w:rPr>
          <w:t>https://icta.go.ke/page?q=6£type=about_ict_authority</w:t>
        </w:r>
      </w:hyperlink>
      <w:r>
        <w:rPr>
          <w:rFonts w:ascii="Times New Roman" w:hAnsi="Times New Roman" w:cs="Times New Roman"/>
        </w:rPr>
        <w:t xml:space="preserve"> &lt;accessed on 10 March 2024&gt;</w:t>
      </w:r>
    </w:p>
  </w:footnote>
  <w:footnote w:id="41">
    <w:p w:rsidR="00970B69" w:rsidRDefault="00CD57D7">
      <w:pPr>
        <w:pStyle w:val="FootnoteText"/>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Council of Governors, Information Communication Technology (ICT) Committee &gt;available at </w:t>
      </w:r>
      <w:hyperlink r:id="rId3" w:history="1">
        <w:r>
          <w:rPr>
            <w:rStyle w:val="Hyperlink"/>
            <w:rFonts w:ascii="Times New Roman" w:hAnsi="Times New Roman" w:cs="Times New Roman"/>
          </w:rPr>
          <w:t>https://cog.go.ke/41-technical-committees/330-information-communication-technology-ict-committee</w:t>
        </w:r>
      </w:hyperlink>
      <w:r>
        <w:rPr>
          <w:rFonts w:ascii="Times New Roman" w:hAnsi="Times New Roman" w:cs="Times New Roman"/>
        </w:rPr>
        <w:t xml:space="preserve"> accessed on 10 March 2024</w:t>
      </w:r>
    </w:p>
  </w:footnote>
  <w:footnote w:id="42">
    <w:p w:rsidR="00970B69" w:rsidRDefault="00CD57D7">
      <w:pPr>
        <w:pStyle w:val="FootnoteText"/>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A publication by National Commission for Science, Technology and Innovation (NACOSTI), Stir Bulletin Volume 3, (2021)</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970B69">
      <w:trPr>
        <w:trHeight w:val="300"/>
      </w:trPr>
      <w:tc>
        <w:tcPr>
          <w:tcW w:w="3120" w:type="dxa"/>
        </w:tcPr>
        <w:p w:rsidR="00970B69" w:rsidRDefault="00970B69">
          <w:pPr>
            <w:pStyle w:val="Header"/>
            <w:ind w:left="-115"/>
            <w:jc w:val="left"/>
          </w:pPr>
        </w:p>
      </w:tc>
      <w:tc>
        <w:tcPr>
          <w:tcW w:w="3120" w:type="dxa"/>
        </w:tcPr>
        <w:p w:rsidR="00970B69" w:rsidRDefault="00970B69">
          <w:pPr>
            <w:pStyle w:val="Header"/>
            <w:jc w:val="center"/>
          </w:pPr>
        </w:p>
      </w:tc>
      <w:tc>
        <w:tcPr>
          <w:tcW w:w="3120" w:type="dxa"/>
        </w:tcPr>
        <w:p w:rsidR="00970B69" w:rsidRDefault="00970B69">
          <w:pPr>
            <w:pStyle w:val="Header"/>
            <w:ind w:right="-115"/>
            <w:jc w:val="right"/>
          </w:pPr>
        </w:p>
      </w:tc>
    </w:tr>
  </w:tbl>
  <w:p w:rsidR="00970B69" w:rsidRDefault="00970B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3F5659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0000002"/>
    <w:multiLevelType w:val="multilevel"/>
    <w:tmpl w:val="A5F4321A"/>
    <w:lvl w:ilvl="0">
      <w:start w:val="1"/>
      <w:numFmt w:val="decimal"/>
      <w:lvlText w:val="%1.0"/>
      <w:lvlJc w:val="left"/>
      <w:pPr>
        <w:ind w:left="420" w:hanging="420"/>
      </w:pPr>
      <w:rPr>
        <w:rFonts w:hint="default"/>
        <w:sz w:val="28"/>
      </w:rPr>
    </w:lvl>
    <w:lvl w:ilvl="1">
      <w:start w:val="1"/>
      <w:numFmt w:val="decimal"/>
      <w:lvlText w:val="%1.%2"/>
      <w:lvlJc w:val="left"/>
      <w:pPr>
        <w:ind w:left="1140" w:hanging="420"/>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2880" w:hanging="720"/>
      </w:pPr>
      <w:rPr>
        <w:rFonts w:hint="default"/>
        <w:sz w:val="28"/>
      </w:rPr>
    </w:lvl>
    <w:lvl w:ilvl="4">
      <w:start w:val="1"/>
      <w:numFmt w:val="decimal"/>
      <w:lvlText w:val="%1.%2.%3.%4.%5"/>
      <w:lvlJc w:val="left"/>
      <w:pPr>
        <w:ind w:left="3960" w:hanging="1080"/>
      </w:pPr>
      <w:rPr>
        <w:rFonts w:hint="default"/>
        <w:sz w:val="28"/>
      </w:rPr>
    </w:lvl>
    <w:lvl w:ilvl="5">
      <w:start w:val="1"/>
      <w:numFmt w:val="decimal"/>
      <w:lvlText w:val="%1.%2.%3.%4.%5.%6"/>
      <w:lvlJc w:val="left"/>
      <w:pPr>
        <w:ind w:left="4680" w:hanging="1080"/>
      </w:pPr>
      <w:rPr>
        <w:rFonts w:hint="default"/>
        <w:sz w:val="28"/>
      </w:rPr>
    </w:lvl>
    <w:lvl w:ilvl="6">
      <w:start w:val="1"/>
      <w:numFmt w:val="decimal"/>
      <w:lvlText w:val="%1.%2.%3.%4.%5.%6.%7"/>
      <w:lvlJc w:val="left"/>
      <w:pPr>
        <w:ind w:left="5760" w:hanging="1440"/>
      </w:pPr>
      <w:rPr>
        <w:rFonts w:hint="default"/>
        <w:sz w:val="28"/>
      </w:rPr>
    </w:lvl>
    <w:lvl w:ilvl="7">
      <w:start w:val="1"/>
      <w:numFmt w:val="decimal"/>
      <w:lvlText w:val="%1.%2.%3.%4.%5.%6.%7.%8"/>
      <w:lvlJc w:val="left"/>
      <w:pPr>
        <w:ind w:left="6480" w:hanging="1440"/>
      </w:pPr>
      <w:rPr>
        <w:rFonts w:hint="default"/>
        <w:sz w:val="28"/>
      </w:rPr>
    </w:lvl>
    <w:lvl w:ilvl="8">
      <w:start w:val="1"/>
      <w:numFmt w:val="decimal"/>
      <w:lvlText w:val="%1.%2.%3.%4.%5.%6.%7.%8.%9"/>
      <w:lvlJc w:val="left"/>
      <w:pPr>
        <w:ind w:left="7560" w:hanging="1800"/>
      </w:pPr>
      <w:rPr>
        <w:rFonts w:hint="default"/>
        <w:sz w:val="28"/>
      </w:rPr>
    </w:lvl>
  </w:abstractNum>
  <w:abstractNum w:abstractNumId="2" w15:restartNumberingAfterBreak="0">
    <w:nsid w:val="00000003"/>
    <w:multiLevelType w:val="hybridMultilevel"/>
    <w:tmpl w:val="3FD2A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1336F6"/>
    <w:multiLevelType w:val="hybridMultilevel"/>
    <w:tmpl w:val="A99898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B644C4"/>
    <w:multiLevelType w:val="hybridMultilevel"/>
    <w:tmpl w:val="C1125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B69"/>
    <w:rsid w:val="00362072"/>
    <w:rsid w:val="00362392"/>
    <w:rsid w:val="003D3684"/>
    <w:rsid w:val="003E5414"/>
    <w:rsid w:val="007B33E0"/>
    <w:rsid w:val="00970B69"/>
    <w:rsid w:val="00CD5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D57D0"/>
  <w15:docId w15:val="{6C6E6D1A-D08F-487A-9396-50CEC3C4C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00" w:beforeAutospacing="1" w:after="100" w:afterAutospacing="1" w:line="480" w:lineRule="auto"/>
      <w:jc w:val="both"/>
    </w:pPr>
    <w:rPr>
      <w:rFonts w:ascii="Palatino Linotype" w:hAnsi="Palatino Linotype"/>
      <w:sz w:val="24"/>
      <w:lang w:val="en-GB"/>
    </w:rPr>
  </w:style>
  <w:style w:type="paragraph" w:styleId="Heading1">
    <w:name w:val="heading 1"/>
    <w:basedOn w:val="Normal"/>
    <w:next w:val="Normal"/>
    <w:link w:val="Heading1Char"/>
    <w:uiPriority w:val="9"/>
    <w:qFormat/>
    <w:pPr>
      <w:keepNext/>
      <w:keepLines/>
      <w:spacing w:before="240" w:after="0"/>
      <w:outlineLvl w:val="0"/>
    </w:pPr>
    <w:rPr>
      <w:rFonts w:ascii="Calibri Light" w:eastAsia="SimSun" w:hAnsi="Calibri Light"/>
      <w:color w:val="2E74B5"/>
      <w:sz w:val="32"/>
      <w:szCs w:val="32"/>
    </w:rPr>
  </w:style>
  <w:style w:type="paragraph" w:styleId="Heading2">
    <w:name w:val="heading 2"/>
    <w:basedOn w:val="Normal"/>
    <w:next w:val="Normal"/>
    <w:link w:val="Heading2Char"/>
    <w:uiPriority w:val="9"/>
    <w:qFormat/>
    <w:pPr>
      <w:keepNext/>
      <w:keepLines/>
      <w:spacing w:before="40" w:after="0"/>
      <w:outlineLvl w:val="1"/>
    </w:pPr>
    <w:rPr>
      <w:rFonts w:ascii="Calibri Light" w:eastAsia="SimSun" w:hAnsi="Calibri Light"/>
      <w:color w:val="2E74B5"/>
      <w:sz w:val="26"/>
      <w:szCs w:val="26"/>
    </w:rPr>
  </w:style>
  <w:style w:type="paragraph" w:styleId="Heading3">
    <w:name w:val="heading 3"/>
    <w:basedOn w:val="Normal"/>
    <w:next w:val="Normal"/>
    <w:link w:val="Heading3Char"/>
    <w:uiPriority w:val="9"/>
    <w:qFormat/>
    <w:pPr>
      <w:keepNext/>
      <w:keepLines/>
      <w:spacing w:before="40" w:beforeAutospacing="0" w:after="0" w:afterAutospacing="0" w:line="360" w:lineRule="auto"/>
      <w:outlineLvl w:val="2"/>
    </w:pPr>
    <w:rPr>
      <w:rFonts w:ascii="Calibri Light" w:eastAsia="SimSun" w:hAnsi="Calibri Light"/>
      <w:color w:val="1F4D7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pPr>
      <w:spacing w:before="0" w:after="0" w:line="240" w:lineRule="auto"/>
    </w:pPr>
    <w:rPr>
      <w:sz w:val="20"/>
      <w:szCs w:val="20"/>
    </w:rPr>
  </w:style>
  <w:style w:type="character" w:customStyle="1" w:styleId="FootnoteTextChar">
    <w:name w:val="Footnote Text Char"/>
    <w:basedOn w:val="DefaultParagraphFont"/>
    <w:link w:val="FootnoteText"/>
    <w:uiPriority w:val="99"/>
    <w:rPr>
      <w:rFonts w:ascii="Palatino Linotype" w:hAnsi="Palatino Linotype"/>
      <w:sz w:val="20"/>
      <w:szCs w:val="20"/>
      <w:lang w:val="en-GB"/>
    </w:rPr>
  </w:style>
  <w:style w:type="character" w:styleId="FootnoteReference">
    <w:name w:val="footnote reference"/>
    <w:basedOn w:val="DefaultParagraphFont"/>
    <w:uiPriority w:val="99"/>
    <w:rPr>
      <w:vertAlign w:val="superscript"/>
    </w:rPr>
  </w:style>
  <w:style w:type="paragraph" w:styleId="ListParagraph">
    <w:name w:val="List Paragraph"/>
    <w:basedOn w:val="Normal"/>
    <w:uiPriority w:val="34"/>
    <w:qFormat/>
    <w:pPr>
      <w:spacing w:before="0" w:beforeAutospacing="0" w:after="160" w:afterAutospacing="0" w:line="259" w:lineRule="auto"/>
      <w:ind w:left="720"/>
      <w:contextualSpacing/>
      <w:jc w:val="left"/>
    </w:pPr>
    <w:rPr>
      <w:rFonts w:ascii="Calibri" w:hAnsi="Calibri"/>
      <w:sz w:val="22"/>
      <w:lang w:val="en-US"/>
    </w:rPr>
  </w:style>
  <w:style w:type="paragraph" w:styleId="NormalWeb">
    <w:name w:val="Normal (Web)"/>
    <w:basedOn w:val="Normal"/>
    <w:uiPriority w:val="99"/>
    <w:pPr>
      <w:spacing w:line="240" w:lineRule="auto"/>
      <w:jc w:val="left"/>
    </w:pPr>
    <w:rPr>
      <w:rFonts w:ascii="Times New Roman" w:eastAsia="Times New Roman" w:hAnsi="Times New Roman" w:cs="Times New Roman"/>
      <w:szCs w:val="24"/>
    </w:rPr>
  </w:style>
  <w:style w:type="character" w:customStyle="1" w:styleId="Heading3Char">
    <w:name w:val="Heading 3 Char"/>
    <w:basedOn w:val="DefaultParagraphFont"/>
    <w:link w:val="Heading3"/>
    <w:uiPriority w:val="9"/>
    <w:rPr>
      <w:rFonts w:ascii="Calibri Light" w:eastAsia="SimSun" w:hAnsi="Calibri Light" w:cs="SimSun"/>
      <w:color w:val="1F4D78"/>
      <w:sz w:val="24"/>
      <w:szCs w:val="24"/>
      <w:lang w:val="en-GB"/>
    </w:rPr>
  </w:style>
  <w:style w:type="paragraph" w:styleId="NoSpacing">
    <w:name w:val="No Spacing"/>
    <w:uiPriority w:val="1"/>
    <w:qFormat/>
    <w:pPr>
      <w:spacing w:after="0" w:line="240" w:lineRule="auto"/>
      <w:jc w:val="both"/>
    </w:pPr>
    <w:rPr>
      <w:rFonts w:ascii="Times New Roman" w:hAnsi="Times New Roman" w:cs="Times New Roman"/>
      <w:sz w:val="24"/>
      <w:szCs w:val="24"/>
      <w:lang w:val="en-GB"/>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rPr>
      <w:color w:val="0563C1"/>
      <w:u w:val="single"/>
    </w:rPr>
  </w:style>
  <w:style w:type="paragraph" w:styleId="TOC1">
    <w:name w:val="toc 1"/>
    <w:basedOn w:val="Normal"/>
    <w:next w:val="Normal"/>
    <w:uiPriority w:val="39"/>
    <w:pPr>
      <w:tabs>
        <w:tab w:val="right" w:leader="dot" w:pos="9350"/>
      </w:tabs>
      <w:spacing w:line="240" w:lineRule="auto"/>
    </w:pPr>
  </w:style>
  <w:style w:type="paragraph" w:styleId="TOC2">
    <w:name w:val="toc 2"/>
    <w:basedOn w:val="Normal"/>
    <w:next w:val="Normal"/>
    <w:uiPriority w:val="39"/>
    <w:pPr>
      <w:tabs>
        <w:tab w:val="left" w:pos="880"/>
        <w:tab w:val="right" w:leader="dot" w:pos="9350"/>
      </w:tabs>
      <w:spacing w:line="240" w:lineRule="auto"/>
      <w:ind w:left="216"/>
    </w:pPr>
  </w:style>
  <w:style w:type="character" w:customStyle="1" w:styleId="Heading1Char">
    <w:name w:val="Heading 1 Char"/>
    <w:basedOn w:val="DefaultParagraphFont"/>
    <w:link w:val="Heading1"/>
    <w:uiPriority w:val="9"/>
    <w:rPr>
      <w:rFonts w:ascii="Calibri Light" w:eastAsia="SimSun" w:hAnsi="Calibri Light" w:cs="SimSun"/>
      <w:color w:val="2E74B5"/>
      <w:sz w:val="32"/>
      <w:szCs w:val="32"/>
    </w:rPr>
  </w:style>
  <w:style w:type="character" w:customStyle="1" w:styleId="Heading2Char">
    <w:name w:val="Heading 2 Char"/>
    <w:basedOn w:val="DefaultParagraphFont"/>
    <w:link w:val="Heading2"/>
    <w:uiPriority w:val="9"/>
    <w:rPr>
      <w:rFonts w:ascii="Calibri Light" w:eastAsia="SimSun" w:hAnsi="Calibri Light" w:cs="SimSun"/>
      <w:color w:val="2E74B5"/>
      <w:sz w:val="26"/>
      <w:szCs w:val="26"/>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pPr>
      <w:tabs>
        <w:tab w:val="center" w:pos="4680"/>
        <w:tab w:val="right" w:pos="9360"/>
      </w:tabs>
      <w:spacing w:after="0" w:line="240" w:lineRule="auto"/>
    </w:pPr>
  </w:style>
  <w:style w:type="paragraph" w:styleId="TOCHeading">
    <w:name w:val="TOC Heading"/>
    <w:basedOn w:val="Heading1"/>
    <w:next w:val="Normal"/>
    <w:uiPriority w:val="39"/>
    <w:qFormat/>
    <w:pPr>
      <w:spacing w:beforeAutospacing="0" w:afterAutospacing="0" w:line="259" w:lineRule="auto"/>
      <w:jc w:val="left"/>
      <w:outlineLvl w:val="9"/>
    </w:pPr>
    <w:rPr>
      <w:lang w:val="en-US"/>
    </w:rPr>
  </w:style>
  <w:style w:type="paragraph" w:customStyle="1" w:styleId="paragraph">
    <w:name w:val="paragraph"/>
    <w:basedOn w:val="Normal"/>
    <w:pPr>
      <w:spacing w:line="240" w:lineRule="auto"/>
      <w:jc w:val="left"/>
    </w:pPr>
    <w:rPr>
      <w:rFonts w:ascii="Times New Roman" w:eastAsia="Times New Roman" w:hAnsi="Times New Roman" w:cs="Times New Roman"/>
      <w:szCs w:val="24"/>
      <w:lang w:val="en-US"/>
    </w:rPr>
  </w:style>
  <w:style w:type="character" w:customStyle="1" w:styleId="normaltextrun">
    <w:name w:val="normaltextrun"/>
    <w:basedOn w:val="DefaultParagraphFont"/>
  </w:style>
  <w:style w:type="character" w:customStyle="1" w:styleId="eop">
    <w:name w:val="eop"/>
    <w:basedOn w:val="DefaultParagraphFont"/>
  </w:style>
  <w:style w:type="paragraph" w:styleId="EndnoteText">
    <w:name w:val="endnote text"/>
    <w:basedOn w:val="Normal"/>
    <w:link w:val="EndnoteTextChar"/>
    <w:uiPriority w:val="99"/>
    <w:pPr>
      <w:spacing w:before="0" w:after="0" w:line="240" w:lineRule="auto"/>
    </w:pPr>
    <w:rPr>
      <w:sz w:val="20"/>
      <w:szCs w:val="20"/>
    </w:rPr>
  </w:style>
  <w:style w:type="character" w:customStyle="1" w:styleId="EndnoteTextChar">
    <w:name w:val="Endnote Text Char"/>
    <w:basedOn w:val="DefaultParagraphFont"/>
    <w:link w:val="EndnoteText"/>
    <w:uiPriority w:val="99"/>
    <w:rPr>
      <w:rFonts w:ascii="Palatino Linotype" w:hAnsi="Palatino Linotype"/>
      <w:sz w:val="20"/>
      <w:szCs w:val="20"/>
      <w:lang w:val="en-GB"/>
    </w:rPr>
  </w:style>
  <w:style w:type="character" w:styleId="EndnoteReference">
    <w:name w:val="endnote reference"/>
    <w:basedOn w:val="DefaultParagraphFont"/>
    <w:uiPriority w:val="99"/>
    <w:rPr>
      <w:vertAlign w:val="superscript"/>
    </w:rPr>
  </w:style>
  <w:style w:type="paragraph" w:styleId="TOC3">
    <w:name w:val="toc 3"/>
    <w:basedOn w:val="Normal"/>
    <w:next w:val="Normal"/>
    <w:uiPriority w:val="39"/>
    <w:pPr>
      <w:tabs>
        <w:tab w:val="right" w:leader="dot" w:pos="9350"/>
      </w:tabs>
      <w:spacing w:line="240" w:lineRule="auto"/>
      <w:ind w:left="47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cog.go.ke/41-technical-committees/330-information-communication-technology-ict-committee" TargetMode="External"/><Relationship Id="rId2" Type="http://schemas.openxmlformats.org/officeDocument/2006/relationships/hyperlink" Target="https://icta.go.ke/page?q=6&#163;type=about_ict_authority" TargetMode="External"/><Relationship Id="rId1" Type="http://schemas.openxmlformats.org/officeDocument/2006/relationships/hyperlink" Target="https://cak.go.ke/sites/default/files/guidelines/consum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6" ma:contentTypeDescription="Create a new document." ma:contentTypeScope="" ma:versionID="bca10f638f1d038760efa399338503f2">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372368afe69d194c37c792de76e88e3f"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d801c70e-765d-4e46-bcc3-e917867967b5">
      <UserInfo>
        <DisplayName>Cherotich Hilda</DisplayName>
        <AccountId>13</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0B8C3-CAA7-45D5-BD36-35739AF684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310079-ee0b-4513-9230-9c72b59d53d4"/>
    <ds:schemaRef ds:uri="d801c70e-765d-4e46-bcc3-e917867967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A69138-D60D-48EA-A50E-8DDA793458A2}">
  <ds:schemaRefs>
    <ds:schemaRef ds:uri="http://schemas.microsoft.com/office/2006/metadata/properties"/>
    <ds:schemaRef ds:uri="http://schemas.microsoft.com/office/infopath/2007/PartnerControls"/>
    <ds:schemaRef ds:uri="d801c70e-765d-4e46-bcc3-e917867967b5"/>
  </ds:schemaRefs>
</ds:datastoreItem>
</file>

<file path=customXml/itemProps3.xml><?xml version="1.0" encoding="utf-8"?>
<ds:datastoreItem xmlns:ds="http://schemas.openxmlformats.org/officeDocument/2006/customXml" ds:itemID="{A1B8A1AF-BF5C-4B8C-9B2C-7771A07B164F}">
  <ds:schemaRefs>
    <ds:schemaRef ds:uri="http://schemas.microsoft.com/sharepoint/v3/contenttype/forms"/>
  </ds:schemaRefs>
</ds:datastoreItem>
</file>

<file path=customXml/itemProps4.xml><?xml version="1.0" encoding="utf-8"?>
<ds:datastoreItem xmlns:ds="http://schemas.openxmlformats.org/officeDocument/2006/customXml" ds:itemID="{05B628AB-A580-4563-A267-DE214AC89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25</Pages>
  <Words>5259</Words>
  <Characters>29977</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LAPTOPS</cp:lastModifiedBy>
  <cp:revision>9</cp:revision>
  <dcterms:created xsi:type="dcterms:W3CDTF">2024-03-10T14:58:00Z</dcterms:created>
  <dcterms:modified xsi:type="dcterms:W3CDTF">2024-03-22T04:29:00Z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y fmtid="{D5CDD505-2E9C-101B-9397-08002B2CF9AE}" pid="3" name="ICV">
    <vt:lpwstr>8b32411b289f4ebd83d226ba18f714ee</vt:lpwstr>
  </property>
</Properties>
</file>