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7C4F6" w14:textId="77777777" w:rsidR="00491055" w:rsidRPr="00A133D9" w:rsidRDefault="00345CEB">
      <w:r w:rsidRPr="00A133D9">
        <w:rPr>
          <w:noProof/>
        </w:rPr>
        <mc:AlternateContent>
          <mc:Choice Requires="wps">
            <w:drawing>
              <wp:anchor distT="0" distB="0" distL="114300" distR="114300" simplePos="0" relativeHeight="251659264" behindDoc="0" locked="0" layoutInCell="1" hidden="0" allowOverlap="1" wp14:anchorId="1AA8BA35" wp14:editId="696518D5">
                <wp:simplePos x="0" y="0"/>
                <wp:positionH relativeFrom="page">
                  <wp:posOffset>1162050</wp:posOffset>
                </wp:positionH>
                <wp:positionV relativeFrom="page">
                  <wp:posOffset>971550</wp:posOffset>
                </wp:positionV>
                <wp:extent cx="3632200" cy="3651250"/>
                <wp:effectExtent l="0" t="0" r="6350" b="12700"/>
                <wp:wrapSquare wrapText="bothSides" distT="0" distB="0" distL="114300" distR="114300"/>
                <wp:docPr id="1" name="Text Box 1"/>
                <wp:cNvGraphicFramePr/>
                <a:graphic xmlns:a="http://schemas.openxmlformats.org/drawingml/2006/main">
                  <a:graphicData uri="http://schemas.microsoft.com/office/word/2010/wordprocessingShape">
                    <wps:wsp>
                      <wps:cNvSpPr txBox="1"/>
                      <wps:spPr>
                        <a:xfrm>
                          <a:off x="0" y="0"/>
                          <a:ext cx="3632200"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Palatino Linotype" w:hAnsi="Palatino Linotype"/>
                                <w:b/>
                                <w:bCs/>
                                <w:caps/>
                                <w:color w:val="17365D" w:themeColor="text2" w:themeShade="BF"/>
                                <w:sz w:val="36"/>
                                <w:szCs w:val="36"/>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179D616" w14:textId="77777777" w:rsidR="00F74B07" w:rsidRPr="00A133D9" w:rsidRDefault="00345CEB" w:rsidP="005948F0">
                                <w:pPr>
                                  <w:rPr>
                                    <w:rFonts w:ascii="Palatino Linotype" w:hAnsi="Palatino Linotype"/>
                                    <w:b/>
                                    <w:bCs/>
                                    <w:caps/>
                                    <w:color w:val="17365D" w:themeColor="text2" w:themeShade="BF"/>
                                    <w:sz w:val="36"/>
                                    <w:szCs w:val="36"/>
                                  </w:rPr>
                                </w:pPr>
                                <w:r w:rsidRPr="00A133D9">
                                  <w:rPr>
                                    <w:rFonts w:ascii="Palatino Linotype" w:hAnsi="Palatino Linotype"/>
                                    <w:b/>
                                    <w:bCs/>
                                    <w:caps/>
                                    <w:color w:val="17365D" w:themeColor="text2" w:themeShade="BF"/>
                                    <w:sz w:val="36"/>
                                    <w:szCs w:val="36"/>
                                  </w:rPr>
                                  <w:t>CLASS C FIRM 9 2024/25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1AA8BA35" id="_x0000_t202" coordsize="21600,21600" o:spt="202" path="m,l,21600r21600,l21600,xe">
                <v:stroke joinstyle="miter"/>
                <v:path gradientshapeok="t" o:connecttype="rect"/>
              </v:shapetype>
              <v:shape id="Text Box 1" o:spid="_x0000_s1026" type="#_x0000_t202" style="position:absolute;left:0;text-align:left;margin-left:91.5pt;margin-top:76.5pt;width:286pt;height:287.5pt;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" filled="f" stroked="f" strokeweight=".5pt">
                <v:textbox style="mso-fit-shape-to-text:t" inset="0,0,0,0">
                  <w:txbxContent>
                    <w:sdt>
                      <w:sdtPr>
                        <w:rPr>
                          <w:rFonts w:ascii="Palatino Linotype" w:hAnsi="Palatino Linotype"/>
                          <w:b/>
                          <w:bCs/>
                          <w:caps/>
                          <w:color w:val="17365D" w:themeColor="text2" w:themeShade="BF"/>
                          <w:sz w:val="36"/>
                          <w:szCs w:val="36"/>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179D616" w14:textId="77777777" w:rsidR="00F74B07" w:rsidRPr="00A133D9" w:rsidRDefault="00345CEB" w:rsidP="005948F0">
                          <w:pPr>
                            <w:rPr>
                              <w:rFonts w:ascii="Palatino Linotype" w:hAnsi="Palatino Linotype"/>
                              <w:b/>
                              <w:bCs/>
                              <w:caps/>
                              <w:color w:val="17365D" w:themeColor="text2" w:themeShade="BF"/>
                              <w:sz w:val="36"/>
                              <w:szCs w:val="36"/>
                            </w:rPr>
                          </w:pPr>
                          <w:r w:rsidRPr="00A133D9">
                            <w:rPr>
                              <w:rFonts w:ascii="Palatino Linotype" w:hAnsi="Palatino Linotype"/>
                              <w:b/>
                              <w:bCs/>
                              <w:caps/>
                              <w:color w:val="17365D" w:themeColor="text2" w:themeShade="BF"/>
                              <w:sz w:val="36"/>
                              <w:szCs w:val="36"/>
                            </w:rPr>
                            <w:t>CLASS C FIRM 9 2024/25</w:t>
                          </w:r>
                        </w:p>
                      </w:sdtContent>
                    </w:sdt>
                  </w:txbxContent>
                </v:textbox>
                <w10:wrap type="square" anchorx="page" anchory="page"/>
              </v:shape>
            </w:pict>
          </mc:Fallback>
        </mc:AlternateContent>
      </w:r>
    </w:p>
    <w:p w14:paraId="327BB808" w14:textId="77777777" w:rsidR="00345CEB" w:rsidRPr="00A133D9" w:rsidRDefault="00000000">
      <w:pPr>
        <w:pBdr>
          <w:top w:val="nil"/>
          <w:left w:val="nil"/>
          <w:bottom w:val="nil"/>
          <w:right w:val="nil"/>
          <w:between w:val="nil"/>
        </w:pBdr>
        <w:jc w:val="left"/>
        <w:rPr>
          <w:rFonts w:ascii="Aptos" w:eastAsia="Aptos" w:hAnsi="Aptos" w:cs="Aptos"/>
          <w:smallCaps/>
          <w:color w:val="0E2841"/>
          <w:sz w:val="36"/>
          <w:szCs w:val="36"/>
        </w:rPr>
      </w:pPr>
      <w:r w:rsidRPr="00A133D9">
        <w:rPr>
          <w:rFonts w:ascii="Aptos" w:eastAsia="Aptos" w:hAnsi="Aptos" w:cs="Aptos"/>
          <w:smallCaps/>
          <w:color w:val="0E2841"/>
          <w:sz w:val="36"/>
          <w:szCs w:val="36"/>
        </w:rPr>
        <w:t xml:space="preserve">      </w:t>
      </w:r>
    </w:p>
    <w:p w14:paraId="4F4FDA41" w14:textId="77777777" w:rsidR="00491055" w:rsidRPr="00A133D9" w:rsidRDefault="00345CEB">
      <w:pPr>
        <w:pBdr>
          <w:top w:val="nil"/>
          <w:left w:val="nil"/>
          <w:bottom w:val="nil"/>
          <w:right w:val="nil"/>
          <w:between w:val="nil"/>
        </w:pBdr>
        <w:jc w:val="left"/>
        <w:rPr>
          <w:rFonts w:ascii="Palatino Linotype" w:eastAsia="Palatino Linotype" w:hAnsi="Palatino Linotype" w:cs="Palatino Linotype"/>
          <w:smallCaps/>
          <w:color w:val="0E2841"/>
          <w:sz w:val="32"/>
          <w:szCs w:val="32"/>
        </w:rPr>
      </w:pPr>
      <w:r w:rsidRPr="00A133D9">
        <w:rPr>
          <w:rFonts w:ascii="Palatino Linotype" w:eastAsia="Palatino Linotype" w:hAnsi="Palatino Linotype" w:cs="Palatino Linotype"/>
          <w:b/>
          <w:smallCaps/>
          <w:color w:val="0E2841"/>
          <w:sz w:val="32"/>
          <w:szCs w:val="32"/>
        </w:rPr>
        <w:t xml:space="preserve">      LEGAL PRACTICE MANAGEMENT ASSIGNMENT</w:t>
      </w:r>
    </w:p>
    <w:tbl>
      <w:tblPr>
        <w:tblStyle w:val="a"/>
        <w:tblpPr w:leftFromText="180" w:rightFromText="180" w:vertAnchor="page" w:horzAnchor="page" w:tblpX="1943" w:tblpY="5125"/>
        <w:tblW w:w="7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3743"/>
      </w:tblGrid>
      <w:tr w:rsidR="00491055" w:rsidRPr="00A133D9" w14:paraId="7D230EF1" w14:textId="77777777">
        <w:trPr>
          <w:trHeight w:val="413"/>
        </w:trPr>
        <w:tc>
          <w:tcPr>
            <w:tcW w:w="3397" w:type="dxa"/>
            <w:shd w:val="clear" w:color="auto" w:fill="D9D9D9"/>
          </w:tcPr>
          <w:p w14:paraId="4574D72A"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b/>
                <w:color w:val="000000"/>
                <w:sz w:val="24"/>
                <w:szCs w:val="24"/>
              </w:rPr>
            </w:pPr>
            <w:r w:rsidRPr="00A133D9">
              <w:rPr>
                <w:rFonts w:ascii="Palatino Linotype" w:eastAsia="Palatino Linotype" w:hAnsi="Palatino Linotype" w:cs="Palatino Linotype"/>
                <w:b/>
                <w:color w:val="000000"/>
                <w:sz w:val="24"/>
                <w:szCs w:val="24"/>
              </w:rPr>
              <w:t xml:space="preserve"> NAME</w:t>
            </w:r>
          </w:p>
        </w:tc>
        <w:tc>
          <w:tcPr>
            <w:tcW w:w="3743" w:type="dxa"/>
            <w:shd w:val="clear" w:color="auto" w:fill="D9D9D9"/>
          </w:tcPr>
          <w:p w14:paraId="2E6F4126"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b/>
                <w:color w:val="000000"/>
                <w:sz w:val="24"/>
                <w:szCs w:val="24"/>
              </w:rPr>
              <w:t>REGISTRATION NUMBER</w:t>
            </w:r>
          </w:p>
        </w:tc>
      </w:tr>
      <w:tr w:rsidR="00491055" w:rsidRPr="00A133D9" w14:paraId="10605926" w14:textId="77777777">
        <w:trPr>
          <w:trHeight w:val="413"/>
        </w:trPr>
        <w:tc>
          <w:tcPr>
            <w:tcW w:w="3397" w:type="dxa"/>
          </w:tcPr>
          <w:p w14:paraId="45011FF9"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 xml:space="preserve">Kennedy Otieno </w:t>
            </w:r>
            <w:proofErr w:type="spellStart"/>
            <w:r w:rsidRPr="00A133D9">
              <w:rPr>
                <w:rFonts w:ascii="Palatino Linotype" w:eastAsia="Palatino Linotype" w:hAnsi="Palatino Linotype" w:cs="Palatino Linotype"/>
                <w:color w:val="000000"/>
                <w:sz w:val="24"/>
                <w:szCs w:val="24"/>
              </w:rPr>
              <w:t>Mburo</w:t>
            </w:r>
            <w:proofErr w:type="spellEnd"/>
          </w:p>
        </w:tc>
        <w:tc>
          <w:tcPr>
            <w:tcW w:w="3743" w:type="dxa"/>
          </w:tcPr>
          <w:p w14:paraId="57346700"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20240463</w:t>
            </w:r>
          </w:p>
        </w:tc>
      </w:tr>
      <w:tr w:rsidR="00491055" w:rsidRPr="00A133D9" w14:paraId="2CD472C0" w14:textId="77777777">
        <w:trPr>
          <w:trHeight w:val="413"/>
        </w:trPr>
        <w:tc>
          <w:tcPr>
            <w:tcW w:w="3397" w:type="dxa"/>
          </w:tcPr>
          <w:p w14:paraId="5B48BABB"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Mercy Cheptoo Korir</w:t>
            </w:r>
          </w:p>
        </w:tc>
        <w:tc>
          <w:tcPr>
            <w:tcW w:w="3743" w:type="dxa"/>
          </w:tcPr>
          <w:p w14:paraId="10306D0E"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20240449</w:t>
            </w:r>
          </w:p>
        </w:tc>
      </w:tr>
      <w:tr w:rsidR="00491055" w:rsidRPr="00A133D9" w14:paraId="5FD2DB2C" w14:textId="77777777">
        <w:trPr>
          <w:trHeight w:val="413"/>
        </w:trPr>
        <w:tc>
          <w:tcPr>
            <w:tcW w:w="3397" w:type="dxa"/>
          </w:tcPr>
          <w:p w14:paraId="6D430038"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Griffin Okemwa</w:t>
            </w:r>
          </w:p>
        </w:tc>
        <w:tc>
          <w:tcPr>
            <w:tcW w:w="3743" w:type="dxa"/>
          </w:tcPr>
          <w:p w14:paraId="3E6C67B2"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20240461</w:t>
            </w:r>
          </w:p>
        </w:tc>
      </w:tr>
      <w:tr w:rsidR="00491055" w:rsidRPr="00A133D9" w14:paraId="44765EB2" w14:textId="77777777">
        <w:trPr>
          <w:trHeight w:val="388"/>
        </w:trPr>
        <w:tc>
          <w:tcPr>
            <w:tcW w:w="3397" w:type="dxa"/>
          </w:tcPr>
          <w:p w14:paraId="372F1A13"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Maundu Valentine Ndanu</w:t>
            </w:r>
          </w:p>
        </w:tc>
        <w:tc>
          <w:tcPr>
            <w:tcW w:w="3743" w:type="dxa"/>
          </w:tcPr>
          <w:p w14:paraId="250824BE"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20240451</w:t>
            </w:r>
          </w:p>
        </w:tc>
      </w:tr>
      <w:tr w:rsidR="00491055" w:rsidRPr="00A133D9" w14:paraId="6982BFD0" w14:textId="77777777">
        <w:trPr>
          <w:trHeight w:val="413"/>
        </w:trPr>
        <w:tc>
          <w:tcPr>
            <w:tcW w:w="3397" w:type="dxa"/>
          </w:tcPr>
          <w:p w14:paraId="0C1BAC0F"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Richard Muriuki</w:t>
            </w:r>
          </w:p>
        </w:tc>
        <w:tc>
          <w:tcPr>
            <w:tcW w:w="3743" w:type="dxa"/>
          </w:tcPr>
          <w:p w14:paraId="1CA46350"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20240464</w:t>
            </w:r>
          </w:p>
        </w:tc>
      </w:tr>
      <w:tr w:rsidR="00491055" w:rsidRPr="00A133D9" w14:paraId="33F1D2FE" w14:textId="77777777">
        <w:trPr>
          <w:trHeight w:val="413"/>
        </w:trPr>
        <w:tc>
          <w:tcPr>
            <w:tcW w:w="3397" w:type="dxa"/>
          </w:tcPr>
          <w:p w14:paraId="580580E7"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Mildred Cheptoo</w:t>
            </w:r>
          </w:p>
        </w:tc>
        <w:tc>
          <w:tcPr>
            <w:tcW w:w="3743" w:type="dxa"/>
          </w:tcPr>
          <w:p w14:paraId="662EFECC"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20240441</w:t>
            </w:r>
          </w:p>
        </w:tc>
      </w:tr>
      <w:tr w:rsidR="00491055" w:rsidRPr="00A133D9" w14:paraId="6AAAB6C4" w14:textId="77777777">
        <w:trPr>
          <w:trHeight w:val="388"/>
        </w:trPr>
        <w:tc>
          <w:tcPr>
            <w:tcW w:w="3397" w:type="dxa"/>
          </w:tcPr>
          <w:p w14:paraId="5F382FEA"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 xml:space="preserve">Evelyn </w:t>
            </w:r>
            <w:proofErr w:type="spellStart"/>
            <w:r w:rsidRPr="00A133D9">
              <w:rPr>
                <w:rFonts w:ascii="Palatino Linotype" w:eastAsia="Palatino Linotype" w:hAnsi="Palatino Linotype" w:cs="Palatino Linotype"/>
                <w:color w:val="000000"/>
                <w:sz w:val="24"/>
                <w:szCs w:val="24"/>
              </w:rPr>
              <w:t>Kalunda</w:t>
            </w:r>
            <w:proofErr w:type="spellEnd"/>
            <w:r w:rsidRPr="00A133D9">
              <w:rPr>
                <w:rFonts w:ascii="Palatino Linotype" w:eastAsia="Palatino Linotype" w:hAnsi="Palatino Linotype" w:cs="Palatino Linotype"/>
                <w:color w:val="000000"/>
                <w:sz w:val="24"/>
                <w:szCs w:val="24"/>
              </w:rPr>
              <w:t xml:space="preserve"> James</w:t>
            </w:r>
          </w:p>
        </w:tc>
        <w:tc>
          <w:tcPr>
            <w:tcW w:w="3743" w:type="dxa"/>
          </w:tcPr>
          <w:p w14:paraId="09931574"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20240925</w:t>
            </w:r>
          </w:p>
        </w:tc>
      </w:tr>
      <w:tr w:rsidR="00491055" w:rsidRPr="00A133D9" w14:paraId="3D00DD18" w14:textId="77777777">
        <w:trPr>
          <w:trHeight w:val="413"/>
        </w:trPr>
        <w:tc>
          <w:tcPr>
            <w:tcW w:w="3397" w:type="dxa"/>
          </w:tcPr>
          <w:p w14:paraId="32325CD0"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Charleen Muthoni Njuguna</w:t>
            </w:r>
          </w:p>
        </w:tc>
        <w:tc>
          <w:tcPr>
            <w:tcW w:w="3743" w:type="dxa"/>
          </w:tcPr>
          <w:p w14:paraId="511F68B6"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20231607</w:t>
            </w:r>
          </w:p>
        </w:tc>
      </w:tr>
      <w:tr w:rsidR="00491055" w:rsidRPr="00A133D9" w14:paraId="091EBDFD" w14:textId="77777777">
        <w:trPr>
          <w:trHeight w:val="413"/>
        </w:trPr>
        <w:tc>
          <w:tcPr>
            <w:tcW w:w="3397" w:type="dxa"/>
          </w:tcPr>
          <w:p w14:paraId="652EA66D"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 xml:space="preserve">Loise </w:t>
            </w:r>
            <w:proofErr w:type="spellStart"/>
            <w:r w:rsidRPr="00A133D9">
              <w:rPr>
                <w:rFonts w:ascii="Palatino Linotype" w:eastAsia="Palatino Linotype" w:hAnsi="Palatino Linotype" w:cs="Palatino Linotype"/>
                <w:color w:val="000000"/>
                <w:sz w:val="24"/>
                <w:szCs w:val="24"/>
              </w:rPr>
              <w:t>Gatonye</w:t>
            </w:r>
            <w:proofErr w:type="spellEnd"/>
          </w:p>
        </w:tc>
        <w:tc>
          <w:tcPr>
            <w:tcW w:w="3743" w:type="dxa"/>
          </w:tcPr>
          <w:p w14:paraId="49B39317"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20240434</w:t>
            </w:r>
          </w:p>
        </w:tc>
      </w:tr>
      <w:tr w:rsidR="00491055" w:rsidRPr="00A133D9" w14:paraId="64E8E8D9" w14:textId="77777777">
        <w:trPr>
          <w:trHeight w:val="388"/>
        </w:trPr>
        <w:tc>
          <w:tcPr>
            <w:tcW w:w="3397" w:type="dxa"/>
          </w:tcPr>
          <w:p w14:paraId="7B6B4436"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 xml:space="preserve">Amran </w:t>
            </w:r>
            <w:proofErr w:type="spellStart"/>
            <w:r w:rsidRPr="00A133D9">
              <w:rPr>
                <w:rFonts w:ascii="Palatino Linotype" w:eastAsia="Palatino Linotype" w:hAnsi="Palatino Linotype" w:cs="Palatino Linotype"/>
                <w:color w:val="000000"/>
                <w:sz w:val="24"/>
                <w:szCs w:val="24"/>
              </w:rPr>
              <w:t>Yerrow</w:t>
            </w:r>
            <w:proofErr w:type="spellEnd"/>
          </w:p>
        </w:tc>
        <w:tc>
          <w:tcPr>
            <w:tcW w:w="3743" w:type="dxa"/>
          </w:tcPr>
          <w:p w14:paraId="5D24B963"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20241966</w:t>
            </w:r>
          </w:p>
        </w:tc>
      </w:tr>
    </w:tbl>
    <w:p w14:paraId="5639BD86" w14:textId="77777777" w:rsidR="00491055" w:rsidRPr="00A133D9" w:rsidRDefault="00000000">
      <w:pPr>
        <w:spacing w:after="160" w:line="259" w:lineRule="auto"/>
        <w:jc w:val="left"/>
      </w:pPr>
      <w:r w:rsidRPr="00A133D9">
        <w:rPr>
          <w:noProof/>
        </w:rPr>
        <mc:AlternateContent>
          <mc:Choice Requires="wps">
            <w:drawing>
              <wp:anchor distT="0" distB="0" distL="114300" distR="114300" simplePos="0" relativeHeight="251658240" behindDoc="0" locked="0" layoutInCell="1" hidden="0" allowOverlap="1" wp14:anchorId="55FC457D" wp14:editId="4FF25BC1">
                <wp:simplePos x="0" y="0"/>
                <wp:positionH relativeFrom="page">
                  <wp:posOffset>1137684</wp:posOffset>
                </wp:positionH>
                <wp:positionV relativeFrom="page">
                  <wp:posOffset>7187610</wp:posOffset>
                </wp:positionV>
                <wp:extent cx="5753100" cy="871870"/>
                <wp:effectExtent l="0" t="0" r="13335" b="4445"/>
                <wp:wrapSquare wrapText="bothSides" distT="0" distB="0" distL="114300" distR="114300"/>
                <wp:docPr id="4" name="Text Box 4"/>
                <wp:cNvGraphicFramePr/>
                <a:graphic xmlns:a="http://schemas.openxmlformats.org/drawingml/2006/main">
                  <a:graphicData uri="http://schemas.microsoft.com/office/word/2010/wordprocessingShape">
                    <wps:wsp>
                      <wps:cNvSpPr txBox="1"/>
                      <wps:spPr>
                        <a:xfrm>
                          <a:off x="0" y="0"/>
                          <a:ext cx="5753100" cy="871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712590" w14:textId="77777777" w:rsidR="00F74B07" w:rsidRPr="00A133D9" w:rsidRDefault="00000000" w:rsidP="00767E33">
                            <w:pPr>
                              <w:jc w:val="left"/>
                              <w:rPr>
                                <w:rFonts w:ascii="Palatino Linotype" w:hAnsi="Palatino Linotype"/>
                                <w:i/>
                                <w:iCs/>
                                <w:sz w:val="24"/>
                                <w:szCs w:val="24"/>
                              </w:rPr>
                            </w:pPr>
                            <w:r w:rsidRPr="00A133D9">
                              <w:rPr>
                                <w:rFonts w:ascii="Palatino Linotype" w:hAnsi="Palatino Linotype"/>
                                <w:sz w:val="24"/>
                                <w:szCs w:val="24"/>
                              </w:rPr>
                              <w:t xml:space="preserve">Question: </w:t>
                            </w:r>
                            <w:r w:rsidRPr="00A133D9">
                              <w:rPr>
                                <w:rFonts w:ascii="Palatino Linotype" w:hAnsi="Palatino Linotype"/>
                                <w:i/>
                                <w:iCs/>
                                <w:sz w:val="24"/>
                                <w:szCs w:val="24"/>
                              </w:rPr>
                              <w:t>Discuss the legal framework governing safety, security and disaster management in Kenya</w:t>
                            </w:r>
                          </w:p>
                          <w:p w14:paraId="1BBB03DE" w14:textId="77777777" w:rsidR="00F74B07" w:rsidRPr="00A133D9" w:rsidRDefault="00F74B07">
                            <w:pPr>
                              <w:jc w:val="right"/>
                              <w:rPr>
                                <w:smallCaps/>
                                <w:color w:val="1F497D" w:themeColor="text2"/>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 w14:anchorId="55FC457D" id="Text Box 4" o:spid="_x0000_s1027" type="#_x0000_t202" style="position:absolute;margin-left:89.6pt;margin-top:565.95pt;width:453pt;height:68.6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" filled="f" stroked="f" strokeweight=".5pt">
                <v:textbox inset="0,0,0,0">
                  <w:txbxContent>
                    <w:p w14:paraId="7C712590" w14:textId="77777777" w:rsidR="00F74B07" w:rsidRPr="00A133D9" w:rsidRDefault="00000000" w:rsidP="00767E33">
                      <w:pPr>
                        <w:jc w:val="left"/>
                        <w:rPr>
                          <w:rFonts w:ascii="Palatino Linotype" w:hAnsi="Palatino Linotype"/>
                          <w:i/>
                          <w:iCs/>
                          <w:sz w:val="24"/>
                          <w:szCs w:val="24"/>
                        </w:rPr>
                      </w:pPr>
                      <w:r w:rsidRPr="00A133D9">
                        <w:rPr>
                          <w:rFonts w:ascii="Palatino Linotype" w:hAnsi="Palatino Linotype"/>
                          <w:sz w:val="24"/>
                          <w:szCs w:val="24"/>
                        </w:rPr>
                        <w:t xml:space="preserve">Question: </w:t>
                      </w:r>
                      <w:r w:rsidRPr="00A133D9">
                        <w:rPr>
                          <w:rFonts w:ascii="Palatino Linotype" w:hAnsi="Palatino Linotype"/>
                          <w:i/>
                          <w:iCs/>
                          <w:sz w:val="24"/>
                          <w:szCs w:val="24"/>
                        </w:rPr>
                        <w:t>Discuss the legal framework governing safety, security and disaster management in Kenya</w:t>
                      </w:r>
                    </w:p>
                    <w:p w14:paraId="1BBB03DE" w14:textId="77777777" w:rsidR="00F74B07" w:rsidRPr="00A133D9" w:rsidRDefault="00F74B07">
                      <w:pPr>
                        <w:jc w:val="right"/>
                        <w:rPr>
                          <w:smallCaps/>
                          <w:color w:val="1F497D" w:themeColor="text2"/>
                          <w:sz w:val="36"/>
                          <w:szCs w:val="36"/>
                        </w:rPr>
                      </w:pPr>
                    </w:p>
                  </w:txbxContent>
                </v:textbox>
                <w10:wrap type="square" anchorx="page" anchory="page"/>
              </v:shape>
            </w:pict>
          </mc:Fallback>
        </mc:AlternateContent>
      </w:r>
      <w:r w:rsidRPr="00A133D9">
        <w:rPr>
          <w:noProof/>
        </w:rPr>
        <mc:AlternateContent>
          <mc:Choice Requires="wps">
            <w:drawing>
              <wp:anchor distT="0" distB="0" distL="114300" distR="114300" simplePos="0" relativeHeight="251660288" behindDoc="0" locked="0" layoutInCell="1" hidden="0" allowOverlap="1" wp14:anchorId="4A02BC21">
                <wp:simplePos x="0" y="0"/>
                <wp:positionH relativeFrom="page">
                  <wp:posOffset>339725</wp:posOffset>
                </wp:positionH>
                <wp:positionV relativeFrom="page">
                  <wp:align>center</wp:align>
                </wp:positionV>
                <wp:extent cx="228600" cy="9144000"/>
                <wp:effectExtent l="0" t="0" r="3175" b="635"/>
                <wp:wrapNone/>
                <wp:docPr id="3" name="Group 3"/>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596847077" name="Rectangle 596847077"/>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475476" name="Rectangle 162147547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31775" cy="9144635"/>
                <wp:effectExtent b="0" l="0" r="0" t="0"/>
                <wp:wrapNone/>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1775" cy="9144635"/>
                        </a:xfrm>
                        <a:prstGeom prst="rect"/>
                        <a:ln/>
                      </pic:spPr>
                    </pic:pic>
                  </a:graphicData>
                </a:graphic>
              </wp:anchor>
            </w:drawing>
          </mc:Fallback>
        </mc:AlternateContent>
      </w:r>
      <w:r w:rsidRPr="00A133D9">
        <w:br w:type="page"/>
      </w:r>
      <w:r w:rsidRPr="00A133D9">
        <w:rPr>
          <w:noProof/>
        </w:rPr>
        <mc:AlternateContent>
          <mc:Choice Requires="wps">
            <w:drawing>
              <wp:anchor distT="0" distB="0" distL="114300" distR="114300" simplePos="0" relativeHeight="251661312" behindDoc="0" locked="0" layoutInCell="1" hidden="0" allowOverlap="1" wp14:anchorId="65F81128">
                <wp:simplePos x="0" y="0"/>
                <wp:positionH relativeFrom="column">
                  <wp:posOffset>308344</wp:posOffset>
                </wp:positionH>
                <wp:positionV relativeFrom="paragraph">
                  <wp:posOffset>156977</wp:posOffset>
                </wp:positionV>
                <wp:extent cx="1307805" cy="1275907"/>
                <wp:effectExtent l="0" t="0" r="26035" b="19685"/>
                <wp:wrapNone/>
                <wp:docPr id="2" name="Text Box 2"/>
                <wp:cNvGraphicFramePr/>
                <a:graphic xmlns:a="http://schemas.openxmlformats.org/drawingml/2006/main">
                  <a:graphicData uri="http://schemas.microsoft.com/office/word/2010/wordprocessingShape">
                    <wps:wsp>
                      <wps:cNvSpPr txBox="1"/>
                      <wps:spPr>
                        <a:xfrm>
                          <a:off x="0" y="0"/>
                          <a:ext cx="1307805" cy="1275907"/>
                        </a:xfrm>
                        <a:prstGeom prst="rect">
                          <a:avLst/>
                        </a:prstGeom>
                        <a:solidFill>
                          <a:schemeClr val="lt1"/>
                        </a:solidFill>
                        <a:ln w="6350">
                          <a:solidFill>
                            <a:prstClr val="black"/>
                          </a:solidFill>
                        </a:ln>
                      </wps:spPr>
                      <wps:txbx>
                        <w:txbxContent>
                          <w:p w14:paraId="66301BCA" w14:textId="77777777" w:rsidR="00F74B07" w:rsidRPr="00A133D9" w:rsidRDefault="00000000">
                            <w:r w:rsidRPr="00A133D9">
                              <w:rPr>
                                <w:noProof/>
                              </w:rPr>
                              <w:drawing>
                                <wp:inline distT="0" distB="0" distL="0" distR="0" wp14:anchorId="731C17A2">
                                  <wp:extent cx="1170305" cy="1188720"/>
                                  <wp:effectExtent l="0" t="0" r="0" b="0"/>
                                  <wp:docPr id="1207324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1170305" cy="11887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F81128" id="Text Box 2" o:spid="_x0000_s1028" type="#_x0000_t202" style="position:absolute;margin-left:24.3pt;margin-top:12.35pt;width:103pt;height:100.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2MqPQIAAIQ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" fillcolor="white [3201]" strokeweight=".5pt">
                <v:textbox>
                  <w:txbxContent>
                    <w:p w14:paraId="66301BCA" w14:textId="77777777" w:rsidR="00F74B07" w:rsidRPr="00A133D9" w:rsidRDefault="00000000">
                      <w:r w:rsidRPr="00A133D9">
                        <w:rPr>
                          <w:noProof/>
                        </w:rPr>
                        <w:drawing>
                          <wp:inline distT="0" distB="0" distL="0" distR="0" wp14:anchorId="731C17A2">
                            <wp:extent cx="1170305" cy="1188720"/>
                            <wp:effectExtent l="0" t="0" r="0" b="0"/>
                            <wp:docPr id="1207324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1170305" cy="1188720"/>
                                    </a:xfrm>
                                    <a:prstGeom prst="rect">
                                      <a:avLst/>
                                    </a:prstGeom>
                                    <a:noFill/>
                                    <a:ln>
                                      <a:noFill/>
                                    </a:ln>
                                  </pic:spPr>
                                </pic:pic>
                              </a:graphicData>
                            </a:graphic>
                          </wp:inline>
                        </w:drawing>
                      </w:r>
                    </w:p>
                  </w:txbxContent>
                </v:textbox>
              </v:shape>
            </w:pict>
          </mc:Fallback>
        </mc:AlternateContent>
      </w:r>
    </w:p>
    <w:p w14:paraId="00289EB7" w14:textId="77777777" w:rsidR="00491055" w:rsidRPr="00A133D9" w:rsidRDefault="00000000">
      <w:pPr>
        <w:pStyle w:val="Heading1"/>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lastRenderedPageBreak/>
        <w:t>Introduction</w:t>
      </w:r>
    </w:p>
    <w:p w14:paraId="315D8E93"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Constitution of Kenya (2010) under its Bill of Rights provides that every citizen has the right to fair labour practices, reasonable working conditions, and a clean and healthy environment</w:t>
      </w:r>
      <w:r w:rsidRPr="00A133D9">
        <w:rPr>
          <w:rFonts w:ascii="Palatino Linotype" w:eastAsia="Palatino Linotype" w:hAnsi="Palatino Linotype" w:cs="Palatino Linotype"/>
          <w:sz w:val="24"/>
          <w:szCs w:val="24"/>
          <w:vertAlign w:val="superscript"/>
        </w:rPr>
        <w:footnoteReference w:id="1"/>
      </w:r>
      <w:r w:rsidRPr="00A133D9">
        <w:rPr>
          <w:rFonts w:ascii="Palatino Linotype" w:eastAsia="Palatino Linotype" w:hAnsi="Palatino Linotype" w:cs="Palatino Linotype"/>
          <w:sz w:val="24"/>
          <w:szCs w:val="24"/>
        </w:rPr>
        <w:t>.</w:t>
      </w:r>
    </w:p>
    <w:p w14:paraId="6D336ACD" w14:textId="77777777" w:rsidR="00491055" w:rsidRPr="00A133D9" w:rsidRDefault="00491055">
      <w:pPr>
        <w:rPr>
          <w:rFonts w:ascii="Palatino Linotype" w:eastAsia="Palatino Linotype" w:hAnsi="Palatino Linotype" w:cs="Palatino Linotype"/>
          <w:sz w:val="24"/>
          <w:szCs w:val="24"/>
        </w:rPr>
      </w:pPr>
    </w:p>
    <w:p w14:paraId="68953B0C"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concepts of </w:t>
      </w:r>
      <w:r w:rsidRPr="00A133D9">
        <w:rPr>
          <w:rFonts w:ascii="Palatino Linotype" w:eastAsia="Palatino Linotype" w:hAnsi="Palatino Linotype" w:cs="Palatino Linotype"/>
          <w:b/>
          <w:sz w:val="24"/>
          <w:szCs w:val="24"/>
        </w:rPr>
        <w:t>safety</w:t>
      </w:r>
      <w:r w:rsidRPr="00A133D9">
        <w:rPr>
          <w:rFonts w:ascii="Palatino Linotype" w:eastAsia="Palatino Linotype" w:hAnsi="Palatino Linotype" w:cs="Palatino Linotype"/>
          <w:sz w:val="24"/>
          <w:szCs w:val="24"/>
        </w:rPr>
        <w:t>, </w:t>
      </w:r>
      <w:r w:rsidRPr="00A133D9">
        <w:rPr>
          <w:rFonts w:ascii="Palatino Linotype" w:eastAsia="Palatino Linotype" w:hAnsi="Palatino Linotype" w:cs="Palatino Linotype"/>
          <w:b/>
          <w:sz w:val="24"/>
          <w:szCs w:val="24"/>
        </w:rPr>
        <w:t>security</w:t>
      </w:r>
      <w:r w:rsidRPr="00A133D9">
        <w:rPr>
          <w:rFonts w:ascii="Palatino Linotype" w:eastAsia="Palatino Linotype" w:hAnsi="Palatino Linotype" w:cs="Palatino Linotype"/>
          <w:sz w:val="24"/>
          <w:szCs w:val="24"/>
        </w:rPr>
        <w:t>, and </w:t>
      </w:r>
      <w:r w:rsidRPr="00A133D9">
        <w:rPr>
          <w:rFonts w:ascii="Palatino Linotype" w:eastAsia="Palatino Linotype" w:hAnsi="Palatino Linotype" w:cs="Palatino Linotype"/>
          <w:b/>
          <w:sz w:val="24"/>
          <w:szCs w:val="24"/>
        </w:rPr>
        <w:t>disaster management</w:t>
      </w:r>
      <w:r w:rsidRPr="00A133D9">
        <w:rPr>
          <w:rFonts w:ascii="Palatino Linotype" w:eastAsia="Palatino Linotype" w:hAnsi="Palatino Linotype" w:cs="Palatino Linotype"/>
          <w:sz w:val="24"/>
          <w:szCs w:val="24"/>
        </w:rPr>
        <w:t xml:space="preserve"> are closely intertwined, each playing a crucial role in protecting individuals, communities, and organizations. </w:t>
      </w:r>
    </w:p>
    <w:p w14:paraId="40072FE0"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In summary, these are interconnected pillars that collectively contribute to resilience, risk reduction, and the well-being of people and communities during challenging times.</w:t>
      </w:r>
    </w:p>
    <w:p w14:paraId="6EC46928" w14:textId="77777777" w:rsidR="00491055" w:rsidRPr="00A133D9" w:rsidRDefault="00000000">
      <w:pPr>
        <w:pStyle w:val="Heading1"/>
        <w:jc w:val="both"/>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Safety &amp; Security</w:t>
      </w:r>
    </w:p>
    <w:p w14:paraId="000319FF" w14:textId="77777777" w:rsidR="00491055" w:rsidRPr="00A133D9" w:rsidRDefault="00000000">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Introduction</w:t>
      </w:r>
    </w:p>
    <w:p w14:paraId="120905DC"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There exists an incredibly close relationship between security and safety such that an attempt to separate the two is met with resistance and difficulty. Any weakness in security within a law firm creates an increased risk which would in turn decrease safety.</w:t>
      </w:r>
      <w:r w:rsidRPr="00A133D9">
        <w:rPr>
          <w:rFonts w:ascii="Palatino Linotype" w:eastAsia="Palatino Linotype" w:hAnsi="Palatino Linotype" w:cs="Palatino Linotype"/>
          <w:sz w:val="24"/>
          <w:szCs w:val="24"/>
          <w:vertAlign w:val="superscript"/>
        </w:rPr>
        <w:footnoteReference w:id="2"/>
      </w:r>
    </w:p>
    <w:p w14:paraId="7F328191" w14:textId="77777777" w:rsidR="000E69F0" w:rsidRDefault="00000000">
      <w:pPr>
        <w:rPr>
          <w:rFonts w:ascii="Palatino Linotype" w:eastAsia="Palatino Linotype" w:hAnsi="Palatino Linotype" w:cs="Palatino Linotype"/>
          <w:i/>
          <w:sz w:val="24"/>
          <w:szCs w:val="24"/>
        </w:rPr>
      </w:pPr>
      <w:r w:rsidRPr="00A133D9">
        <w:rPr>
          <w:rFonts w:ascii="Palatino Linotype" w:eastAsia="Palatino Linotype" w:hAnsi="Palatino Linotype" w:cs="Palatino Linotype"/>
          <w:sz w:val="24"/>
          <w:szCs w:val="24"/>
        </w:rPr>
        <w:t xml:space="preserve">Security, according to Kimari, can be defined as </w:t>
      </w:r>
      <w:r w:rsidRPr="00A133D9">
        <w:rPr>
          <w:rFonts w:ascii="Palatino Linotype" w:eastAsia="Palatino Linotype" w:hAnsi="Palatino Linotype" w:cs="Palatino Linotype"/>
          <w:i/>
          <w:sz w:val="24"/>
          <w:szCs w:val="24"/>
        </w:rPr>
        <w:t>“…. the degree of resistance to our protection from attack, harm or damage.”</w:t>
      </w:r>
      <w:r w:rsidRPr="00A133D9">
        <w:rPr>
          <w:rFonts w:ascii="Palatino Linotype" w:eastAsia="Palatino Linotype" w:hAnsi="Palatino Linotype" w:cs="Palatino Linotype"/>
          <w:i/>
          <w:sz w:val="24"/>
          <w:szCs w:val="24"/>
          <w:vertAlign w:val="superscript"/>
        </w:rPr>
        <w:footnoteReference w:id="3"/>
      </w:r>
      <w:r w:rsidRPr="00A133D9">
        <w:rPr>
          <w:rFonts w:ascii="Palatino Linotype" w:eastAsia="Palatino Linotype" w:hAnsi="Palatino Linotype" w:cs="Palatino Linotype"/>
          <w:sz w:val="24"/>
          <w:szCs w:val="24"/>
        </w:rPr>
        <w:t xml:space="preserve">It can also be defined as </w:t>
      </w:r>
      <w:r w:rsidRPr="00A133D9">
        <w:rPr>
          <w:rFonts w:ascii="Palatino Linotype" w:eastAsia="Palatino Linotype" w:hAnsi="Palatino Linotype" w:cs="Palatino Linotype"/>
          <w:i/>
          <w:sz w:val="24"/>
          <w:szCs w:val="24"/>
        </w:rPr>
        <w:t>“protection of a person, building, organization or country against threats such as crime or attacks by foreign countries.’’</w:t>
      </w:r>
      <w:r w:rsidRPr="00A133D9">
        <w:rPr>
          <w:rFonts w:ascii="Palatino Linotype" w:eastAsia="Palatino Linotype" w:hAnsi="Palatino Linotype" w:cs="Palatino Linotype"/>
          <w:i/>
          <w:sz w:val="24"/>
          <w:szCs w:val="24"/>
          <w:vertAlign w:val="superscript"/>
        </w:rPr>
        <w:footnoteReference w:id="4"/>
      </w:r>
    </w:p>
    <w:p w14:paraId="4FA18BA0" w14:textId="77777777" w:rsidR="000E69F0" w:rsidRPr="000E69F0" w:rsidRDefault="000E69F0">
      <w:pPr>
        <w:rPr>
          <w:rFonts w:ascii="Palatino Linotype" w:eastAsia="Palatino Linotype" w:hAnsi="Palatino Linotype" w:cs="Palatino Linotype"/>
          <w:iCs/>
          <w:sz w:val="24"/>
          <w:szCs w:val="24"/>
        </w:rPr>
      </w:pPr>
      <w:r w:rsidRPr="000E69F0">
        <w:rPr>
          <w:rFonts w:ascii="Palatino Linotype" w:eastAsia="Palatino Linotype" w:hAnsi="Palatino Linotype" w:cs="Palatino Linotype"/>
          <w:iCs/>
          <w:sz w:val="24"/>
          <w:szCs w:val="24"/>
        </w:rPr>
        <w:t>Safety refers to the state of being protected from harm or danger, enabling individuals to work and live in a secure environment.</w:t>
      </w:r>
    </w:p>
    <w:p w14:paraId="03766999" w14:textId="77777777" w:rsidR="00491055" w:rsidRPr="00A133D9" w:rsidRDefault="00491055">
      <w:pPr>
        <w:rPr>
          <w:rFonts w:ascii="Palatino Linotype" w:eastAsia="Palatino Linotype" w:hAnsi="Palatino Linotype" w:cs="Palatino Linotype"/>
          <w:b/>
          <w:sz w:val="24"/>
          <w:szCs w:val="24"/>
        </w:rPr>
      </w:pPr>
    </w:p>
    <w:p w14:paraId="70BDB858" w14:textId="77777777" w:rsidR="00491055" w:rsidRPr="00A133D9" w:rsidRDefault="00000000">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Limitations on implementation of safety and security</w:t>
      </w:r>
    </w:p>
    <w:p w14:paraId="3955F6CA"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Security in the workplace- weaknesses or faults within an organization security’s mostly emanate from within the organization.</w:t>
      </w:r>
      <w:r w:rsidRPr="00A133D9">
        <w:rPr>
          <w:rFonts w:ascii="Palatino Linotype" w:eastAsia="Palatino Linotype" w:hAnsi="Palatino Linotype" w:cs="Palatino Linotype"/>
          <w:sz w:val="24"/>
          <w:szCs w:val="24"/>
          <w:vertAlign w:val="superscript"/>
        </w:rPr>
        <w:footnoteReference w:id="5"/>
      </w:r>
      <w:r w:rsidRPr="00A133D9">
        <w:rPr>
          <w:rFonts w:ascii="Palatino Linotype" w:eastAsia="Palatino Linotype" w:hAnsi="Palatino Linotype" w:cs="Palatino Linotype"/>
          <w:sz w:val="24"/>
          <w:szCs w:val="24"/>
        </w:rPr>
        <w:t xml:space="preserve"> Examples of security risks within an organization include:</w:t>
      </w:r>
    </w:p>
    <w:p w14:paraId="31E96FBC"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Failing to check visitors carefully including their luggage</w:t>
      </w:r>
    </w:p>
    <w:p w14:paraId="63705CA8"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Failing to check staff when they arrive / leave the office</w:t>
      </w:r>
    </w:p>
    <w:p w14:paraId="689F7F4E"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Allowing unauthorized people into the office</w:t>
      </w:r>
    </w:p>
    <w:p w14:paraId="49E3D137"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Having unguarded entrances and exits</w:t>
      </w:r>
    </w:p>
    <w:p w14:paraId="43DE0AD0"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Having too many workers with access to the cash box and safe</w:t>
      </w:r>
    </w:p>
    <w:p w14:paraId="3851B39E"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Leakage of confidential information by employees</w:t>
      </w:r>
    </w:p>
    <w:p w14:paraId="31647703"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Lack of control over the keys to the stores</w:t>
      </w:r>
    </w:p>
    <w:p w14:paraId="763673EC"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continuous threat of terrorism</w:t>
      </w:r>
    </w:p>
    <w:p w14:paraId="220A09AA"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lastRenderedPageBreak/>
        <w:t>Sabotage by employees; and</w:t>
      </w:r>
    </w:p>
    <w:p w14:paraId="76218C02"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Cybercrime</w:t>
      </w:r>
    </w:p>
    <w:p w14:paraId="00050CFC" w14:textId="77777777" w:rsidR="00491055" w:rsidRPr="00A133D9" w:rsidRDefault="00491055">
      <w:pPr>
        <w:rPr>
          <w:rFonts w:ascii="Palatino Linotype" w:eastAsia="Palatino Linotype" w:hAnsi="Palatino Linotype" w:cs="Palatino Linotype"/>
          <w:sz w:val="24"/>
          <w:szCs w:val="24"/>
        </w:rPr>
      </w:pPr>
    </w:p>
    <w:p w14:paraId="5CCFD48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An organization can prepare for an emergency by undertaking a risk assessment, identifying its assets, determining its potential impact of an accident and how to minimize risk by having sufficient emergency equipment and exit and strategies for recovery.</w:t>
      </w:r>
    </w:p>
    <w:p w14:paraId="2C18DC4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Security measures that a manager can take include:</w:t>
      </w:r>
    </w:p>
    <w:p w14:paraId="50C6FE42"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safeguarding the premises</w:t>
      </w:r>
    </w:p>
    <w:p w14:paraId="7D1516D8"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ensuring visitors are checked</w:t>
      </w:r>
    </w:p>
    <w:p w14:paraId="2D1A59C0"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ensuring staff security</w:t>
      </w:r>
    </w:p>
    <w:p w14:paraId="66F1E933"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ensuring security of information</w:t>
      </w:r>
    </w:p>
    <w:p w14:paraId="698C2A2F"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ensuring security of cash</w:t>
      </w:r>
    </w:p>
    <w:p w14:paraId="413B330D" w14:textId="77777777" w:rsidR="00491055" w:rsidRPr="00A133D9" w:rsidRDefault="00491055">
      <w:pPr>
        <w:rPr>
          <w:rFonts w:ascii="Palatino Linotype" w:eastAsia="Palatino Linotype" w:hAnsi="Palatino Linotype" w:cs="Palatino Linotype"/>
          <w:sz w:val="24"/>
          <w:szCs w:val="24"/>
        </w:rPr>
      </w:pPr>
    </w:p>
    <w:p w14:paraId="17225BBB" w14:textId="77777777" w:rsidR="00491055" w:rsidRPr="00A133D9" w:rsidRDefault="00000000">
      <w:pPr>
        <w:pStyle w:val="Heading2"/>
        <w:jc w:val="both"/>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Occupational Safety and Security</w:t>
      </w:r>
    </w:p>
    <w:p w14:paraId="1C25DEE4"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Constitution</w:t>
      </w:r>
      <w:r w:rsidRPr="00A133D9">
        <w:rPr>
          <w:rFonts w:ascii="Palatino Linotype" w:eastAsia="Palatino Linotype" w:hAnsi="Palatino Linotype" w:cs="Palatino Linotype"/>
          <w:sz w:val="24"/>
          <w:szCs w:val="24"/>
          <w:vertAlign w:val="superscript"/>
        </w:rPr>
        <w:footnoteReference w:id="6"/>
      </w:r>
      <w:r w:rsidRPr="00A133D9">
        <w:rPr>
          <w:rFonts w:ascii="Palatino Linotype" w:eastAsia="Palatino Linotype" w:hAnsi="Palatino Linotype" w:cs="Palatino Linotype"/>
          <w:sz w:val="24"/>
          <w:szCs w:val="24"/>
        </w:rPr>
        <w:t xml:space="preserve"> provides the platform for the framework for the main statutory provisions dealing with safety and security in the workplace which are:</w:t>
      </w:r>
    </w:p>
    <w:p w14:paraId="73E48F04" w14:textId="77777777" w:rsidR="00491055" w:rsidRPr="00A133D9" w:rsidRDefault="00000000">
      <w:pPr>
        <w:numPr>
          <w:ilvl w:val="0"/>
          <w:numId w:val="8"/>
        </w:numPr>
        <w:rPr>
          <w:sz w:val="24"/>
          <w:szCs w:val="24"/>
        </w:rPr>
      </w:pPr>
      <w:r w:rsidRPr="00A133D9">
        <w:rPr>
          <w:rFonts w:ascii="Palatino Linotype" w:eastAsia="Palatino Linotype" w:hAnsi="Palatino Linotype" w:cs="Palatino Linotype"/>
          <w:sz w:val="24"/>
          <w:szCs w:val="24"/>
        </w:rPr>
        <w:t xml:space="preserve">the Employment Act, 2007, Cap. 226, </w:t>
      </w:r>
    </w:p>
    <w:p w14:paraId="224F8384" w14:textId="77777777" w:rsidR="00491055" w:rsidRPr="00A133D9" w:rsidRDefault="00000000">
      <w:pPr>
        <w:numPr>
          <w:ilvl w:val="0"/>
          <w:numId w:val="8"/>
        </w:numPr>
        <w:rPr>
          <w:sz w:val="24"/>
          <w:szCs w:val="24"/>
        </w:rPr>
      </w:pPr>
      <w:r w:rsidRPr="00A133D9">
        <w:rPr>
          <w:rFonts w:ascii="Palatino Linotype" w:eastAsia="Palatino Linotype" w:hAnsi="Palatino Linotype" w:cs="Palatino Linotype"/>
          <w:sz w:val="24"/>
          <w:szCs w:val="24"/>
        </w:rPr>
        <w:t xml:space="preserve">the Work Injury Benefits Act, 2007 (WIBA), and </w:t>
      </w:r>
    </w:p>
    <w:p w14:paraId="5F752A8E" w14:textId="77777777" w:rsidR="00491055" w:rsidRPr="00A133D9" w:rsidRDefault="00000000">
      <w:pPr>
        <w:numPr>
          <w:ilvl w:val="0"/>
          <w:numId w:val="8"/>
        </w:numPr>
        <w:rPr>
          <w:sz w:val="24"/>
          <w:szCs w:val="24"/>
        </w:rPr>
      </w:pPr>
      <w:r w:rsidRPr="00A133D9">
        <w:rPr>
          <w:rFonts w:ascii="Palatino Linotype" w:eastAsia="Palatino Linotype" w:hAnsi="Palatino Linotype" w:cs="Palatino Linotype"/>
          <w:sz w:val="24"/>
          <w:szCs w:val="24"/>
        </w:rPr>
        <w:t xml:space="preserve">the Occupational Safety and Health Act, 2007 (OSHA). </w:t>
      </w:r>
    </w:p>
    <w:p w14:paraId="2CEE6DFE" w14:textId="77777777" w:rsidR="00491055" w:rsidRPr="00A133D9" w:rsidRDefault="00491055">
      <w:pPr>
        <w:rPr>
          <w:rFonts w:ascii="Palatino Linotype" w:eastAsia="Palatino Linotype" w:hAnsi="Palatino Linotype" w:cs="Palatino Linotype"/>
          <w:sz w:val="24"/>
          <w:szCs w:val="24"/>
        </w:rPr>
      </w:pPr>
    </w:p>
    <w:p w14:paraId="51FE6C09" w14:textId="77777777" w:rsidR="00D151AB" w:rsidRPr="00A133D9" w:rsidRDefault="00D151AB" w:rsidP="00D151AB">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The Employment Act</w:t>
      </w:r>
      <w:r w:rsidRPr="00A133D9">
        <w:rPr>
          <w:rFonts w:ascii="Palatino Linotype" w:eastAsia="Palatino Linotype" w:hAnsi="Palatino Linotype" w:cs="Palatino Linotype"/>
          <w:sz w:val="24"/>
          <w:szCs w:val="24"/>
        </w:rPr>
        <w:t xml:space="preserve"> </w:t>
      </w:r>
      <w:r w:rsidRPr="00A133D9">
        <w:rPr>
          <w:rFonts w:ascii="Palatino Linotype" w:eastAsia="Palatino Linotype" w:hAnsi="Palatino Linotype" w:cs="Palatino Linotype"/>
          <w:b/>
          <w:sz w:val="24"/>
          <w:szCs w:val="24"/>
        </w:rPr>
        <w:t>(2007)</w:t>
      </w:r>
      <w:r w:rsidR="009548EC">
        <w:rPr>
          <w:rStyle w:val="FootnoteReference"/>
          <w:rFonts w:ascii="Palatino Linotype" w:eastAsia="Palatino Linotype" w:hAnsi="Palatino Linotype" w:cs="Palatino Linotype"/>
          <w:b/>
          <w:sz w:val="24"/>
          <w:szCs w:val="24"/>
        </w:rPr>
        <w:footnoteReference w:id="7"/>
      </w:r>
    </w:p>
    <w:p w14:paraId="2883690B" w14:textId="77777777" w:rsidR="00D151AB" w:rsidRPr="00A133D9" w:rsidRDefault="00D151AB" w:rsidP="00D151AB">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This Act provides for the fundamental rights of employees, to include fair remuneration, reasonable working conditions, protection from slavery and forced labour.</w:t>
      </w:r>
      <w:r w:rsidRPr="00A133D9">
        <w:rPr>
          <w:rFonts w:ascii="Palatino Linotype" w:eastAsia="Palatino Linotype" w:hAnsi="Palatino Linotype" w:cs="Palatino Linotype"/>
          <w:sz w:val="24"/>
          <w:szCs w:val="24"/>
          <w:vertAlign w:val="superscript"/>
        </w:rPr>
        <w:footnoteReference w:id="8"/>
      </w:r>
      <w:r w:rsidRPr="00A133D9">
        <w:rPr>
          <w:rFonts w:ascii="Palatino Linotype" w:eastAsia="Palatino Linotype" w:hAnsi="Palatino Linotype" w:cs="Palatino Linotype"/>
          <w:sz w:val="24"/>
          <w:szCs w:val="24"/>
        </w:rPr>
        <w:t xml:space="preserve"> Employers must protect employees from sexual harassment and discrimination by creating a policy statement and take disciplinary measures against perpetrators of the same.</w:t>
      </w:r>
      <w:r w:rsidRPr="00A133D9">
        <w:rPr>
          <w:rFonts w:ascii="Palatino Linotype" w:eastAsia="Palatino Linotype" w:hAnsi="Palatino Linotype" w:cs="Palatino Linotype"/>
          <w:sz w:val="24"/>
          <w:szCs w:val="24"/>
          <w:vertAlign w:val="superscript"/>
        </w:rPr>
        <w:footnoteReference w:id="9"/>
      </w:r>
      <w:r w:rsidRPr="00A133D9">
        <w:rPr>
          <w:rFonts w:ascii="Palatino Linotype" w:eastAsia="Palatino Linotype" w:hAnsi="Palatino Linotype" w:cs="Palatino Linotype"/>
          <w:sz w:val="24"/>
          <w:szCs w:val="24"/>
        </w:rPr>
        <w:t xml:space="preserve"> Employers must also regulate the hours of work, leave, housing, water, food and medical attention aim to ensure the wellbeing and safety of an employee. </w:t>
      </w:r>
      <w:r w:rsidRPr="00A133D9">
        <w:rPr>
          <w:rFonts w:ascii="Palatino Linotype" w:eastAsia="Palatino Linotype" w:hAnsi="Palatino Linotype" w:cs="Palatino Linotype"/>
          <w:sz w:val="24"/>
          <w:szCs w:val="24"/>
          <w:vertAlign w:val="superscript"/>
        </w:rPr>
        <w:footnoteReference w:id="10"/>
      </w:r>
    </w:p>
    <w:p w14:paraId="54618151" w14:textId="77777777" w:rsidR="00D151AB" w:rsidRDefault="00D151AB">
      <w:pPr>
        <w:rPr>
          <w:rFonts w:ascii="Palatino Linotype" w:eastAsia="Palatino Linotype" w:hAnsi="Palatino Linotype" w:cs="Palatino Linotype"/>
          <w:b/>
          <w:sz w:val="24"/>
          <w:szCs w:val="24"/>
        </w:rPr>
      </w:pPr>
    </w:p>
    <w:p w14:paraId="3BAAF4B7"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Occupational Safety and Health Act</w:t>
      </w:r>
      <w:r w:rsidRPr="00A133D9">
        <w:rPr>
          <w:rFonts w:ascii="Palatino Linotype" w:eastAsia="Palatino Linotype" w:hAnsi="Palatino Linotype" w:cs="Palatino Linotype"/>
          <w:b/>
          <w:sz w:val="24"/>
          <w:szCs w:val="24"/>
          <w:vertAlign w:val="superscript"/>
        </w:rPr>
        <w:footnoteReference w:id="11"/>
      </w:r>
      <w:r w:rsidRPr="00A133D9">
        <w:rPr>
          <w:rFonts w:ascii="Palatino Linotype" w:eastAsia="Palatino Linotype" w:hAnsi="Palatino Linotype" w:cs="Palatino Linotype"/>
          <w:sz w:val="24"/>
          <w:szCs w:val="24"/>
        </w:rPr>
        <w:t xml:space="preserve"> </w:t>
      </w:r>
    </w:p>
    <w:p w14:paraId="287AE6BA"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This was enacted to place obligations, on an occupier employer and employee regarding proper safety measures,</w:t>
      </w:r>
      <w:r w:rsidRPr="00A133D9">
        <w:rPr>
          <w:rFonts w:ascii="Palatino Linotype" w:eastAsia="Palatino Linotype" w:hAnsi="Palatino Linotype" w:cs="Palatino Linotype"/>
          <w:sz w:val="24"/>
          <w:szCs w:val="24"/>
          <w:vertAlign w:val="superscript"/>
        </w:rPr>
        <w:footnoteReference w:id="12"/>
      </w:r>
      <w:r w:rsidRPr="00A133D9">
        <w:rPr>
          <w:rFonts w:ascii="Palatino Linotype" w:eastAsia="Palatino Linotype" w:hAnsi="Palatino Linotype" w:cs="Palatino Linotype"/>
          <w:sz w:val="24"/>
          <w:szCs w:val="24"/>
        </w:rPr>
        <w:t xml:space="preserve"> use of protective equipment, duties to report hazards, creation of a safety policy, the establishment of safety and health committees in workplaces, as well as safety audits and risk assessments. Criminal liability in fines </w:t>
      </w:r>
      <w:r w:rsidRPr="00A133D9">
        <w:rPr>
          <w:rFonts w:ascii="Palatino Linotype" w:eastAsia="Palatino Linotype" w:hAnsi="Palatino Linotype" w:cs="Palatino Linotype"/>
          <w:sz w:val="24"/>
          <w:szCs w:val="24"/>
        </w:rPr>
        <w:lastRenderedPageBreak/>
        <w:t>and jail terms attaches to non-compliance. The Act also contains provisions on general health provisions, machinery safety, and chemical safety and creates the office of Occupational Health and Safety Officer.</w:t>
      </w:r>
      <w:r w:rsidRPr="00A133D9">
        <w:rPr>
          <w:rFonts w:ascii="Palatino Linotype" w:eastAsia="Palatino Linotype" w:hAnsi="Palatino Linotype" w:cs="Palatino Linotype"/>
          <w:sz w:val="24"/>
          <w:szCs w:val="24"/>
          <w:vertAlign w:val="superscript"/>
        </w:rPr>
        <w:footnoteReference w:id="13"/>
      </w:r>
    </w:p>
    <w:p w14:paraId="0DF223AC" w14:textId="77777777" w:rsidR="00491055" w:rsidRPr="00A133D9" w:rsidRDefault="00491055">
      <w:pPr>
        <w:rPr>
          <w:rFonts w:ascii="Palatino Linotype" w:eastAsia="Palatino Linotype" w:hAnsi="Palatino Linotype" w:cs="Palatino Linotype"/>
          <w:b/>
          <w:sz w:val="24"/>
          <w:szCs w:val="24"/>
        </w:rPr>
      </w:pPr>
    </w:p>
    <w:p w14:paraId="1D4F3682" w14:textId="77777777" w:rsidR="00491055" w:rsidRPr="00A133D9" w:rsidRDefault="00000000">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The Work Injury Benefits Act</w:t>
      </w:r>
      <w:r w:rsidRPr="00A133D9">
        <w:rPr>
          <w:rFonts w:ascii="Palatino Linotype" w:eastAsia="Palatino Linotype" w:hAnsi="Palatino Linotype" w:cs="Palatino Linotype"/>
          <w:sz w:val="24"/>
          <w:szCs w:val="24"/>
        </w:rPr>
        <w:t xml:space="preserve"> </w:t>
      </w:r>
      <w:r w:rsidRPr="00A133D9">
        <w:rPr>
          <w:rFonts w:ascii="Palatino Linotype" w:eastAsia="Palatino Linotype" w:hAnsi="Palatino Linotype" w:cs="Palatino Linotype"/>
          <w:b/>
          <w:sz w:val="24"/>
          <w:szCs w:val="24"/>
        </w:rPr>
        <w:t>(2007)</w:t>
      </w:r>
      <w:r w:rsidRPr="00A133D9">
        <w:rPr>
          <w:rFonts w:ascii="Palatino Linotype" w:eastAsia="Palatino Linotype" w:hAnsi="Palatino Linotype" w:cs="Palatino Linotype"/>
          <w:b/>
          <w:sz w:val="24"/>
          <w:szCs w:val="24"/>
          <w:vertAlign w:val="superscript"/>
        </w:rPr>
        <w:footnoteReference w:id="14"/>
      </w:r>
    </w:p>
    <w:p w14:paraId="02EAD579"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Act provides that an employee involved in an accident or who contracts an occupational disease arising out of and in the course of their employment that result in either temporary or permanent total or partial disablement, or death, has a right to compensation from his or her employer.</w:t>
      </w:r>
      <w:r w:rsidRPr="00A133D9">
        <w:rPr>
          <w:rFonts w:ascii="Palatino Linotype" w:eastAsia="Palatino Linotype" w:hAnsi="Palatino Linotype" w:cs="Palatino Linotype"/>
          <w:sz w:val="24"/>
          <w:szCs w:val="24"/>
          <w:vertAlign w:val="superscript"/>
        </w:rPr>
        <w:footnoteReference w:id="15"/>
      </w:r>
      <w:r w:rsidRPr="00A133D9">
        <w:rPr>
          <w:rFonts w:ascii="Palatino Linotype" w:eastAsia="Palatino Linotype" w:hAnsi="Palatino Linotype" w:cs="Palatino Linotype"/>
          <w:sz w:val="24"/>
          <w:szCs w:val="24"/>
        </w:rPr>
        <w:t xml:space="preserve"> Every employer is required to take out an insurance policy for this purpose and shall provide appropriate medical aid such as first aid.</w:t>
      </w:r>
      <w:r w:rsidRPr="00A133D9">
        <w:rPr>
          <w:rFonts w:ascii="Palatino Linotype" w:eastAsia="Palatino Linotype" w:hAnsi="Palatino Linotype" w:cs="Palatino Linotype"/>
          <w:sz w:val="24"/>
          <w:szCs w:val="24"/>
          <w:vertAlign w:val="superscript"/>
        </w:rPr>
        <w:footnoteReference w:id="16"/>
      </w:r>
      <w:r w:rsidRPr="00A133D9">
        <w:rPr>
          <w:rFonts w:ascii="Palatino Linotype" w:eastAsia="Palatino Linotype" w:hAnsi="Palatino Linotype" w:cs="Palatino Linotype"/>
          <w:sz w:val="24"/>
          <w:szCs w:val="24"/>
        </w:rPr>
        <w:t xml:space="preserve"> </w:t>
      </w:r>
    </w:p>
    <w:p w14:paraId="060C37EF" w14:textId="77777777" w:rsidR="00491055" w:rsidRPr="00A133D9" w:rsidRDefault="00491055">
      <w:pPr>
        <w:rPr>
          <w:rFonts w:ascii="Palatino Linotype" w:eastAsia="Palatino Linotype" w:hAnsi="Palatino Linotype" w:cs="Palatino Linotype"/>
          <w:sz w:val="24"/>
          <w:szCs w:val="24"/>
        </w:rPr>
      </w:pPr>
    </w:p>
    <w:p w14:paraId="1DCA8F6A"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These statutes find their basis in Article 41 of the Constitution which provides for the right to fair labour practices, fair remuneration, reasonable working conditions, going on strike, participation in collective bargaining</w:t>
      </w:r>
      <w:r w:rsidRPr="00A133D9">
        <w:rPr>
          <w:rFonts w:ascii="Palatino Linotype" w:eastAsia="Palatino Linotype" w:hAnsi="Palatino Linotype" w:cs="Palatino Linotype"/>
          <w:sz w:val="24"/>
          <w:szCs w:val="24"/>
          <w:vertAlign w:val="superscript"/>
        </w:rPr>
        <w:footnoteReference w:id="17"/>
      </w:r>
      <w:r w:rsidRPr="00A133D9">
        <w:rPr>
          <w:rFonts w:ascii="Palatino Linotype" w:eastAsia="Palatino Linotype" w:hAnsi="Palatino Linotype" w:cs="Palatino Linotype"/>
          <w:sz w:val="24"/>
          <w:szCs w:val="24"/>
        </w:rPr>
        <w:t>. The statutory provisions are in compliance with the Conventions of the International Labour Organization (ILO) which Kenya has ratified and thus forms part of the law of Kenya.</w:t>
      </w:r>
      <w:r w:rsidRPr="00A133D9">
        <w:rPr>
          <w:rFonts w:ascii="Palatino Linotype" w:eastAsia="Palatino Linotype" w:hAnsi="Palatino Linotype" w:cs="Palatino Linotype"/>
          <w:sz w:val="24"/>
          <w:szCs w:val="24"/>
          <w:vertAlign w:val="superscript"/>
        </w:rPr>
        <w:footnoteReference w:id="18"/>
      </w:r>
      <w:r w:rsidRPr="00A133D9">
        <w:rPr>
          <w:rFonts w:ascii="Palatino Linotype" w:eastAsia="Palatino Linotype" w:hAnsi="Palatino Linotype" w:cs="Palatino Linotype"/>
          <w:sz w:val="24"/>
          <w:szCs w:val="24"/>
        </w:rPr>
        <w:t xml:space="preserve"> </w:t>
      </w:r>
    </w:p>
    <w:p w14:paraId="7EEC99D4" w14:textId="77777777" w:rsidR="00491055" w:rsidRPr="00A133D9" w:rsidRDefault="00491055">
      <w:pPr>
        <w:rPr>
          <w:rFonts w:ascii="Palatino Linotype" w:eastAsia="Palatino Linotype" w:hAnsi="Palatino Linotype" w:cs="Palatino Linotype"/>
          <w:sz w:val="24"/>
          <w:szCs w:val="24"/>
        </w:rPr>
      </w:pPr>
    </w:p>
    <w:p w14:paraId="55D66425" w14:textId="77777777" w:rsidR="00491055" w:rsidRPr="00A133D9" w:rsidRDefault="00491055">
      <w:pPr>
        <w:rPr>
          <w:rFonts w:ascii="Palatino Linotype" w:eastAsia="Palatino Linotype" w:hAnsi="Palatino Linotype" w:cs="Palatino Linotype"/>
          <w:b/>
          <w:sz w:val="24"/>
          <w:szCs w:val="24"/>
        </w:rPr>
      </w:pPr>
    </w:p>
    <w:p w14:paraId="1CCCC6EB" w14:textId="77777777" w:rsidR="00491055" w:rsidRPr="00A133D9" w:rsidRDefault="00000000">
      <w:pPr>
        <w:pStyle w:val="Heading2"/>
        <w:jc w:val="both"/>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National Safety &amp; Security</w:t>
      </w:r>
    </w:p>
    <w:p w14:paraId="76F7F94A"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Constitution defines national security as the protection against internal and external threats to Kenya’s territorial integrity and sovereignty, its people, their rights, freedoms, property, peace, stability and prosperity and other national interests.</w:t>
      </w:r>
      <w:r w:rsidRPr="00A133D9">
        <w:rPr>
          <w:rFonts w:ascii="Palatino Linotype" w:eastAsia="Palatino Linotype" w:hAnsi="Palatino Linotype" w:cs="Palatino Linotype"/>
          <w:sz w:val="24"/>
          <w:szCs w:val="24"/>
          <w:vertAlign w:val="superscript"/>
        </w:rPr>
        <w:footnoteReference w:id="19"/>
      </w:r>
      <w:r w:rsidRPr="00A133D9">
        <w:rPr>
          <w:rFonts w:ascii="Palatino Linotype" w:eastAsia="Palatino Linotype" w:hAnsi="Palatino Linotype" w:cs="Palatino Linotype"/>
          <w:sz w:val="24"/>
          <w:szCs w:val="24"/>
        </w:rPr>
        <w:t xml:space="preserve"> The national security docket is vested in the National Government.</w:t>
      </w:r>
      <w:r w:rsidRPr="00A133D9">
        <w:rPr>
          <w:rFonts w:ascii="Palatino Linotype" w:eastAsia="Palatino Linotype" w:hAnsi="Palatino Linotype" w:cs="Palatino Linotype"/>
          <w:sz w:val="24"/>
          <w:szCs w:val="24"/>
          <w:vertAlign w:val="superscript"/>
        </w:rPr>
        <w:footnoteReference w:id="20"/>
      </w:r>
      <w:r w:rsidRPr="00A133D9">
        <w:rPr>
          <w:rFonts w:ascii="Palatino Linotype" w:eastAsia="Palatino Linotype" w:hAnsi="Palatino Linotype" w:cs="Palatino Linotype"/>
          <w:sz w:val="24"/>
          <w:szCs w:val="24"/>
        </w:rPr>
        <w:t xml:space="preserve">. </w:t>
      </w:r>
    </w:p>
    <w:p w14:paraId="22237682" w14:textId="77777777" w:rsidR="00491055" w:rsidRPr="00A133D9" w:rsidRDefault="00491055">
      <w:pPr>
        <w:rPr>
          <w:rFonts w:ascii="Palatino Linotype" w:eastAsia="Palatino Linotype" w:hAnsi="Palatino Linotype" w:cs="Palatino Linotype"/>
          <w:sz w:val="24"/>
          <w:szCs w:val="24"/>
        </w:rPr>
      </w:pPr>
    </w:p>
    <w:p w14:paraId="45861EFC"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Article 238(2) provides for the principles that promote and guarantee national security in Kenya to include: utmost respect for the rule of law, democracy, human rights and fundamental freedoms. The national security organs shall reflect the diversity of the Kenyan people in equitable proportions.</w:t>
      </w:r>
      <w:r w:rsidRPr="00A133D9">
        <w:rPr>
          <w:rFonts w:ascii="Palatino Linotype" w:eastAsia="Palatino Linotype" w:hAnsi="Palatino Linotype" w:cs="Palatino Linotype"/>
          <w:sz w:val="24"/>
          <w:szCs w:val="24"/>
          <w:vertAlign w:val="superscript"/>
        </w:rPr>
        <w:footnoteReference w:id="21"/>
      </w:r>
    </w:p>
    <w:p w14:paraId="455F8782" w14:textId="77777777" w:rsidR="00491055" w:rsidRPr="00A133D9" w:rsidRDefault="00491055">
      <w:pPr>
        <w:rPr>
          <w:rFonts w:ascii="Palatino Linotype" w:eastAsia="Palatino Linotype" w:hAnsi="Palatino Linotype" w:cs="Palatino Linotype"/>
          <w:sz w:val="24"/>
          <w:szCs w:val="24"/>
        </w:rPr>
      </w:pPr>
    </w:p>
    <w:p w14:paraId="7CDE578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KDF is a national security organ, established in the Constitution under Article 241 and under the Kenya Defence Forces Act, constitutes the Kenya Army, Kenya Air Force and the Kenya Navy.</w:t>
      </w:r>
      <w:r w:rsidRPr="00A133D9">
        <w:rPr>
          <w:rFonts w:ascii="Palatino Linotype" w:eastAsia="Palatino Linotype" w:hAnsi="Palatino Linotype" w:cs="Palatino Linotype"/>
          <w:sz w:val="24"/>
          <w:szCs w:val="24"/>
          <w:vertAlign w:val="superscript"/>
        </w:rPr>
        <w:footnoteReference w:id="22"/>
      </w:r>
      <w:r w:rsidRPr="00A133D9">
        <w:rPr>
          <w:rFonts w:ascii="Palatino Linotype" w:eastAsia="Palatino Linotype" w:hAnsi="Palatino Linotype" w:cs="Palatino Linotype"/>
          <w:sz w:val="24"/>
          <w:szCs w:val="24"/>
        </w:rPr>
        <w:t xml:space="preserve"> The Defence Forces are responsible for the defence and </w:t>
      </w:r>
      <w:r w:rsidRPr="00A133D9">
        <w:rPr>
          <w:rFonts w:ascii="Palatino Linotype" w:eastAsia="Palatino Linotype" w:hAnsi="Palatino Linotype" w:cs="Palatino Linotype"/>
          <w:sz w:val="24"/>
          <w:szCs w:val="24"/>
        </w:rPr>
        <w:lastRenderedPageBreak/>
        <w:t>protection of the sovereignty and territorial integrity of the Republic; assist and cooperate with other authorities in situations of emergency or disaster, and report to the National Assembly whenever deployed in such circumstances; and may be deployed to restore peace in any part of Kenya affected by unrest or instability only with the approval of the National Assembly.</w:t>
      </w:r>
    </w:p>
    <w:p w14:paraId="78D08C96" w14:textId="77777777" w:rsidR="00491055" w:rsidRPr="00A133D9" w:rsidRDefault="00491055">
      <w:pPr>
        <w:rPr>
          <w:rFonts w:ascii="Palatino Linotype" w:eastAsia="Palatino Linotype" w:hAnsi="Palatino Linotype" w:cs="Palatino Linotype"/>
          <w:sz w:val="24"/>
          <w:szCs w:val="24"/>
        </w:rPr>
      </w:pPr>
    </w:p>
    <w:p w14:paraId="73AE5FAF"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National Intelligence Service (NIS), a national security organ, established under Article 242 of the Constitution, is responsible for security intelligence and counterintelligence to enhance national security and perform any other functions prescribed by national legislation.</w:t>
      </w:r>
      <w:r w:rsidRPr="00A133D9">
        <w:rPr>
          <w:rFonts w:ascii="Palatino Linotype" w:eastAsia="Palatino Linotype" w:hAnsi="Palatino Linotype" w:cs="Palatino Linotype"/>
          <w:sz w:val="24"/>
          <w:szCs w:val="24"/>
          <w:vertAlign w:val="superscript"/>
        </w:rPr>
        <w:footnoteReference w:id="23"/>
      </w:r>
    </w:p>
    <w:p w14:paraId="0399ACE5" w14:textId="77777777" w:rsidR="00491055" w:rsidRPr="00A133D9" w:rsidRDefault="00491055">
      <w:pPr>
        <w:rPr>
          <w:rFonts w:ascii="Palatino Linotype" w:eastAsia="Palatino Linotype" w:hAnsi="Palatino Linotype" w:cs="Palatino Linotype"/>
          <w:sz w:val="24"/>
          <w:szCs w:val="24"/>
        </w:rPr>
      </w:pPr>
    </w:p>
    <w:p w14:paraId="398A8B7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National Police Service (NPS) a national security organ established under Article 243 and the National Police Service Act. The NPS shall be mandated to comply with the constitutional standards of human rights and fundamental freedoms; train staff in accordance with the highest possible standards of competence, integrity and professionalism, and promote relationships with the broader society.</w:t>
      </w:r>
    </w:p>
    <w:p w14:paraId="1314DF2C" w14:textId="77777777" w:rsidR="00491055" w:rsidRPr="00A133D9" w:rsidRDefault="00491055">
      <w:pPr>
        <w:rPr>
          <w:rFonts w:ascii="Palatino Linotype" w:eastAsia="Palatino Linotype" w:hAnsi="Palatino Linotype" w:cs="Palatino Linotype"/>
          <w:sz w:val="24"/>
          <w:szCs w:val="24"/>
        </w:rPr>
      </w:pPr>
    </w:p>
    <w:p w14:paraId="22C26265"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 xml:space="preserve">International Safety and Security </w:t>
      </w:r>
    </w:p>
    <w:p w14:paraId="16457424"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Article 1(1) of the United Nations Charter tasks the United Nations with the central mission of maintaining international peace and security, a task that is fulfilled via the United Nations Security Council.</w:t>
      </w:r>
    </w:p>
    <w:p w14:paraId="01854C71" w14:textId="03FC6E0B" w:rsidR="00491055" w:rsidRPr="00BA288A"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The International Labor </w:t>
      </w:r>
      <w:r w:rsidRPr="00BA288A">
        <w:rPr>
          <w:rFonts w:ascii="Palatino Linotype" w:eastAsia="Palatino Linotype" w:hAnsi="Palatino Linotype" w:cs="Palatino Linotype"/>
          <w:sz w:val="24"/>
          <w:szCs w:val="24"/>
        </w:rPr>
        <w:t>Organization</w:t>
      </w:r>
      <w:r w:rsidR="00BA288A" w:rsidRPr="00BA288A">
        <w:rPr>
          <w:rFonts w:ascii="Palatino Linotype" w:eastAsia="Palatino Linotype" w:hAnsi="Palatino Linotype" w:cs="Palatino Linotype"/>
          <w:sz w:val="24"/>
          <w:szCs w:val="24"/>
        </w:rPr>
        <w:t xml:space="preserve"> (</w:t>
      </w:r>
      <w:r w:rsidRPr="00BA288A">
        <w:rPr>
          <w:rFonts w:ascii="Palatino Linotype" w:eastAsia="Palatino Linotype" w:hAnsi="Palatino Linotype" w:cs="Palatino Linotype"/>
          <w:sz w:val="24"/>
          <w:szCs w:val="24"/>
        </w:rPr>
        <w:t>ILO</w:t>
      </w:r>
      <w:r w:rsidR="00BA288A" w:rsidRPr="00BA288A">
        <w:rPr>
          <w:rFonts w:ascii="Palatino Linotype" w:eastAsia="Palatino Linotype" w:hAnsi="Palatino Linotype" w:cs="Palatino Linotype"/>
          <w:sz w:val="24"/>
          <w:szCs w:val="24"/>
        </w:rPr>
        <w:t xml:space="preserve">) </w:t>
      </w:r>
      <w:r w:rsidRPr="00BA288A">
        <w:rPr>
          <w:rFonts w:ascii="Palatino Linotype" w:eastAsia="Palatino Linotype" w:hAnsi="Palatino Linotype" w:cs="Palatino Linotype"/>
          <w:sz w:val="24"/>
          <w:szCs w:val="24"/>
        </w:rPr>
        <w:t>sets standards that aid in the protection of employees within the workplace.</w:t>
      </w:r>
    </w:p>
    <w:p w14:paraId="71D249D7" w14:textId="77777777" w:rsidR="00491055" w:rsidRPr="00BA288A" w:rsidRDefault="00491055">
      <w:pPr>
        <w:rPr>
          <w:rFonts w:ascii="Palatino Linotype" w:eastAsia="Palatino Linotype" w:hAnsi="Palatino Linotype" w:cs="Palatino Linotype"/>
          <w:sz w:val="24"/>
          <w:szCs w:val="24"/>
        </w:rPr>
      </w:pPr>
    </w:p>
    <w:p w14:paraId="2B679F30" w14:textId="77777777" w:rsidR="00491055" w:rsidRPr="00A133D9" w:rsidRDefault="00000000">
      <w:pPr>
        <w:pStyle w:val="Heading1"/>
        <w:jc w:val="both"/>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Disaster management</w:t>
      </w:r>
    </w:p>
    <w:p w14:paraId="4152D0F9"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Introduction</w:t>
      </w:r>
    </w:p>
    <w:p w14:paraId="2127C6D0"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 disaster may be defined as an occurrence of events that lead to a crisis which exceed the human capacity to respond to it</w:t>
      </w:r>
      <w:r w:rsidRPr="00A133D9">
        <w:rPr>
          <w:rFonts w:ascii="Palatino Linotype" w:eastAsia="Palatino Linotype" w:hAnsi="Palatino Linotype" w:cs="Palatino Linotype"/>
          <w:sz w:val="24"/>
          <w:szCs w:val="24"/>
          <w:vertAlign w:val="superscript"/>
        </w:rPr>
        <w:footnoteReference w:id="24"/>
      </w:r>
      <w:r w:rsidRPr="00A133D9">
        <w:rPr>
          <w:rFonts w:ascii="Palatino Linotype" w:eastAsia="Palatino Linotype" w:hAnsi="Palatino Linotype" w:cs="Palatino Linotype"/>
          <w:sz w:val="24"/>
          <w:szCs w:val="24"/>
        </w:rPr>
        <w:t>. It is also described as a serious disruption of the normal functioning systems resulting in human, economic and or environmental losses which surpasses the affected community’s efforts and resources to mitigate the crisis</w:t>
      </w:r>
      <w:r w:rsidRPr="00A133D9">
        <w:rPr>
          <w:rFonts w:ascii="Palatino Linotype" w:eastAsia="Palatino Linotype" w:hAnsi="Palatino Linotype" w:cs="Palatino Linotype"/>
          <w:sz w:val="24"/>
          <w:szCs w:val="24"/>
          <w:vertAlign w:val="superscript"/>
        </w:rPr>
        <w:footnoteReference w:id="25"/>
      </w:r>
      <w:r w:rsidRPr="00A133D9">
        <w:rPr>
          <w:rFonts w:ascii="Palatino Linotype" w:eastAsia="Palatino Linotype" w:hAnsi="Palatino Linotype" w:cs="Palatino Linotype"/>
          <w:sz w:val="24"/>
          <w:szCs w:val="24"/>
        </w:rPr>
        <w:t>.</w:t>
      </w:r>
    </w:p>
    <w:p w14:paraId="48EB90F2" w14:textId="30B8301A"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It is impossible to foresee or anticipate all disasters as they often come without any warning – the very essence of a disaster is that they are spontaneous.     </w:t>
      </w:r>
    </w:p>
    <w:p w14:paraId="1024795F"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lastRenderedPageBreak/>
        <w:t xml:space="preserve">Types of disasters </w:t>
      </w:r>
    </w:p>
    <w:p w14:paraId="6250E2BD" w14:textId="77777777" w:rsidR="00491055" w:rsidRPr="00A133D9" w:rsidRDefault="00000000">
      <w:pPr>
        <w:numPr>
          <w:ilvl w:val="0"/>
          <w:numId w:val="12"/>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Natural disasters </w:t>
      </w:r>
    </w:p>
    <w:p w14:paraId="54175376"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Major adverse events such as these have the potential to cause catastrophic loss of life and physical destruction. These have no human control or intervention. They are often unexpected and can leave whole communities in shock. They include floods, wildfire, earthquakes, tsunamis etc</w:t>
      </w:r>
    </w:p>
    <w:p w14:paraId="1DE9B7CD" w14:textId="77777777" w:rsidR="00491055" w:rsidRPr="00A133D9" w:rsidRDefault="00000000">
      <w:pPr>
        <w:numPr>
          <w:ilvl w:val="0"/>
          <w:numId w:val="12"/>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Human-Caused Disasters</w:t>
      </w:r>
    </w:p>
    <w:p w14:paraId="2A3CF676"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These are disasters that are caused by man activities or interferences. These are avoidable and can be prevented when the right measures are adopted.</w:t>
      </w:r>
    </w:p>
    <w:p w14:paraId="7FC7CF2D"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Examples include industrial accidents, shootings, acts of terrorism, and incidents of mass violence.</w:t>
      </w:r>
    </w:p>
    <w:p w14:paraId="2F63E809" w14:textId="77777777" w:rsidR="00491055" w:rsidRPr="00A133D9" w:rsidRDefault="00000000">
      <w:pPr>
        <w:numPr>
          <w:ilvl w:val="0"/>
          <w:numId w:val="12"/>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Other Incidents of Mass Trauma</w:t>
      </w:r>
    </w:p>
    <w:p w14:paraId="26C97052"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Infectious disease outbreaks, incidents of community unrest, and other types of traumatic events can also bring out strong emotions in people. The Disaster Distress Helpline provides immediate crisis </w:t>
      </w:r>
      <w:proofErr w:type="spellStart"/>
      <w:r w:rsidRPr="00A133D9">
        <w:rPr>
          <w:rFonts w:ascii="Palatino Linotype" w:eastAsia="Palatino Linotype" w:hAnsi="Palatino Linotype" w:cs="Palatino Linotype"/>
          <w:sz w:val="24"/>
          <w:szCs w:val="24"/>
        </w:rPr>
        <w:t>counseling</w:t>
      </w:r>
      <w:proofErr w:type="spellEnd"/>
      <w:r w:rsidRPr="00A133D9">
        <w:rPr>
          <w:rFonts w:ascii="Palatino Linotype" w:eastAsia="Palatino Linotype" w:hAnsi="Palatino Linotype" w:cs="Palatino Linotype"/>
          <w:sz w:val="24"/>
          <w:szCs w:val="24"/>
        </w:rPr>
        <w:t xml:space="preserve"> to people affected by traumatic events.</w:t>
      </w:r>
    </w:p>
    <w:p w14:paraId="18E6C578"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ab/>
      </w:r>
    </w:p>
    <w:p w14:paraId="6832519A"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Disaster Management</w:t>
      </w:r>
    </w:p>
    <w:p w14:paraId="6D7165F2"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Disaster management is the systematic process of using administrative directives, organizations, and operational skills and capabilities to implement strategies, policies and improved coping capacities in order to lessen the adverse impacts of hazards and the possibility of disaster.</w:t>
      </w:r>
      <w:r w:rsidRPr="00A133D9">
        <w:rPr>
          <w:rFonts w:ascii="Palatino Linotype" w:eastAsia="Palatino Linotype" w:hAnsi="Palatino Linotype" w:cs="Palatino Linotype"/>
          <w:sz w:val="24"/>
          <w:szCs w:val="24"/>
          <w:vertAlign w:val="superscript"/>
        </w:rPr>
        <w:footnoteReference w:id="26"/>
      </w:r>
    </w:p>
    <w:p w14:paraId="3260EF6C"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Objectives of disaster management</w:t>
      </w:r>
    </w:p>
    <w:p w14:paraId="4BCDDB79" w14:textId="77777777" w:rsidR="00491055" w:rsidRPr="00A133D9" w:rsidRDefault="00000000">
      <w:pPr>
        <w:numPr>
          <w:ilvl w:val="0"/>
          <w:numId w:val="6"/>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To ensure the operations of a business are running without interruptions after the disaster.</w:t>
      </w:r>
    </w:p>
    <w:p w14:paraId="3369979C" w14:textId="77777777" w:rsidR="00491055" w:rsidRPr="00A133D9" w:rsidRDefault="00000000">
      <w:pPr>
        <w:numPr>
          <w:ilvl w:val="0"/>
          <w:numId w:val="6"/>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To ensure that the assets and information are protected against possible disaster.</w:t>
      </w:r>
    </w:p>
    <w:p w14:paraId="74EA0FAA" w14:textId="77777777" w:rsidR="00491055" w:rsidRPr="00A133D9" w:rsidRDefault="00000000">
      <w:pPr>
        <w:numPr>
          <w:ilvl w:val="0"/>
          <w:numId w:val="6"/>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To develop a plan which will reduce risks and uncertainties.</w:t>
      </w:r>
    </w:p>
    <w:p w14:paraId="5267DE59" w14:textId="77777777" w:rsidR="00491055" w:rsidRPr="00A133D9" w:rsidRDefault="00491055">
      <w:pPr>
        <w:spacing w:after="160" w:line="259" w:lineRule="auto"/>
        <w:rPr>
          <w:rFonts w:ascii="Palatino Linotype" w:eastAsia="Palatino Linotype" w:hAnsi="Palatino Linotype" w:cs="Palatino Linotype"/>
          <w:sz w:val="24"/>
          <w:szCs w:val="24"/>
        </w:rPr>
      </w:pPr>
    </w:p>
    <w:p w14:paraId="75C9E441" w14:textId="77777777" w:rsidR="00491055" w:rsidRPr="00A133D9" w:rsidRDefault="00491055">
      <w:pPr>
        <w:spacing w:after="160" w:line="259" w:lineRule="auto"/>
        <w:rPr>
          <w:rFonts w:ascii="Palatino Linotype" w:eastAsia="Palatino Linotype" w:hAnsi="Palatino Linotype" w:cs="Palatino Linotype"/>
          <w:b/>
          <w:sz w:val="24"/>
          <w:szCs w:val="24"/>
        </w:rPr>
      </w:pPr>
    </w:p>
    <w:p w14:paraId="5D468F57"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lastRenderedPageBreak/>
        <w:t>Types of disaster management</w:t>
      </w:r>
    </w:p>
    <w:p w14:paraId="76F5F503" w14:textId="77777777" w:rsidR="00491055" w:rsidRPr="00A133D9" w:rsidRDefault="00000000">
      <w:pPr>
        <w:numPr>
          <w:ilvl w:val="0"/>
          <w:numId w:val="13"/>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Disaster Prevention</w:t>
      </w:r>
    </w:p>
    <w:p w14:paraId="54C57052"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This is the concept of engaging in activities which intend to prevent or avoid potential adverse impacts through action taken in advance, activities designed to provide protection from the occurrence of disasters. However, while not all disasters can be prevented, good risk management, evacuation plans, environmental planning and design standards can reduce risk of loss of life and injury mitigation</w:t>
      </w:r>
      <w:r w:rsidRPr="00A133D9">
        <w:rPr>
          <w:rFonts w:ascii="Palatino Linotype" w:eastAsia="Palatino Linotype" w:hAnsi="Palatino Linotype" w:cs="Palatino Linotype"/>
          <w:sz w:val="24"/>
          <w:szCs w:val="24"/>
          <w:vertAlign w:val="superscript"/>
        </w:rPr>
        <w:footnoteReference w:id="27"/>
      </w:r>
      <w:r w:rsidRPr="00A133D9">
        <w:rPr>
          <w:rFonts w:ascii="Palatino Linotype" w:eastAsia="Palatino Linotype" w:hAnsi="Palatino Linotype" w:cs="Palatino Linotype"/>
          <w:sz w:val="24"/>
          <w:szCs w:val="24"/>
        </w:rPr>
        <w:t>.</w:t>
      </w:r>
    </w:p>
    <w:p w14:paraId="3572D9EC" w14:textId="77777777" w:rsidR="00491055" w:rsidRPr="00A133D9" w:rsidRDefault="00000000">
      <w:pPr>
        <w:numPr>
          <w:ilvl w:val="0"/>
          <w:numId w:val="13"/>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 Disaster Preparedness</w:t>
      </w:r>
    </w:p>
    <w:p w14:paraId="121F0E4D"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knowledge and capacities developed by governments, professional response and recovery organizations, communities and individuals to effectively anticipate, respond to, and recover from, the impacts of likely, imminent or current hazard events or conditions</w:t>
      </w:r>
      <w:r w:rsidRPr="00A133D9">
        <w:rPr>
          <w:rFonts w:ascii="Palatino Linotype" w:eastAsia="Palatino Linotype" w:hAnsi="Palatino Linotype" w:cs="Palatino Linotype"/>
          <w:sz w:val="24"/>
          <w:szCs w:val="24"/>
          <w:vertAlign w:val="superscript"/>
        </w:rPr>
        <w:footnoteReference w:id="28"/>
      </w:r>
      <w:r w:rsidRPr="00A133D9">
        <w:rPr>
          <w:rFonts w:ascii="Palatino Linotype" w:eastAsia="Palatino Linotype" w:hAnsi="Palatino Linotype" w:cs="Palatino Linotype"/>
          <w:sz w:val="24"/>
          <w:szCs w:val="24"/>
        </w:rPr>
        <w:t>. Thus, the measures taken reduces the effects of disasters, be they natural or manmade. Disaster preparedness activities embedded with risk reduction measures can prevent disaster situations and also result in saving maximum lives and livelihoods during any disaster situation, enabling the affected population to get back to normalcy within a short time period</w:t>
      </w:r>
      <w:r w:rsidRPr="00A133D9">
        <w:rPr>
          <w:rFonts w:ascii="Palatino Linotype" w:eastAsia="Palatino Linotype" w:hAnsi="Palatino Linotype" w:cs="Palatino Linotype"/>
          <w:sz w:val="24"/>
          <w:szCs w:val="24"/>
          <w:vertAlign w:val="superscript"/>
        </w:rPr>
        <w:footnoteReference w:id="29"/>
      </w:r>
      <w:r w:rsidRPr="00A133D9">
        <w:rPr>
          <w:rFonts w:ascii="Palatino Linotype" w:eastAsia="Palatino Linotype" w:hAnsi="Palatino Linotype" w:cs="Palatino Linotype"/>
          <w:sz w:val="24"/>
          <w:szCs w:val="24"/>
        </w:rPr>
        <w:t>.</w:t>
      </w:r>
    </w:p>
    <w:p w14:paraId="4C745219"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Effective disaster management measures</w:t>
      </w:r>
    </w:p>
    <w:p w14:paraId="257E76C7"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To effectively deal with a disaster, the following three approaches may be employed as a disaster management plan. They are</w:t>
      </w:r>
      <w:r w:rsidRPr="00A133D9">
        <w:rPr>
          <w:rFonts w:ascii="Palatino Linotype" w:eastAsia="Palatino Linotype" w:hAnsi="Palatino Linotype" w:cs="Palatino Linotype"/>
          <w:sz w:val="24"/>
          <w:szCs w:val="24"/>
          <w:vertAlign w:val="superscript"/>
        </w:rPr>
        <w:footnoteReference w:id="30"/>
      </w:r>
      <w:r w:rsidRPr="00A133D9">
        <w:rPr>
          <w:rFonts w:ascii="Palatino Linotype" w:eastAsia="Palatino Linotype" w:hAnsi="Palatino Linotype" w:cs="Palatino Linotype"/>
          <w:sz w:val="24"/>
          <w:szCs w:val="24"/>
        </w:rPr>
        <w:t>;</w:t>
      </w:r>
    </w:p>
    <w:p w14:paraId="7F9F8722" w14:textId="77777777" w:rsidR="00491055" w:rsidRPr="00A133D9" w:rsidRDefault="00000000">
      <w:pPr>
        <w:numPr>
          <w:ilvl w:val="0"/>
          <w:numId w:val="9"/>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u w:val="single"/>
        </w:rPr>
        <w:t>Pre-event Planning:</w:t>
      </w:r>
      <w:r w:rsidRPr="00A133D9">
        <w:rPr>
          <w:rFonts w:ascii="Palatino Linotype" w:eastAsia="Palatino Linotype" w:hAnsi="Palatino Linotype" w:cs="Palatino Linotype"/>
          <w:sz w:val="24"/>
          <w:szCs w:val="24"/>
        </w:rPr>
        <w:t xml:space="preserve"> This is the roll out of precise measures that put in place effective guidelines to deal with disaster. They develop and expect the application of preventive measures. </w:t>
      </w:r>
      <w:r w:rsidRPr="00A133D9">
        <w:rPr>
          <w:rFonts w:ascii="Palatino Linotype" w:eastAsia="Palatino Linotype" w:hAnsi="Palatino Linotype" w:cs="Palatino Linotype"/>
          <w:i/>
          <w:sz w:val="24"/>
          <w:szCs w:val="24"/>
        </w:rPr>
        <w:t xml:space="preserve">Preventive measures </w:t>
      </w:r>
      <w:r w:rsidRPr="00A133D9">
        <w:rPr>
          <w:rFonts w:ascii="Palatino Linotype" w:eastAsia="Palatino Linotype" w:hAnsi="Palatino Linotype" w:cs="Palatino Linotype"/>
          <w:sz w:val="24"/>
          <w:szCs w:val="24"/>
        </w:rPr>
        <w:t xml:space="preserve"> are defined as steps that are necessary in ensuring disasters which can be avoided do not occur. Examples of such measures include regular maintenance of machinery and electrical appliances, erecting proper drainage and proper disposal of hazardous materials.</w:t>
      </w:r>
    </w:p>
    <w:p w14:paraId="26101133" w14:textId="77777777" w:rsidR="00491055" w:rsidRPr="00A133D9" w:rsidRDefault="00000000">
      <w:pPr>
        <w:numPr>
          <w:ilvl w:val="0"/>
          <w:numId w:val="9"/>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u w:val="single"/>
        </w:rPr>
        <w:t>Mitigation measures:</w:t>
      </w:r>
      <w:r w:rsidRPr="00A133D9">
        <w:rPr>
          <w:rFonts w:ascii="Palatino Linotype" w:eastAsia="Palatino Linotype" w:hAnsi="Palatino Linotype" w:cs="Palatino Linotype"/>
          <w:sz w:val="24"/>
          <w:szCs w:val="24"/>
        </w:rPr>
        <w:t xml:space="preserve"> This is a response to ongoing events. It is important to recognize that in a disaster, there is a need to employ mitigation measures such as evacuation and first aid. The affected organization should have its priorities </w:t>
      </w:r>
      <w:r w:rsidRPr="00A133D9">
        <w:rPr>
          <w:rFonts w:ascii="Palatino Linotype" w:eastAsia="Palatino Linotype" w:hAnsi="Palatino Linotype" w:cs="Palatino Linotype"/>
          <w:sz w:val="24"/>
          <w:szCs w:val="24"/>
        </w:rPr>
        <w:lastRenderedPageBreak/>
        <w:t xml:space="preserve">right as it attempts to respond to the disaster. For example, the following is proposed to </w:t>
      </w:r>
      <w:proofErr w:type="spellStart"/>
      <w:r w:rsidRPr="00A133D9">
        <w:rPr>
          <w:rFonts w:ascii="Palatino Linotype" w:eastAsia="Palatino Linotype" w:hAnsi="Palatino Linotype" w:cs="Palatino Linotype"/>
          <w:sz w:val="24"/>
          <w:szCs w:val="24"/>
        </w:rPr>
        <w:t>handled</w:t>
      </w:r>
      <w:proofErr w:type="spellEnd"/>
      <w:r w:rsidRPr="00A133D9">
        <w:rPr>
          <w:rFonts w:ascii="Palatino Linotype" w:eastAsia="Palatino Linotype" w:hAnsi="Palatino Linotype" w:cs="Palatino Linotype"/>
          <w:sz w:val="24"/>
          <w:szCs w:val="24"/>
        </w:rPr>
        <w:t xml:space="preserve"> in order of priority;</w:t>
      </w:r>
    </w:p>
    <w:p w14:paraId="51709017"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Protect human life</w:t>
      </w:r>
    </w:p>
    <w:p w14:paraId="6654B5E5"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Minimize risk of injury.</w:t>
      </w:r>
    </w:p>
    <w:p w14:paraId="5AD2EF7A"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Protect physical assets.</w:t>
      </w:r>
    </w:p>
    <w:p w14:paraId="6939FAA0"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Minimize losses.</w:t>
      </w:r>
    </w:p>
    <w:p w14:paraId="7050CE1F"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Resume normal business operations.</w:t>
      </w:r>
    </w:p>
    <w:p w14:paraId="67008115" w14:textId="77777777" w:rsidR="00491055" w:rsidRPr="00A133D9" w:rsidRDefault="00000000">
      <w:pPr>
        <w:numPr>
          <w:ilvl w:val="0"/>
          <w:numId w:val="9"/>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u w:val="single"/>
        </w:rPr>
        <w:t>Post event planning.</w:t>
      </w:r>
      <w:r w:rsidRPr="00A133D9">
        <w:rPr>
          <w:rFonts w:ascii="Palatino Linotype" w:eastAsia="Palatino Linotype" w:hAnsi="Palatino Linotype" w:cs="Palatino Linotype"/>
          <w:sz w:val="24"/>
          <w:szCs w:val="24"/>
        </w:rPr>
        <w:t xml:space="preserve"> An effective disaster management plan should cover the period beyond the occurrence of the disaster. The aftermath of a disaster can be traumatic on the employees which may include suffering physical harm and/or loss of valuables. Therefore, the institution should have general support services and specific services in place.</w:t>
      </w:r>
    </w:p>
    <w:p w14:paraId="1964EC5B" w14:textId="77777777" w:rsidR="00491055" w:rsidRPr="00A133D9" w:rsidRDefault="00491055">
      <w:pPr>
        <w:spacing w:after="160" w:line="259" w:lineRule="auto"/>
        <w:rPr>
          <w:rFonts w:ascii="Palatino Linotype" w:eastAsia="Palatino Linotype" w:hAnsi="Palatino Linotype" w:cs="Palatino Linotype"/>
          <w:sz w:val="24"/>
          <w:szCs w:val="24"/>
        </w:rPr>
      </w:pPr>
    </w:p>
    <w:p w14:paraId="4FCC1DD9"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Laws on Disaster Management in Kenya</w:t>
      </w:r>
    </w:p>
    <w:p w14:paraId="64A1EFE9"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National legal framework</w:t>
      </w:r>
    </w:p>
    <w:p w14:paraId="337DB4EE"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With the advent of devolution, the </w:t>
      </w:r>
      <w:r w:rsidRPr="00A133D9">
        <w:rPr>
          <w:rFonts w:ascii="Palatino Linotype" w:eastAsia="Palatino Linotype" w:hAnsi="Palatino Linotype" w:cs="Palatino Linotype"/>
          <w:i/>
          <w:sz w:val="24"/>
          <w:szCs w:val="24"/>
        </w:rPr>
        <w:t>Constitution of Kenya 2010</w:t>
      </w:r>
      <w:r w:rsidRPr="00A133D9">
        <w:rPr>
          <w:rFonts w:ascii="Palatino Linotype" w:eastAsia="Palatino Linotype" w:hAnsi="Palatino Linotype" w:cs="Palatino Linotype"/>
          <w:sz w:val="24"/>
          <w:szCs w:val="24"/>
        </w:rPr>
        <w:t xml:space="preserve"> provides that disaster management is a function of the County Governments.</w:t>
      </w:r>
      <w:r w:rsidRPr="00A133D9">
        <w:rPr>
          <w:rFonts w:ascii="Palatino Linotype" w:eastAsia="Palatino Linotype" w:hAnsi="Palatino Linotype" w:cs="Palatino Linotype"/>
          <w:sz w:val="24"/>
          <w:szCs w:val="24"/>
          <w:vertAlign w:val="superscript"/>
        </w:rPr>
        <w:footnoteReference w:id="31"/>
      </w:r>
      <w:r w:rsidRPr="00A133D9">
        <w:rPr>
          <w:rFonts w:ascii="Palatino Linotype" w:eastAsia="Palatino Linotype" w:hAnsi="Palatino Linotype" w:cs="Palatino Linotype"/>
          <w:sz w:val="24"/>
          <w:szCs w:val="24"/>
        </w:rPr>
        <w:t xml:space="preserve"> Consequently, through the </w:t>
      </w:r>
      <w:r w:rsidRPr="00A133D9">
        <w:rPr>
          <w:rFonts w:ascii="Palatino Linotype" w:eastAsia="Palatino Linotype" w:hAnsi="Palatino Linotype" w:cs="Palatino Linotype"/>
          <w:i/>
          <w:sz w:val="24"/>
          <w:szCs w:val="24"/>
        </w:rPr>
        <w:t>County Governments Act,</w:t>
      </w:r>
      <w:r w:rsidRPr="00A133D9">
        <w:rPr>
          <w:rFonts w:ascii="Palatino Linotype" w:eastAsia="Palatino Linotype" w:hAnsi="Palatino Linotype" w:cs="Palatino Linotype"/>
          <w:sz w:val="24"/>
          <w:szCs w:val="24"/>
        </w:rPr>
        <w:t xml:space="preserve"> county governments have been mandated to, among other functions, provide for disaster management.</w:t>
      </w:r>
      <w:r w:rsidRPr="00A133D9">
        <w:rPr>
          <w:rFonts w:ascii="Palatino Linotype" w:eastAsia="Palatino Linotype" w:hAnsi="Palatino Linotype" w:cs="Palatino Linotype"/>
          <w:sz w:val="24"/>
          <w:szCs w:val="24"/>
          <w:vertAlign w:val="superscript"/>
        </w:rPr>
        <w:footnoteReference w:id="32"/>
      </w:r>
      <w:r w:rsidRPr="00A133D9">
        <w:rPr>
          <w:rFonts w:ascii="Palatino Linotype" w:eastAsia="Palatino Linotype" w:hAnsi="Palatino Linotype" w:cs="Palatino Linotype"/>
          <w:sz w:val="24"/>
          <w:szCs w:val="24"/>
        </w:rPr>
        <w:t xml:space="preserve"> </w:t>
      </w:r>
    </w:p>
    <w:p w14:paraId="7892EEE4"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i/>
          <w:sz w:val="24"/>
          <w:szCs w:val="24"/>
        </w:rPr>
        <w:t>The Disaster Risk Management Bill, 2021</w:t>
      </w:r>
      <w:r w:rsidRPr="00A133D9">
        <w:rPr>
          <w:rFonts w:ascii="Palatino Linotype" w:eastAsia="Palatino Linotype" w:hAnsi="Palatino Linotype" w:cs="Palatino Linotype"/>
          <w:b/>
          <w:sz w:val="24"/>
          <w:szCs w:val="24"/>
        </w:rPr>
        <w:t xml:space="preserve">, </w:t>
      </w:r>
      <w:r w:rsidRPr="00A133D9">
        <w:rPr>
          <w:rFonts w:ascii="Palatino Linotype" w:eastAsia="Palatino Linotype" w:hAnsi="Palatino Linotype" w:cs="Palatino Linotype"/>
          <w:sz w:val="24"/>
          <w:szCs w:val="24"/>
        </w:rPr>
        <w:t>establishes the National Disaster Risk Management Authority and County Disaster Risk Management Committees; to provide a legal framework for the coordination of disaster risk management activities and for connected purposes.</w:t>
      </w:r>
    </w:p>
    <w:p w14:paraId="37E39844"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i/>
          <w:sz w:val="24"/>
          <w:szCs w:val="24"/>
        </w:rPr>
        <w:t>The Environment Management Coordination Act</w:t>
      </w:r>
      <w:r w:rsidRPr="00A133D9">
        <w:rPr>
          <w:rFonts w:ascii="Palatino Linotype" w:eastAsia="Palatino Linotype" w:hAnsi="Palatino Linotype" w:cs="Palatino Linotype"/>
          <w:i/>
          <w:sz w:val="24"/>
          <w:szCs w:val="24"/>
          <w:vertAlign w:val="superscript"/>
        </w:rPr>
        <w:footnoteReference w:id="33"/>
      </w:r>
      <w:r w:rsidRPr="00A133D9">
        <w:rPr>
          <w:rFonts w:ascii="Palatino Linotype" w:eastAsia="Palatino Linotype" w:hAnsi="Palatino Linotype" w:cs="Palatino Linotype"/>
          <w:sz w:val="24"/>
          <w:szCs w:val="24"/>
        </w:rPr>
        <w:t xml:space="preserve">: establishes the National Environmental Management Authority (NEMA) which has the main mandate of ensuring safeguards have been implemented when it comes to environmental issues. </w:t>
      </w:r>
    </w:p>
    <w:p w14:paraId="315530DC"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i/>
          <w:sz w:val="24"/>
          <w:szCs w:val="24"/>
        </w:rPr>
        <w:t>The Kenya Red Cross Society Act</w:t>
      </w:r>
      <w:r w:rsidRPr="00A133D9">
        <w:rPr>
          <w:rFonts w:ascii="Palatino Linotype" w:eastAsia="Palatino Linotype" w:hAnsi="Palatino Linotype" w:cs="Palatino Linotype"/>
          <w:i/>
          <w:sz w:val="24"/>
          <w:szCs w:val="24"/>
          <w:vertAlign w:val="superscript"/>
        </w:rPr>
        <w:footnoteReference w:id="34"/>
      </w:r>
      <w:r w:rsidRPr="00A133D9">
        <w:rPr>
          <w:rFonts w:ascii="Palatino Linotype" w:eastAsia="Palatino Linotype" w:hAnsi="Palatino Linotype" w:cs="Palatino Linotype"/>
          <w:sz w:val="24"/>
          <w:szCs w:val="24"/>
        </w:rPr>
        <w:t xml:space="preserve">: allows Kenya Red Cross Society to provide relief to victims of catastrophe and public disasters. </w:t>
      </w:r>
    </w:p>
    <w:p w14:paraId="2C403EB1"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i/>
          <w:sz w:val="24"/>
          <w:szCs w:val="24"/>
        </w:rPr>
        <w:lastRenderedPageBreak/>
        <w:t>The Prevention of Terrorism Act</w:t>
      </w:r>
      <w:r w:rsidRPr="00A133D9">
        <w:rPr>
          <w:rFonts w:ascii="Palatino Linotype" w:eastAsia="Palatino Linotype" w:hAnsi="Palatino Linotype" w:cs="Palatino Linotype"/>
          <w:sz w:val="24"/>
          <w:szCs w:val="24"/>
        </w:rPr>
        <w:t xml:space="preserve">: regulates punishment and deterrence of perpetrators of terrorist activities. </w:t>
      </w:r>
    </w:p>
    <w:p w14:paraId="37B1CCD1"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Indirectly providing for disaster management are specialist statutes. The </w:t>
      </w:r>
      <w:r w:rsidRPr="00A133D9">
        <w:rPr>
          <w:rFonts w:ascii="Palatino Linotype" w:eastAsia="Palatino Linotype" w:hAnsi="Palatino Linotype" w:cs="Palatino Linotype"/>
          <w:i/>
          <w:sz w:val="24"/>
          <w:szCs w:val="24"/>
        </w:rPr>
        <w:t>Environmental Management and Co-ordination Act of 1999</w:t>
      </w:r>
      <w:r w:rsidRPr="00A133D9">
        <w:rPr>
          <w:rFonts w:ascii="Palatino Linotype" w:eastAsia="Palatino Linotype" w:hAnsi="Palatino Linotype" w:cs="Palatino Linotype"/>
          <w:sz w:val="24"/>
          <w:szCs w:val="24"/>
        </w:rPr>
        <w:t xml:space="preserve"> establishes an appropriate legal and institutional framework for the management of the environment. It is inferred that in case of an environmental disaster like a forest fire, relevant provisions on the same come to play. </w:t>
      </w:r>
    </w:p>
    <w:p w14:paraId="3B0B3076" w14:textId="77777777" w:rsidR="00491055" w:rsidRPr="00A133D9" w:rsidRDefault="00491055">
      <w:pPr>
        <w:rPr>
          <w:rFonts w:ascii="Palatino Linotype" w:eastAsia="Palatino Linotype" w:hAnsi="Palatino Linotype" w:cs="Palatino Linotype"/>
          <w:sz w:val="24"/>
          <w:szCs w:val="24"/>
        </w:rPr>
      </w:pPr>
    </w:p>
    <w:p w14:paraId="374F0419"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Likewise, the </w:t>
      </w:r>
      <w:r w:rsidRPr="00A133D9">
        <w:rPr>
          <w:rFonts w:ascii="Palatino Linotype" w:eastAsia="Palatino Linotype" w:hAnsi="Palatino Linotype" w:cs="Palatino Linotype"/>
          <w:i/>
          <w:sz w:val="24"/>
          <w:szCs w:val="24"/>
        </w:rPr>
        <w:t>Occupational Safety and Health Act</w:t>
      </w:r>
      <w:r w:rsidRPr="00A133D9">
        <w:rPr>
          <w:rFonts w:ascii="Palatino Linotype" w:eastAsia="Palatino Linotype" w:hAnsi="Palatino Linotype" w:cs="Palatino Linotype"/>
          <w:sz w:val="24"/>
          <w:szCs w:val="24"/>
        </w:rPr>
        <w:t xml:space="preserve"> requires employers to have emergency action plans in a wide variety of situations and communicate the plans to employees. It also provides for the formation of </w:t>
      </w:r>
      <w:r w:rsidRPr="00A133D9">
        <w:rPr>
          <w:rFonts w:ascii="Palatino Linotype" w:eastAsia="Palatino Linotype" w:hAnsi="Palatino Linotype" w:cs="Palatino Linotype"/>
          <w:i/>
          <w:sz w:val="24"/>
          <w:szCs w:val="24"/>
        </w:rPr>
        <w:t>Safety Committees</w:t>
      </w:r>
      <w:r w:rsidRPr="00A133D9">
        <w:rPr>
          <w:rFonts w:ascii="Palatino Linotype" w:eastAsia="Palatino Linotype" w:hAnsi="Palatino Linotype" w:cs="Palatino Linotype"/>
          <w:sz w:val="24"/>
          <w:szCs w:val="24"/>
        </w:rPr>
        <w:t xml:space="preserve"> by the Occupier of every factory or workplace mandatory and such Committees are responsible for all health and safety issues of enterprises including undertaking safety audits. </w:t>
      </w:r>
    </w:p>
    <w:p w14:paraId="6D5CF5C4" w14:textId="77777777" w:rsidR="00491055" w:rsidRPr="00A133D9" w:rsidRDefault="00491055">
      <w:pPr>
        <w:rPr>
          <w:rFonts w:ascii="Palatino Linotype" w:eastAsia="Palatino Linotype" w:hAnsi="Palatino Linotype" w:cs="Palatino Linotype"/>
          <w:sz w:val="24"/>
          <w:szCs w:val="24"/>
        </w:rPr>
      </w:pPr>
    </w:p>
    <w:p w14:paraId="224D535F"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An employee who suffers injury in the course of employment has recourse under the</w:t>
      </w:r>
      <w:r w:rsidRPr="00A133D9">
        <w:rPr>
          <w:rFonts w:ascii="Palatino Linotype" w:eastAsia="Palatino Linotype" w:hAnsi="Palatino Linotype" w:cs="Palatino Linotype"/>
          <w:i/>
          <w:sz w:val="24"/>
          <w:szCs w:val="24"/>
        </w:rPr>
        <w:t xml:space="preserve"> Work Injury Benefits Act </w:t>
      </w:r>
      <w:r w:rsidRPr="00A133D9">
        <w:rPr>
          <w:rFonts w:ascii="Palatino Linotype" w:eastAsia="Palatino Linotype" w:hAnsi="Palatino Linotype" w:cs="Palatino Linotype"/>
          <w:sz w:val="24"/>
          <w:szCs w:val="24"/>
        </w:rPr>
        <w:t>in terms of compensation to employees for work related injuries and diseases contracted in the course of their employment and for other connected purposes.</w:t>
      </w:r>
      <w:r w:rsidRPr="00A133D9">
        <w:rPr>
          <w:rFonts w:ascii="Palatino Linotype" w:eastAsia="Palatino Linotype" w:hAnsi="Palatino Linotype" w:cs="Palatino Linotype"/>
          <w:sz w:val="24"/>
          <w:szCs w:val="24"/>
          <w:vertAlign w:val="superscript"/>
        </w:rPr>
        <w:footnoteReference w:id="35"/>
      </w:r>
    </w:p>
    <w:p w14:paraId="0B841E09" w14:textId="77777777" w:rsidR="00491055" w:rsidRPr="00A133D9" w:rsidRDefault="00491055">
      <w:pPr>
        <w:rPr>
          <w:rFonts w:ascii="Palatino Linotype" w:eastAsia="Palatino Linotype" w:hAnsi="Palatino Linotype" w:cs="Palatino Linotype"/>
          <w:sz w:val="24"/>
          <w:szCs w:val="24"/>
        </w:rPr>
      </w:pPr>
    </w:p>
    <w:p w14:paraId="6680ED6C"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Perhaps the most comprehensive provisions of law are found in the</w:t>
      </w:r>
      <w:r w:rsidRPr="00A133D9">
        <w:rPr>
          <w:rFonts w:ascii="Palatino Linotype" w:eastAsia="Palatino Linotype" w:hAnsi="Palatino Linotype" w:cs="Palatino Linotype"/>
          <w:i/>
          <w:sz w:val="24"/>
          <w:szCs w:val="24"/>
        </w:rPr>
        <w:t xml:space="preserve"> National Policy on Disaster Management</w:t>
      </w:r>
      <w:r w:rsidRPr="00A133D9">
        <w:rPr>
          <w:rFonts w:ascii="Palatino Linotype" w:eastAsia="Palatino Linotype" w:hAnsi="Palatino Linotype" w:cs="Palatino Linotype"/>
          <w:sz w:val="24"/>
          <w:szCs w:val="24"/>
        </w:rPr>
        <w:t xml:space="preserve"> and the </w:t>
      </w:r>
      <w:r w:rsidRPr="00A133D9">
        <w:rPr>
          <w:rFonts w:ascii="Palatino Linotype" w:eastAsia="Palatino Linotype" w:hAnsi="Palatino Linotype" w:cs="Palatino Linotype"/>
          <w:i/>
          <w:sz w:val="24"/>
          <w:szCs w:val="24"/>
        </w:rPr>
        <w:t>National Disaster Response Plan.</w:t>
      </w:r>
    </w:p>
    <w:p w14:paraId="7B21443D"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International Legal instrument such as the </w:t>
      </w:r>
      <w:r w:rsidRPr="00A133D9">
        <w:rPr>
          <w:rFonts w:ascii="Palatino Linotype" w:eastAsia="Palatino Linotype" w:hAnsi="Palatino Linotype" w:cs="Palatino Linotype"/>
          <w:i/>
          <w:sz w:val="24"/>
          <w:szCs w:val="24"/>
        </w:rPr>
        <w:t>Universal Declaration of Human Rights</w:t>
      </w:r>
      <w:r w:rsidRPr="00A133D9">
        <w:rPr>
          <w:rFonts w:ascii="Palatino Linotype" w:eastAsia="Palatino Linotype" w:hAnsi="Palatino Linotype" w:cs="Palatino Linotype"/>
          <w:sz w:val="24"/>
          <w:szCs w:val="24"/>
        </w:rPr>
        <w:t xml:space="preserve"> emphasize that everyone is entitled to the right to safe and healthy working conditions.</w:t>
      </w:r>
    </w:p>
    <w:p w14:paraId="4643C99A" w14:textId="77777777" w:rsidR="0056619A" w:rsidRPr="00A133D9" w:rsidRDefault="0056619A" w:rsidP="0056619A">
      <w:pPr>
        <w:rPr>
          <w:rFonts w:ascii="Palatino Linotype" w:eastAsia="Palatino Linotype" w:hAnsi="Palatino Linotype" w:cs="Palatino Linotype"/>
          <w:sz w:val="24"/>
          <w:szCs w:val="24"/>
        </w:rPr>
      </w:pPr>
    </w:p>
    <w:p w14:paraId="3199F316" w14:textId="77777777" w:rsidR="0056619A" w:rsidRPr="00A133D9" w:rsidRDefault="0056619A" w:rsidP="0056619A">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Other Acts of note include:</w:t>
      </w:r>
    </w:p>
    <w:p w14:paraId="7A0F5A2C" w14:textId="77777777" w:rsidR="0056619A" w:rsidRPr="00A133D9" w:rsidRDefault="0056619A" w:rsidP="0056619A">
      <w:pPr>
        <w:numPr>
          <w:ilvl w:val="0"/>
          <w:numId w:val="1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The Water Act </w:t>
      </w:r>
    </w:p>
    <w:p w14:paraId="3A033941" w14:textId="77777777" w:rsidR="0056619A" w:rsidRPr="00A133D9" w:rsidRDefault="0056619A" w:rsidP="0056619A">
      <w:pPr>
        <w:numPr>
          <w:ilvl w:val="0"/>
          <w:numId w:val="1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The </w:t>
      </w:r>
      <w:r w:rsidRPr="00A133D9">
        <w:rPr>
          <w:rFonts w:ascii="Palatino Linotype" w:eastAsia="Palatino Linotype" w:hAnsi="Palatino Linotype" w:cs="Palatino Linotype"/>
          <w:sz w:val="24"/>
          <w:szCs w:val="24"/>
        </w:rPr>
        <w:t>Energy</w:t>
      </w:r>
      <w:r w:rsidRPr="00A133D9">
        <w:rPr>
          <w:rFonts w:ascii="Palatino Linotype" w:eastAsia="Palatino Linotype" w:hAnsi="Palatino Linotype" w:cs="Palatino Linotype"/>
          <w:color w:val="000000"/>
          <w:sz w:val="24"/>
          <w:szCs w:val="24"/>
        </w:rPr>
        <w:t xml:space="preserve"> Act </w:t>
      </w:r>
    </w:p>
    <w:p w14:paraId="28B8426A" w14:textId="77777777" w:rsidR="0056619A" w:rsidRPr="00A133D9" w:rsidRDefault="0056619A" w:rsidP="0056619A">
      <w:pPr>
        <w:numPr>
          <w:ilvl w:val="0"/>
          <w:numId w:val="1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The Explosives Act </w:t>
      </w:r>
    </w:p>
    <w:p w14:paraId="3FD8A124" w14:textId="77777777" w:rsidR="0056619A" w:rsidRPr="00A133D9" w:rsidRDefault="0056619A" w:rsidP="0056619A">
      <w:pPr>
        <w:numPr>
          <w:ilvl w:val="0"/>
          <w:numId w:val="14"/>
        </w:numPr>
        <w:pBdr>
          <w:top w:val="nil"/>
          <w:left w:val="nil"/>
          <w:bottom w:val="nil"/>
          <w:right w:val="nil"/>
          <w:between w:val="nil"/>
        </w:pBdr>
        <w:spacing w:after="160" w:line="259" w:lineRule="auto"/>
        <w:jc w:val="left"/>
        <w:rPr>
          <w:color w:val="000000"/>
          <w:sz w:val="24"/>
          <w:szCs w:val="24"/>
        </w:rPr>
      </w:pPr>
      <w:r w:rsidRPr="00A133D9">
        <w:rPr>
          <w:rFonts w:ascii="Palatino Linotype" w:eastAsia="Palatino Linotype" w:hAnsi="Palatino Linotype" w:cs="Palatino Linotype"/>
          <w:color w:val="000000"/>
          <w:sz w:val="24"/>
          <w:szCs w:val="24"/>
        </w:rPr>
        <w:t>The Basic Education Act</w:t>
      </w:r>
    </w:p>
    <w:p w14:paraId="74AACA9A" w14:textId="77777777" w:rsidR="0056619A" w:rsidRPr="00A133D9" w:rsidRDefault="0056619A">
      <w:pPr>
        <w:rPr>
          <w:rFonts w:ascii="Palatino Linotype" w:eastAsia="Palatino Linotype" w:hAnsi="Palatino Linotype" w:cs="Palatino Linotype"/>
          <w:sz w:val="24"/>
          <w:szCs w:val="24"/>
        </w:rPr>
      </w:pPr>
    </w:p>
    <w:p w14:paraId="572B5EB2" w14:textId="77777777" w:rsidR="00491055" w:rsidRPr="00A133D9" w:rsidRDefault="00491055">
      <w:pPr>
        <w:rPr>
          <w:rFonts w:ascii="Palatino Linotype" w:eastAsia="Palatino Linotype" w:hAnsi="Palatino Linotype" w:cs="Palatino Linotype"/>
          <w:sz w:val="24"/>
          <w:szCs w:val="24"/>
        </w:rPr>
      </w:pPr>
    </w:p>
    <w:p w14:paraId="35DCAA1B"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International legal framework</w:t>
      </w:r>
    </w:p>
    <w:p w14:paraId="6D76A6AC"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At international level, </w:t>
      </w:r>
      <w:r w:rsidRPr="00A133D9">
        <w:rPr>
          <w:rFonts w:ascii="Palatino Linotype" w:eastAsia="Palatino Linotype" w:hAnsi="Palatino Linotype" w:cs="Palatino Linotype"/>
          <w:i/>
          <w:sz w:val="24"/>
          <w:szCs w:val="24"/>
        </w:rPr>
        <w:t>International Disaster Response Law (IDRL)</w:t>
      </w:r>
      <w:r w:rsidRPr="00A133D9">
        <w:rPr>
          <w:rFonts w:ascii="Palatino Linotype" w:eastAsia="Palatino Linotype" w:hAnsi="Palatino Linotype" w:cs="Palatino Linotype"/>
          <w:sz w:val="24"/>
          <w:szCs w:val="24"/>
        </w:rPr>
        <w:t xml:space="preserve"> is the area of disaster law which deals with the facilitation of international disaster assistance. IFRC Disaster Law is globally recognized as a leader in IDRL, having developed the Guidelines for the Domestic Facilitation and Regulation of International Disaster Relief and Initial </w:t>
      </w:r>
      <w:r w:rsidRPr="00A133D9">
        <w:rPr>
          <w:rFonts w:ascii="Palatino Linotype" w:eastAsia="Palatino Linotype" w:hAnsi="Palatino Linotype" w:cs="Palatino Linotype"/>
          <w:sz w:val="24"/>
          <w:szCs w:val="24"/>
        </w:rPr>
        <w:lastRenderedPageBreak/>
        <w:t>Recovery Assistance (the IDRL Guidelines), which have been successfully used around the world. The IDRL Guidelines are a set of recommendations to governments about how to prepare their disaster laws and plans to mitigate the common regulatory problems that arise in international disaster response operations.</w:t>
      </w:r>
      <w:r w:rsidRPr="00A133D9">
        <w:rPr>
          <w:rFonts w:ascii="Palatino Linotype" w:eastAsia="Palatino Linotype" w:hAnsi="Palatino Linotype" w:cs="Palatino Linotype"/>
          <w:sz w:val="24"/>
          <w:szCs w:val="24"/>
          <w:vertAlign w:val="superscript"/>
        </w:rPr>
        <w:footnoteReference w:id="36"/>
      </w:r>
    </w:p>
    <w:p w14:paraId="7BE4FEA8" w14:textId="77777777" w:rsidR="00491055" w:rsidRPr="00A133D9" w:rsidRDefault="00491055">
      <w:pPr>
        <w:rPr>
          <w:rFonts w:ascii="Palatino Linotype" w:eastAsia="Palatino Linotype" w:hAnsi="Palatino Linotype" w:cs="Palatino Linotype"/>
          <w:sz w:val="24"/>
          <w:szCs w:val="24"/>
        </w:rPr>
      </w:pPr>
    </w:p>
    <w:p w14:paraId="1B0A5BB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Also, </w:t>
      </w:r>
      <w:r w:rsidRPr="00A133D9">
        <w:rPr>
          <w:rFonts w:ascii="Palatino Linotype" w:eastAsia="Palatino Linotype" w:hAnsi="Palatino Linotype" w:cs="Palatino Linotype"/>
          <w:i/>
          <w:sz w:val="24"/>
          <w:szCs w:val="24"/>
        </w:rPr>
        <w:t>Sendai Framework for Disaster Risk Reduction, March, 2015</w:t>
      </w:r>
      <w:r w:rsidRPr="00A133D9">
        <w:rPr>
          <w:rFonts w:ascii="Palatino Linotype" w:eastAsia="Palatino Linotype" w:hAnsi="Palatino Linotype" w:cs="Palatino Linotype"/>
          <w:sz w:val="24"/>
          <w:szCs w:val="24"/>
        </w:rPr>
        <w:t>; outlines four  priority areas:  understanding disaster risk;  strengthening disaster risk governance to manage disaster risk; investing in disaster risk reduction for resilience; and enhancing disaster preparedness for eﬀective response and to ‘Build Back’  in recovery, rehabilitation and reconstruction.</w:t>
      </w:r>
    </w:p>
    <w:p w14:paraId="776CFF26" w14:textId="77777777" w:rsidR="00491055" w:rsidRPr="00A133D9" w:rsidRDefault="00491055">
      <w:pPr>
        <w:rPr>
          <w:rFonts w:ascii="Palatino Linotype" w:eastAsia="Palatino Linotype" w:hAnsi="Palatino Linotype" w:cs="Palatino Linotype"/>
          <w:sz w:val="24"/>
          <w:szCs w:val="24"/>
        </w:rPr>
      </w:pPr>
    </w:p>
    <w:p w14:paraId="2B855130"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In summary, disasters may happen and consequently disaster management is critical, therefore there’s need to integrate it in the policy and guidelines of the modern day workplace. This would ensure safety, health and security of employees which would inevitably translate into a productive and thriving workforce.</w:t>
      </w:r>
      <w:r w:rsidRPr="00A133D9">
        <w:rPr>
          <w:rFonts w:ascii="Palatino Linotype" w:eastAsia="Palatino Linotype" w:hAnsi="Palatino Linotype" w:cs="Palatino Linotype"/>
          <w:sz w:val="24"/>
          <w:szCs w:val="24"/>
          <w:vertAlign w:val="superscript"/>
        </w:rPr>
        <w:footnoteReference w:id="37"/>
      </w:r>
      <w:r w:rsidRPr="00A133D9">
        <w:rPr>
          <w:rFonts w:ascii="Palatino Linotype" w:eastAsia="Palatino Linotype" w:hAnsi="Palatino Linotype" w:cs="Palatino Linotype"/>
          <w:sz w:val="24"/>
          <w:szCs w:val="24"/>
        </w:rPr>
        <w:t xml:space="preserve"> </w:t>
      </w:r>
    </w:p>
    <w:p w14:paraId="348865FF" w14:textId="77777777" w:rsidR="00491055" w:rsidRPr="00A133D9" w:rsidRDefault="00491055">
      <w:pPr>
        <w:rPr>
          <w:rFonts w:ascii="Palatino Linotype" w:eastAsia="Palatino Linotype" w:hAnsi="Palatino Linotype" w:cs="Palatino Linotype"/>
          <w:sz w:val="24"/>
          <w:szCs w:val="24"/>
        </w:rPr>
      </w:pPr>
    </w:p>
    <w:p w14:paraId="6FBDAD05"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Institutional Framework</w:t>
      </w:r>
    </w:p>
    <w:p w14:paraId="5AA37A4C"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National Disaster Executive Committees </w:t>
      </w:r>
    </w:p>
    <w:p w14:paraId="4C979B96"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District Disaster Management Committee </w:t>
      </w:r>
    </w:p>
    <w:p w14:paraId="6F38AB7F" w14:textId="79EC0D55"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National Disaster Operations </w:t>
      </w:r>
      <w:r w:rsidR="00F131A0" w:rsidRPr="00A133D9">
        <w:rPr>
          <w:rFonts w:ascii="Palatino Linotype" w:eastAsia="Palatino Linotype" w:hAnsi="Palatino Linotype" w:cs="Palatino Linotype"/>
          <w:color w:val="000000"/>
          <w:sz w:val="24"/>
          <w:szCs w:val="24"/>
        </w:rPr>
        <w:t>Centre</w:t>
      </w:r>
      <w:r w:rsidRPr="00A133D9">
        <w:rPr>
          <w:rFonts w:ascii="Palatino Linotype" w:eastAsia="Palatino Linotype" w:hAnsi="Palatino Linotype" w:cs="Palatino Linotype"/>
          <w:color w:val="000000"/>
          <w:sz w:val="24"/>
          <w:szCs w:val="24"/>
        </w:rPr>
        <w:t xml:space="preserve"> </w:t>
      </w:r>
    </w:p>
    <w:p w14:paraId="6C181774"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Kenya Food Security Meeting </w:t>
      </w:r>
    </w:p>
    <w:p w14:paraId="7348A1C4"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National Drought Management Authority </w:t>
      </w:r>
    </w:p>
    <w:p w14:paraId="4472DA4F"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The National Platform for Disaster Risk Reduction </w:t>
      </w:r>
    </w:p>
    <w:p w14:paraId="052DD727" w14:textId="77777777" w:rsidR="00491055" w:rsidRPr="00A133D9" w:rsidRDefault="00000000">
      <w:pPr>
        <w:numPr>
          <w:ilvl w:val="0"/>
          <w:numId w:val="3"/>
        </w:numPr>
        <w:pBdr>
          <w:top w:val="nil"/>
          <w:left w:val="nil"/>
          <w:bottom w:val="nil"/>
          <w:right w:val="nil"/>
          <w:between w:val="nil"/>
        </w:pBdr>
        <w:spacing w:after="160" w:line="259" w:lineRule="auto"/>
        <w:jc w:val="left"/>
        <w:rPr>
          <w:color w:val="000000"/>
          <w:sz w:val="24"/>
          <w:szCs w:val="24"/>
        </w:rPr>
      </w:pPr>
      <w:r w:rsidRPr="00A133D9">
        <w:rPr>
          <w:rFonts w:ascii="Palatino Linotype" w:eastAsia="Palatino Linotype" w:hAnsi="Palatino Linotype" w:cs="Palatino Linotype"/>
          <w:color w:val="000000"/>
          <w:sz w:val="24"/>
          <w:szCs w:val="24"/>
        </w:rPr>
        <w:t>National Climate Change Activities Coordinating Committee</w:t>
      </w:r>
    </w:p>
    <w:p w14:paraId="4AA3AD76" w14:textId="77777777" w:rsidR="00491055" w:rsidRPr="00A133D9" w:rsidRDefault="00491055">
      <w:pPr>
        <w:spacing w:after="160" w:line="259" w:lineRule="auto"/>
        <w:rPr>
          <w:rFonts w:ascii="Palatino Linotype" w:eastAsia="Palatino Linotype" w:hAnsi="Palatino Linotype" w:cs="Palatino Linotype"/>
          <w:sz w:val="24"/>
          <w:szCs w:val="24"/>
        </w:rPr>
      </w:pPr>
    </w:p>
    <w:p w14:paraId="04426DD9"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Government Plans, Policies and Organizations</w:t>
      </w:r>
    </w:p>
    <w:p w14:paraId="037CD97B"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Sessional Paper No. 10 of 1965 on African Socialism and its Application to Planning in Kenya </w:t>
      </w:r>
    </w:p>
    <w:p w14:paraId="67AFE746"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National Food Policies of 1981 and 1994 </w:t>
      </w:r>
    </w:p>
    <w:p w14:paraId="62484CFB"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Kenya Health Policy, 2012 – 2030 </w:t>
      </w:r>
    </w:p>
    <w:p w14:paraId="0ABE3040"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Poverty Reduction Strategy Paper of 2001 – 2004 </w:t>
      </w:r>
    </w:p>
    <w:p w14:paraId="3D4DAC6A"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Economic Recovery Strategy for Wealth and Employment Creation of 2003 – 2007 </w:t>
      </w:r>
    </w:p>
    <w:p w14:paraId="67DC3BF1" w14:textId="77777777" w:rsidR="00491055" w:rsidRPr="00A133D9" w:rsidRDefault="00000000">
      <w:pPr>
        <w:numPr>
          <w:ilvl w:val="0"/>
          <w:numId w:val="4"/>
        </w:numPr>
        <w:pBdr>
          <w:top w:val="nil"/>
          <w:left w:val="nil"/>
          <w:bottom w:val="nil"/>
          <w:right w:val="nil"/>
          <w:between w:val="nil"/>
        </w:pBdr>
        <w:spacing w:after="160" w:line="259" w:lineRule="auto"/>
        <w:jc w:val="left"/>
        <w:rPr>
          <w:color w:val="000000"/>
          <w:sz w:val="24"/>
          <w:szCs w:val="24"/>
        </w:rPr>
      </w:pPr>
      <w:r w:rsidRPr="00A133D9">
        <w:rPr>
          <w:rFonts w:ascii="Palatino Linotype" w:eastAsia="Palatino Linotype" w:hAnsi="Palatino Linotype" w:cs="Palatino Linotype"/>
          <w:color w:val="000000"/>
          <w:sz w:val="24"/>
          <w:szCs w:val="24"/>
        </w:rPr>
        <w:t>The National Vision 2030 The Strategy for the Revitalization of Agriculture 2004 – 2014 The National Food and Nutrition Security Policy, 2007</w:t>
      </w:r>
    </w:p>
    <w:p w14:paraId="06F479CD" w14:textId="77777777" w:rsidR="00491055" w:rsidRPr="00A133D9" w:rsidRDefault="00491055">
      <w:pPr>
        <w:spacing w:after="160" w:line="259" w:lineRule="auto"/>
        <w:rPr>
          <w:rFonts w:ascii="Palatino Linotype" w:eastAsia="Palatino Linotype" w:hAnsi="Palatino Linotype" w:cs="Palatino Linotype"/>
          <w:sz w:val="24"/>
          <w:szCs w:val="24"/>
        </w:rPr>
      </w:pPr>
    </w:p>
    <w:p w14:paraId="6BF15A81"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 xml:space="preserve">Organizations that make regulations, agreements and guidelines that impact disaster management on risk reduction: </w:t>
      </w:r>
    </w:p>
    <w:p w14:paraId="2529E713"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Hyogo Framework for Action </w:t>
      </w:r>
    </w:p>
    <w:p w14:paraId="53928012"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Pan-African IDRL Forum </w:t>
      </w:r>
    </w:p>
    <w:p w14:paraId="364806E9"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Working Group on Disaster Risk Reduction </w:t>
      </w:r>
    </w:p>
    <w:p w14:paraId="043DE05B"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Ministerial Conference on Disaster Risk Reduction </w:t>
      </w:r>
    </w:p>
    <w:p w14:paraId="54D4B004"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Union </w:t>
      </w:r>
    </w:p>
    <w:p w14:paraId="7E7162B0"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Risk Capacity </w:t>
      </w:r>
    </w:p>
    <w:p w14:paraId="5EE406F3"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Union Commission </w:t>
      </w:r>
    </w:p>
    <w:p w14:paraId="6CEB92C8"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New Partnership for Africa’s Development </w:t>
      </w:r>
    </w:p>
    <w:p w14:paraId="246B0230"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Kyoto Protocol</w:t>
      </w:r>
    </w:p>
    <w:p w14:paraId="383FA4E9" w14:textId="77777777" w:rsidR="00491055" w:rsidRPr="00A133D9" w:rsidRDefault="00000000">
      <w:pPr>
        <w:numPr>
          <w:ilvl w:val="0"/>
          <w:numId w:val="5"/>
        </w:numPr>
        <w:pBdr>
          <w:top w:val="nil"/>
          <w:left w:val="nil"/>
          <w:bottom w:val="nil"/>
          <w:right w:val="nil"/>
          <w:between w:val="nil"/>
        </w:pBdr>
        <w:spacing w:after="160" w:line="259" w:lineRule="auto"/>
        <w:jc w:val="left"/>
        <w:rPr>
          <w:color w:val="000000"/>
          <w:sz w:val="24"/>
          <w:szCs w:val="24"/>
        </w:rPr>
      </w:pPr>
      <w:r w:rsidRPr="00A133D9">
        <w:rPr>
          <w:rFonts w:ascii="Palatino Linotype" w:eastAsia="Palatino Linotype" w:hAnsi="Palatino Linotype" w:cs="Palatino Linotype"/>
          <w:color w:val="000000"/>
          <w:sz w:val="24"/>
          <w:szCs w:val="24"/>
        </w:rPr>
        <w:t>United Nations Convention to Combat Desertification</w:t>
      </w:r>
    </w:p>
    <w:p w14:paraId="7CA63E55" w14:textId="77777777" w:rsidR="00491055" w:rsidRPr="00A133D9" w:rsidRDefault="00491055">
      <w:pPr>
        <w:spacing w:after="160" w:line="259" w:lineRule="auto"/>
        <w:rPr>
          <w:rFonts w:ascii="Palatino Linotype" w:eastAsia="Palatino Linotype" w:hAnsi="Palatino Linotype" w:cs="Palatino Linotype"/>
          <w:sz w:val="24"/>
          <w:szCs w:val="24"/>
        </w:rPr>
      </w:pPr>
    </w:p>
    <w:p w14:paraId="10B22BDB"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Recommendations</w:t>
      </w:r>
    </w:p>
    <w:p w14:paraId="1E493678" w14:textId="77777777" w:rsidR="00491055" w:rsidRPr="00A133D9" w:rsidRDefault="00000000">
      <w:pPr>
        <w:numPr>
          <w:ilvl w:val="0"/>
          <w:numId w:val="11"/>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Enacting The Disaster Risk Management Bill, 2021, to effectively manage disaster risk and preparedness.</w:t>
      </w:r>
    </w:p>
    <w:p w14:paraId="79BB5F20" w14:textId="77777777" w:rsidR="00491055" w:rsidRPr="00A133D9" w:rsidRDefault="00000000">
      <w:pPr>
        <w:numPr>
          <w:ilvl w:val="0"/>
          <w:numId w:val="11"/>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Promote disaster awareness culture and capacity building for disaster preparedness at all levels.</w:t>
      </w:r>
    </w:p>
    <w:p w14:paraId="243D3E0C" w14:textId="77777777" w:rsidR="00491055" w:rsidRPr="00A133D9" w:rsidRDefault="00000000">
      <w:pPr>
        <w:numPr>
          <w:ilvl w:val="0"/>
          <w:numId w:val="11"/>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Awareness on the legal, policy and institutional framework on DRR management should be increased.</w:t>
      </w:r>
    </w:p>
    <w:p w14:paraId="5C8209BB" w14:textId="77777777" w:rsidR="00491055" w:rsidRPr="00A133D9" w:rsidRDefault="00000000">
      <w:pPr>
        <w:numPr>
          <w:ilvl w:val="0"/>
          <w:numId w:val="11"/>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Strengthen Institutional and legal framework for effective and efficient disaster management in the country.</w:t>
      </w:r>
    </w:p>
    <w:p w14:paraId="03BC2DB1" w14:textId="77777777" w:rsidR="00491055" w:rsidRPr="00A133D9" w:rsidRDefault="00491055">
      <w:pPr>
        <w:rPr>
          <w:rFonts w:ascii="Palatino Linotype" w:eastAsia="Palatino Linotype" w:hAnsi="Palatino Linotype" w:cs="Palatino Linotype"/>
          <w:sz w:val="24"/>
          <w:szCs w:val="24"/>
        </w:rPr>
      </w:pPr>
    </w:p>
    <w:p w14:paraId="6531A236" w14:textId="77777777" w:rsidR="00491055" w:rsidRPr="00A133D9" w:rsidRDefault="00000000">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Recommendations to law firms</w:t>
      </w:r>
    </w:p>
    <w:p w14:paraId="3C28D353"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As law firms play a critical role in society, ensuring their safety, security, and disaster management is essential. Here are some recommendations tailored specifically for law firms:</w:t>
      </w:r>
    </w:p>
    <w:p w14:paraId="053FEB9A" w14:textId="77777777" w:rsidR="00491055" w:rsidRPr="00A133D9" w:rsidRDefault="00000000">
      <w:pPr>
        <w:numPr>
          <w:ilvl w:val="0"/>
          <w:numId w:val="7"/>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Safety and Security Measures</w:t>
      </w:r>
      <w:r w:rsidRPr="00A133D9">
        <w:rPr>
          <w:rFonts w:ascii="Palatino Linotype" w:eastAsia="Palatino Linotype" w:hAnsi="Palatino Linotype" w:cs="Palatino Linotype"/>
          <w:sz w:val="24"/>
          <w:szCs w:val="24"/>
        </w:rPr>
        <w:t>:</w:t>
      </w:r>
    </w:p>
    <w:p w14:paraId="003E1B43"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Physical Security</w:t>
      </w:r>
      <w:r w:rsidRPr="00A133D9">
        <w:rPr>
          <w:rFonts w:ascii="Palatino Linotype" w:eastAsia="Palatino Linotype" w:hAnsi="Palatino Linotype" w:cs="Palatino Linotype"/>
          <w:sz w:val="24"/>
          <w:szCs w:val="24"/>
        </w:rPr>
        <w:t xml:space="preserve">: </w:t>
      </w:r>
    </w:p>
    <w:p w14:paraId="69A8822C"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Access Control</w:t>
      </w:r>
      <w:r w:rsidRPr="00A133D9">
        <w:rPr>
          <w:rFonts w:ascii="Palatino Linotype" w:eastAsia="Palatino Linotype" w:hAnsi="Palatino Linotype" w:cs="Palatino Linotype"/>
          <w:sz w:val="24"/>
          <w:szCs w:val="24"/>
        </w:rPr>
        <w:t>: Implement secure access controls to restrict entry to authorized personnel only. Use key cards, biometrics, or security personnel.</w:t>
      </w:r>
    </w:p>
    <w:p w14:paraId="0096D1F8"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Surveillance</w:t>
      </w:r>
      <w:r w:rsidRPr="00A133D9">
        <w:rPr>
          <w:rFonts w:ascii="Palatino Linotype" w:eastAsia="Palatino Linotype" w:hAnsi="Palatino Linotype" w:cs="Palatino Linotype"/>
          <w:sz w:val="24"/>
          <w:szCs w:val="24"/>
        </w:rPr>
        <w:t>: Install surveillance cameras in common areas, entrances, and parking lots to deter criminal activities and monitor premises.</w:t>
      </w:r>
    </w:p>
    <w:p w14:paraId="3501BBE2"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lastRenderedPageBreak/>
        <w:t>Emergency Exits</w:t>
      </w:r>
      <w:r w:rsidRPr="00A133D9">
        <w:rPr>
          <w:rFonts w:ascii="Palatino Linotype" w:eastAsia="Palatino Linotype" w:hAnsi="Palatino Linotype" w:cs="Palatino Linotype"/>
          <w:sz w:val="24"/>
          <w:szCs w:val="24"/>
        </w:rPr>
        <w:t>: Clearly mark emergency exits and conduct regular fire drills. Ensure exits are unobstructed and well-lit.</w:t>
      </w:r>
    </w:p>
    <w:p w14:paraId="1E91AE10"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Visitor Management</w:t>
      </w:r>
      <w:r w:rsidRPr="00A133D9">
        <w:rPr>
          <w:rFonts w:ascii="Palatino Linotype" w:eastAsia="Palatino Linotype" w:hAnsi="Palatino Linotype" w:cs="Palatino Linotype"/>
          <w:sz w:val="24"/>
          <w:szCs w:val="24"/>
        </w:rPr>
        <w:t>: Develop protocols for handling visitors, including sign-in procedures and visitor badges.</w:t>
      </w:r>
    </w:p>
    <w:p w14:paraId="55CF5C70"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Cybersecurity</w:t>
      </w:r>
      <w:r w:rsidRPr="00A133D9">
        <w:rPr>
          <w:rFonts w:ascii="Palatino Linotype" w:eastAsia="Palatino Linotype" w:hAnsi="Palatino Linotype" w:cs="Palatino Linotype"/>
          <w:sz w:val="24"/>
          <w:szCs w:val="24"/>
        </w:rPr>
        <w:t xml:space="preserve">: </w:t>
      </w:r>
    </w:p>
    <w:p w14:paraId="0F1A14DC"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Data Protection</w:t>
      </w:r>
      <w:r w:rsidRPr="00A133D9">
        <w:rPr>
          <w:rFonts w:ascii="Palatino Linotype" w:eastAsia="Palatino Linotype" w:hAnsi="Palatino Linotype" w:cs="Palatino Linotype"/>
          <w:sz w:val="24"/>
          <w:szCs w:val="24"/>
        </w:rPr>
        <w:t>: Safeguard client data by using encryption, secure servers, and regular backups.</w:t>
      </w:r>
    </w:p>
    <w:p w14:paraId="769F07BF"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Regular Updates</w:t>
      </w:r>
      <w:r w:rsidRPr="00A133D9">
        <w:rPr>
          <w:rFonts w:ascii="Palatino Linotype" w:eastAsia="Palatino Linotype" w:hAnsi="Palatino Linotype" w:cs="Palatino Linotype"/>
          <w:sz w:val="24"/>
          <w:szCs w:val="24"/>
        </w:rPr>
        <w:t>: Keep software, operating systems, and antivirus programs up to date to prevent vulnerabilities.</w:t>
      </w:r>
    </w:p>
    <w:p w14:paraId="4DF923B2"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Employee Training</w:t>
      </w:r>
      <w:r w:rsidRPr="00A133D9">
        <w:rPr>
          <w:rFonts w:ascii="Palatino Linotype" w:eastAsia="Palatino Linotype" w:hAnsi="Palatino Linotype" w:cs="Palatino Linotype"/>
          <w:sz w:val="24"/>
          <w:szCs w:val="24"/>
        </w:rPr>
        <w:t>: Educate staff about phishing, password security, and safe online practices.</w:t>
      </w:r>
    </w:p>
    <w:p w14:paraId="69DB407F"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Secure Wi-Fi</w:t>
      </w:r>
      <w:r w:rsidRPr="00A133D9">
        <w:rPr>
          <w:rFonts w:ascii="Palatino Linotype" w:eastAsia="Palatino Linotype" w:hAnsi="Palatino Linotype" w:cs="Palatino Linotype"/>
          <w:sz w:val="24"/>
          <w:szCs w:val="24"/>
        </w:rPr>
        <w:t>: Use strong passwords for Wi-Fi networks and limit access to authorized devices.</w:t>
      </w:r>
    </w:p>
    <w:p w14:paraId="1B464A5D"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Personnel Safety</w:t>
      </w:r>
      <w:r w:rsidRPr="00A133D9">
        <w:rPr>
          <w:rFonts w:ascii="Palatino Linotype" w:eastAsia="Palatino Linotype" w:hAnsi="Palatino Linotype" w:cs="Palatino Linotype"/>
          <w:sz w:val="24"/>
          <w:szCs w:val="24"/>
        </w:rPr>
        <w:t xml:space="preserve">: </w:t>
      </w:r>
    </w:p>
    <w:p w14:paraId="729F9FC8"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Workplace Violence Prevention</w:t>
      </w:r>
      <w:r w:rsidRPr="00A133D9">
        <w:rPr>
          <w:rFonts w:ascii="Palatino Linotype" w:eastAsia="Palatino Linotype" w:hAnsi="Palatino Linotype" w:cs="Palatino Linotype"/>
          <w:sz w:val="24"/>
          <w:szCs w:val="24"/>
        </w:rPr>
        <w:t>: Train employees on recognizing and reporting signs of workplace violence.</w:t>
      </w:r>
    </w:p>
    <w:p w14:paraId="70C1BF3A"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Panic Buttons</w:t>
      </w:r>
      <w:r w:rsidRPr="00A133D9">
        <w:rPr>
          <w:rFonts w:ascii="Palatino Linotype" w:eastAsia="Palatino Linotype" w:hAnsi="Palatino Linotype" w:cs="Palatino Linotype"/>
          <w:sz w:val="24"/>
          <w:szCs w:val="24"/>
        </w:rPr>
        <w:t>: Install panic buttons or alarms in discreet locations for immediate assistance.</w:t>
      </w:r>
    </w:p>
    <w:p w14:paraId="53D212C6"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Emergency Contacts</w:t>
      </w:r>
      <w:r w:rsidRPr="00A133D9">
        <w:rPr>
          <w:rFonts w:ascii="Palatino Linotype" w:eastAsia="Palatino Linotype" w:hAnsi="Palatino Linotype" w:cs="Palatino Linotype"/>
          <w:sz w:val="24"/>
          <w:szCs w:val="24"/>
        </w:rPr>
        <w:t>: Maintain an updated list of emergency contacts for employees.</w:t>
      </w:r>
    </w:p>
    <w:p w14:paraId="3D2715C3"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Disaster Preparedness</w:t>
      </w:r>
      <w:r w:rsidRPr="00A133D9">
        <w:rPr>
          <w:rFonts w:ascii="Palatino Linotype" w:eastAsia="Palatino Linotype" w:hAnsi="Palatino Linotype" w:cs="Palatino Linotype"/>
          <w:sz w:val="24"/>
          <w:szCs w:val="24"/>
        </w:rPr>
        <w:t xml:space="preserve">: </w:t>
      </w:r>
    </w:p>
    <w:p w14:paraId="1F7ABFE5"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Business Continuity Plan</w:t>
      </w:r>
      <w:r w:rsidRPr="00A133D9">
        <w:rPr>
          <w:rFonts w:ascii="Palatino Linotype" w:eastAsia="Palatino Linotype" w:hAnsi="Palatino Linotype" w:cs="Palatino Linotype"/>
          <w:sz w:val="24"/>
          <w:szCs w:val="24"/>
        </w:rPr>
        <w:t>: Develop a comprehensive plan to ensure business operations continue during disasters.</w:t>
      </w:r>
    </w:p>
    <w:p w14:paraId="432076CE"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Evacuation Routes</w:t>
      </w:r>
      <w:r w:rsidRPr="00A133D9">
        <w:rPr>
          <w:rFonts w:ascii="Palatino Linotype" w:eastAsia="Palatino Linotype" w:hAnsi="Palatino Linotype" w:cs="Palatino Linotype"/>
          <w:sz w:val="24"/>
          <w:szCs w:val="24"/>
        </w:rPr>
        <w:t>: Map out evacuation routes and assembly points in case of emergencies.</w:t>
      </w:r>
    </w:p>
    <w:p w14:paraId="4F7A82AB"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Emergency Supplies</w:t>
      </w:r>
      <w:r w:rsidRPr="00A133D9">
        <w:rPr>
          <w:rFonts w:ascii="Palatino Linotype" w:eastAsia="Palatino Linotype" w:hAnsi="Palatino Linotype" w:cs="Palatino Linotype"/>
          <w:sz w:val="24"/>
          <w:szCs w:val="24"/>
        </w:rPr>
        <w:t>: Stock emergency supplies like first aid kits, flashlights, and non-perishable food.</w:t>
      </w:r>
    </w:p>
    <w:p w14:paraId="29F3BF0D"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Collaborate with Local Authorities</w:t>
      </w:r>
      <w:r w:rsidRPr="00A133D9">
        <w:rPr>
          <w:rFonts w:ascii="Palatino Linotype" w:eastAsia="Palatino Linotype" w:hAnsi="Palatino Linotype" w:cs="Palatino Linotype"/>
          <w:sz w:val="24"/>
          <w:szCs w:val="24"/>
        </w:rPr>
        <w:t>: Establish communication channels with local emergency services and authorities.</w:t>
      </w:r>
    </w:p>
    <w:p w14:paraId="06F522E7" w14:textId="77777777" w:rsidR="00491055" w:rsidRPr="00A133D9" w:rsidRDefault="00000000">
      <w:pPr>
        <w:numPr>
          <w:ilvl w:val="0"/>
          <w:numId w:val="7"/>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Legal Considerations</w:t>
      </w:r>
      <w:r w:rsidRPr="00A133D9">
        <w:rPr>
          <w:rFonts w:ascii="Palatino Linotype" w:eastAsia="Palatino Linotype" w:hAnsi="Palatino Linotype" w:cs="Palatino Linotype"/>
          <w:sz w:val="24"/>
          <w:szCs w:val="24"/>
        </w:rPr>
        <w:t>:</w:t>
      </w:r>
    </w:p>
    <w:p w14:paraId="0548AED8"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Disaster Management Policies</w:t>
      </w:r>
      <w:r w:rsidRPr="00A133D9">
        <w:rPr>
          <w:rFonts w:ascii="Palatino Linotype" w:eastAsia="Palatino Linotype" w:hAnsi="Palatino Linotype" w:cs="Palatino Linotype"/>
          <w:sz w:val="24"/>
          <w:szCs w:val="24"/>
        </w:rPr>
        <w:t xml:space="preserve">: </w:t>
      </w:r>
    </w:p>
    <w:p w14:paraId="50684D6A"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Legal Framework</w:t>
      </w:r>
      <w:r w:rsidRPr="00A133D9">
        <w:rPr>
          <w:rFonts w:ascii="Palatino Linotype" w:eastAsia="Palatino Linotype" w:hAnsi="Palatino Linotype" w:cs="Palatino Linotype"/>
          <w:sz w:val="24"/>
          <w:szCs w:val="24"/>
        </w:rPr>
        <w:t>: Create policies and procedures aligned with disaster management laws and regulations.</w:t>
      </w:r>
    </w:p>
    <w:p w14:paraId="4C6EB725"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Risk Assessment</w:t>
      </w:r>
      <w:r w:rsidRPr="00A133D9">
        <w:rPr>
          <w:rFonts w:ascii="Palatino Linotype" w:eastAsia="Palatino Linotype" w:hAnsi="Palatino Linotype" w:cs="Palatino Linotype"/>
          <w:sz w:val="24"/>
          <w:szCs w:val="24"/>
        </w:rPr>
        <w:t>: Regularly assess risks specific to your firm’s location and operations.</w:t>
      </w:r>
    </w:p>
    <w:p w14:paraId="4E74E5E6"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Insurance Coverage</w:t>
      </w:r>
      <w:r w:rsidRPr="00A133D9">
        <w:rPr>
          <w:rFonts w:ascii="Palatino Linotype" w:eastAsia="Palatino Linotype" w:hAnsi="Palatino Linotype" w:cs="Palatino Linotype"/>
          <w:sz w:val="24"/>
          <w:szCs w:val="24"/>
        </w:rPr>
        <w:t>: Review insurance policies to ensure coverage for disasters and business interruptions.</w:t>
      </w:r>
    </w:p>
    <w:p w14:paraId="75A49220"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Contracts and Agreements</w:t>
      </w:r>
      <w:r w:rsidRPr="00A133D9">
        <w:rPr>
          <w:rFonts w:ascii="Palatino Linotype" w:eastAsia="Palatino Linotype" w:hAnsi="Palatino Linotype" w:cs="Palatino Linotype"/>
          <w:sz w:val="24"/>
          <w:szCs w:val="24"/>
        </w:rPr>
        <w:t xml:space="preserve">: </w:t>
      </w:r>
    </w:p>
    <w:p w14:paraId="4586D334"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Force Majeure Clauses</w:t>
      </w:r>
      <w:r w:rsidRPr="00A133D9">
        <w:rPr>
          <w:rFonts w:ascii="Palatino Linotype" w:eastAsia="Palatino Linotype" w:hAnsi="Palatino Linotype" w:cs="Palatino Linotype"/>
          <w:sz w:val="24"/>
          <w:szCs w:val="24"/>
        </w:rPr>
        <w:t>: Include force majeure clauses in contracts to address unforeseen events.</w:t>
      </w:r>
    </w:p>
    <w:p w14:paraId="60615C36"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Vendor Agreements</w:t>
      </w:r>
      <w:r w:rsidRPr="00A133D9">
        <w:rPr>
          <w:rFonts w:ascii="Palatino Linotype" w:eastAsia="Palatino Linotype" w:hAnsi="Palatino Linotype" w:cs="Palatino Linotype"/>
          <w:sz w:val="24"/>
          <w:szCs w:val="24"/>
        </w:rPr>
        <w:t>: Evaluate agreements with vendors and service providers to ensure they have disaster plans.</w:t>
      </w:r>
    </w:p>
    <w:p w14:paraId="121B7A28"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lastRenderedPageBreak/>
        <w:t>Client Communication</w:t>
      </w:r>
      <w:r w:rsidRPr="00A133D9">
        <w:rPr>
          <w:rFonts w:ascii="Palatino Linotype" w:eastAsia="Palatino Linotype" w:hAnsi="Palatino Linotype" w:cs="Palatino Linotype"/>
          <w:sz w:val="24"/>
          <w:szCs w:val="24"/>
        </w:rPr>
        <w:t>: Inform clients about your disaster preparedness measures and how it may impact legal services.</w:t>
      </w:r>
    </w:p>
    <w:p w14:paraId="432A11A5" w14:textId="77777777" w:rsidR="00491055" w:rsidRPr="00A133D9" w:rsidRDefault="00000000">
      <w:pPr>
        <w:numPr>
          <w:ilvl w:val="0"/>
          <w:numId w:val="7"/>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Human Resources and Training</w:t>
      </w:r>
      <w:r w:rsidRPr="00A133D9">
        <w:rPr>
          <w:rFonts w:ascii="Palatino Linotype" w:eastAsia="Palatino Linotype" w:hAnsi="Palatino Linotype" w:cs="Palatino Linotype"/>
          <w:sz w:val="24"/>
          <w:szCs w:val="24"/>
        </w:rPr>
        <w:t>:</w:t>
      </w:r>
    </w:p>
    <w:p w14:paraId="3FF3BADD"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Employee Training</w:t>
      </w:r>
      <w:r w:rsidRPr="00A133D9">
        <w:rPr>
          <w:rFonts w:ascii="Palatino Linotype" w:eastAsia="Palatino Linotype" w:hAnsi="Palatino Linotype" w:cs="Palatino Linotype"/>
          <w:sz w:val="24"/>
          <w:szCs w:val="24"/>
        </w:rPr>
        <w:t xml:space="preserve">: </w:t>
      </w:r>
    </w:p>
    <w:p w14:paraId="0454748C"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Safety Protocols</w:t>
      </w:r>
      <w:r w:rsidRPr="00A133D9">
        <w:rPr>
          <w:rFonts w:ascii="Palatino Linotype" w:eastAsia="Palatino Linotype" w:hAnsi="Palatino Linotype" w:cs="Palatino Linotype"/>
          <w:sz w:val="24"/>
          <w:szCs w:val="24"/>
        </w:rPr>
        <w:t>: Train staff on safety procedures, evacuation routes, and emergency response.</w:t>
      </w:r>
    </w:p>
    <w:p w14:paraId="3707E48B"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Security Awareness</w:t>
      </w:r>
      <w:r w:rsidRPr="00A133D9">
        <w:rPr>
          <w:rFonts w:ascii="Palatino Linotype" w:eastAsia="Palatino Linotype" w:hAnsi="Palatino Linotype" w:cs="Palatino Linotype"/>
          <w:sz w:val="24"/>
          <w:szCs w:val="24"/>
        </w:rPr>
        <w:t>: Educate employees about cybersecurity threats and best practices.</w:t>
      </w:r>
    </w:p>
    <w:p w14:paraId="44D77F7D"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Crisis Communication</w:t>
      </w:r>
      <w:r w:rsidRPr="00A133D9">
        <w:rPr>
          <w:rFonts w:ascii="Palatino Linotype" w:eastAsia="Palatino Linotype" w:hAnsi="Palatino Linotype" w:cs="Palatino Linotype"/>
          <w:sz w:val="24"/>
          <w:szCs w:val="24"/>
        </w:rPr>
        <w:t xml:space="preserve">: </w:t>
      </w:r>
    </w:p>
    <w:p w14:paraId="1A42B3D5"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Internal Communication</w:t>
      </w:r>
      <w:r w:rsidRPr="00A133D9">
        <w:rPr>
          <w:rFonts w:ascii="Palatino Linotype" w:eastAsia="Palatino Linotype" w:hAnsi="Palatino Linotype" w:cs="Palatino Linotype"/>
          <w:sz w:val="24"/>
          <w:szCs w:val="24"/>
        </w:rPr>
        <w:t>: Establish communication channels for crisis situations (e.g., intranet, group messaging).</w:t>
      </w:r>
    </w:p>
    <w:p w14:paraId="0BF9A88E"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External Communication</w:t>
      </w:r>
      <w:r w:rsidRPr="00A133D9">
        <w:rPr>
          <w:rFonts w:ascii="Palatino Linotype" w:eastAsia="Palatino Linotype" w:hAnsi="Palatino Linotype" w:cs="Palatino Linotype"/>
          <w:sz w:val="24"/>
          <w:szCs w:val="24"/>
        </w:rPr>
        <w:t>: Designate spokespersons for media inquiries during emergencies.</w:t>
      </w:r>
    </w:p>
    <w:p w14:paraId="03C40F94"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Client Communication</w:t>
      </w:r>
      <w:r w:rsidRPr="00A133D9">
        <w:rPr>
          <w:rFonts w:ascii="Palatino Linotype" w:eastAsia="Palatino Linotype" w:hAnsi="Palatino Linotype" w:cs="Palatino Linotype"/>
          <w:sz w:val="24"/>
          <w:szCs w:val="24"/>
        </w:rPr>
        <w:t>: Develop a plan for notifying clients about disruptions and alternative arrangements.</w:t>
      </w:r>
    </w:p>
    <w:p w14:paraId="139658E4" w14:textId="77777777" w:rsidR="00491055" w:rsidRPr="00A133D9" w:rsidRDefault="00000000">
      <w:pPr>
        <w:numPr>
          <w:ilvl w:val="0"/>
          <w:numId w:val="7"/>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Collaboration and Partnerships</w:t>
      </w:r>
      <w:r w:rsidRPr="00A133D9">
        <w:rPr>
          <w:rFonts w:ascii="Palatino Linotype" w:eastAsia="Palatino Linotype" w:hAnsi="Palatino Linotype" w:cs="Palatino Linotype"/>
          <w:sz w:val="24"/>
          <w:szCs w:val="24"/>
        </w:rPr>
        <w:t>:</w:t>
      </w:r>
    </w:p>
    <w:p w14:paraId="09DCD82E"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Community Engagement</w:t>
      </w:r>
      <w:r w:rsidRPr="00A133D9">
        <w:rPr>
          <w:rFonts w:ascii="Palatino Linotype" w:eastAsia="Palatino Linotype" w:hAnsi="Palatino Linotype" w:cs="Palatino Linotype"/>
          <w:sz w:val="24"/>
          <w:szCs w:val="24"/>
        </w:rPr>
        <w:t xml:space="preserve">: </w:t>
      </w:r>
    </w:p>
    <w:p w14:paraId="785E1CC6"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Local Authorities</w:t>
      </w:r>
      <w:r w:rsidRPr="00A133D9">
        <w:rPr>
          <w:rFonts w:ascii="Palatino Linotype" w:eastAsia="Palatino Linotype" w:hAnsi="Palatino Linotype" w:cs="Palatino Linotype"/>
          <w:sz w:val="24"/>
          <w:szCs w:val="24"/>
        </w:rPr>
        <w:t>: Collaborate with local emergency management agencies and participate in community drills.</w:t>
      </w:r>
    </w:p>
    <w:p w14:paraId="4D82BD62"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Other Law Firms</w:t>
      </w:r>
      <w:r w:rsidRPr="00A133D9">
        <w:rPr>
          <w:rFonts w:ascii="Palatino Linotype" w:eastAsia="Palatino Linotype" w:hAnsi="Palatino Linotype" w:cs="Palatino Linotype"/>
          <w:sz w:val="24"/>
          <w:szCs w:val="24"/>
        </w:rPr>
        <w:t>: Share best practices and learn from each other’s experiences.</w:t>
      </w:r>
    </w:p>
    <w:p w14:paraId="2BA83058"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Legal Aid in Disasters</w:t>
      </w:r>
      <w:r w:rsidRPr="00A133D9">
        <w:rPr>
          <w:rFonts w:ascii="Palatino Linotype" w:eastAsia="Palatino Linotype" w:hAnsi="Palatino Linotype" w:cs="Palatino Linotype"/>
          <w:sz w:val="24"/>
          <w:szCs w:val="24"/>
        </w:rPr>
        <w:t xml:space="preserve">: </w:t>
      </w:r>
    </w:p>
    <w:p w14:paraId="6E536E57"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Pro Bono Services</w:t>
      </w:r>
      <w:r w:rsidRPr="00A133D9">
        <w:rPr>
          <w:rFonts w:ascii="Palatino Linotype" w:eastAsia="Palatino Linotype" w:hAnsi="Palatino Linotype" w:cs="Palatino Linotype"/>
          <w:sz w:val="24"/>
          <w:szCs w:val="24"/>
        </w:rPr>
        <w:t>: Offer legal assistance to disaster-affected individuals and communities.</w:t>
      </w:r>
    </w:p>
    <w:p w14:paraId="11BCFFA9" w14:textId="77777777" w:rsidR="00491055" w:rsidRDefault="00000000">
      <w:pPr>
        <w:numPr>
          <w:ilvl w:val="2"/>
          <w:numId w:val="7"/>
        </w:numPr>
      </w:pPr>
      <w:r w:rsidRPr="00A133D9">
        <w:rPr>
          <w:rFonts w:ascii="Palatino Linotype" w:eastAsia="Palatino Linotype" w:hAnsi="Palatino Linotype" w:cs="Palatino Linotype"/>
          <w:b/>
          <w:sz w:val="24"/>
          <w:szCs w:val="24"/>
        </w:rPr>
        <w:t>Legal Clinics</w:t>
      </w:r>
      <w:r w:rsidRPr="00A133D9">
        <w:rPr>
          <w:rFonts w:ascii="Palatino Linotype" w:eastAsia="Palatino Linotype" w:hAnsi="Palatino Linotype" w:cs="Palatino Linotype"/>
          <w:sz w:val="24"/>
          <w:szCs w:val="24"/>
        </w:rPr>
        <w:t>: Set up legal clinics during emergencies to address urgent legal needs.</w:t>
      </w:r>
    </w:p>
    <w:sectPr w:rsidR="00491055">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850329" w14:textId="77777777" w:rsidR="003857B0" w:rsidRPr="00A133D9" w:rsidRDefault="003857B0">
      <w:r w:rsidRPr="00A133D9">
        <w:separator/>
      </w:r>
    </w:p>
  </w:endnote>
  <w:endnote w:type="continuationSeparator" w:id="0">
    <w:p w14:paraId="4792E238" w14:textId="77777777" w:rsidR="003857B0" w:rsidRPr="00A133D9" w:rsidRDefault="003857B0">
      <w:r w:rsidRPr="00A133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lay">
    <w:altName w:val="Calibri"/>
    <w:charset w:val="00"/>
    <w:family w:val="auto"/>
    <w:pitch w:val="default"/>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40A780" w14:textId="77777777" w:rsidR="003857B0" w:rsidRPr="00A133D9" w:rsidRDefault="003857B0">
      <w:r w:rsidRPr="00A133D9">
        <w:separator/>
      </w:r>
    </w:p>
  </w:footnote>
  <w:footnote w:type="continuationSeparator" w:id="0">
    <w:p w14:paraId="68EC82EC" w14:textId="77777777" w:rsidR="003857B0" w:rsidRPr="00A133D9" w:rsidRDefault="003857B0">
      <w:r w:rsidRPr="00A133D9">
        <w:continuationSeparator/>
      </w:r>
    </w:p>
  </w:footnote>
  <w:footnote w:id="1">
    <w:p w14:paraId="64FE3BC1" w14:textId="77777777" w:rsidR="00491055" w:rsidRPr="00A133D9" w:rsidRDefault="00000000">
      <w:pPr>
        <w:rPr>
          <w:sz w:val="20"/>
          <w:szCs w:val="20"/>
        </w:rPr>
      </w:pPr>
      <w:r w:rsidRPr="00A133D9">
        <w:rPr>
          <w:vertAlign w:val="superscript"/>
        </w:rPr>
        <w:footnoteRef/>
      </w:r>
      <w:r w:rsidRPr="00A133D9">
        <w:rPr>
          <w:sz w:val="20"/>
          <w:szCs w:val="20"/>
        </w:rPr>
        <w:t xml:space="preserve"> Chapter 4 Bill of Rights Article 41 (1) and (2) </w:t>
      </w:r>
    </w:p>
  </w:footnote>
  <w:footnote w:id="2">
    <w:p w14:paraId="084739FA"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Kimari M.; (2019); Legal Practice Management; Nairobi, Kenya; </w:t>
      </w:r>
      <w:proofErr w:type="spellStart"/>
      <w:r w:rsidRPr="00A133D9">
        <w:rPr>
          <w:color w:val="000000"/>
          <w:sz w:val="20"/>
          <w:szCs w:val="20"/>
        </w:rPr>
        <w:t>LawAfrica</w:t>
      </w:r>
      <w:proofErr w:type="spellEnd"/>
      <w:r w:rsidRPr="00A133D9">
        <w:rPr>
          <w:color w:val="000000"/>
          <w:sz w:val="20"/>
          <w:szCs w:val="20"/>
        </w:rPr>
        <w:t xml:space="preserve"> Publishing (K) Ltd.</w:t>
      </w:r>
    </w:p>
  </w:footnote>
  <w:footnote w:id="3">
    <w:p w14:paraId="2F87DDA6" w14:textId="77777777" w:rsidR="00491055" w:rsidRPr="00A133D9" w:rsidRDefault="00000000">
      <w:pPr>
        <w:rPr>
          <w:sz w:val="20"/>
          <w:szCs w:val="20"/>
        </w:rPr>
      </w:pPr>
      <w:r w:rsidRPr="00A133D9">
        <w:rPr>
          <w:vertAlign w:val="superscript"/>
        </w:rPr>
        <w:footnoteRef/>
      </w:r>
      <w:r w:rsidRPr="00A133D9">
        <w:rPr>
          <w:sz w:val="20"/>
          <w:szCs w:val="20"/>
        </w:rPr>
        <w:t xml:space="preserve"> Kimari M.; (2019); Legal Practice Management; Nairobi, Kenya; </w:t>
      </w:r>
      <w:proofErr w:type="spellStart"/>
      <w:r w:rsidRPr="00A133D9">
        <w:rPr>
          <w:sz w:val="20"/>
          <w:szCs w:val="20"/>
        </w:rPr>
        <w:t>LawAfrica</w:t>
      </w:r>
      <w:proofErr w:type="spellEnd"/>
      <w:r w:rsidRPr="00A133D9">
        <w:rPr>
          <w:sz w:val="20"/>
          <w:szCs w:val="20"/>
        </w:rPr>
        <w:t xml:space="preserve"> Publishing (K) Ltd. </w:t>
      </w:r>
    </w:p>
  </w:footnote>
  <w:footnote w:id="4">
    <w:p w14:paraId="0A4EFB21"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Cambridge Dictionary</w:t>
      </w:r>
    </w:p>
  </w:footnote>
  <w:footnote w:id="5">
    <w:p w14:paraId="1304E1F4" w14:textId="77777777" w:rsidR="00491055" w:rsidRPr="00A133D9" w:rsidRDefault="00000000">
      <w:pPr>
        <w:rPr>
          <w:sz w:val="20"/>
          <w:szCs w:val="20"/>
        </w:rPr>
      </w:pPr>
      <w:r w:rsidRPr="00A133D9">
        <w:rPr>
          <w:vertAlign w:val="superscript"/>
        </w:rPr>
        <w:footnoteRef/>
      </w:r>
      <w:r w:rsidRPr="00A133D9">
        <w:rPr>
          <w:sz w:val="20"/>
          <w:szCs w:val="20"/>
        </w:rPr>
        <w:t xml:space="preserve"> Kimari M.; (2019); Legal Practice Management; Nairobi, Kenya; </w:t>
      </w:r>
      <w:proofErr w:type="spellStart"/>
      <w:r w:rsidRPr="00A133D9">
        <w:rPr>
          <w:sz w:val="20"/>
          <w:szCs w:val="20"/>
        </w:rPr>
        <w:t>LawAfrica</w:t>
      </w:r>
      <w:proofErr w:type="spellEnd"/>
      <w:r w:rsidRPr="00A133D9">
        <w:rPr>
          <w:sz w:val="20"/>
          <w:szCs w:val="20"/>
        </w:rPr>
        <w:t xml:space="preserve"> Publishing (K) Ltd. </w:t>
      </w:r>
    </w:p>
    <w:p w14:paraId="3D5D13A0" w14:textId="77777777" w:rsidR="00491055" w:rsidRPr="00A133D9" w:rsidRDefault="00491055">
      <w:pPr>
        <w:pBdr>
          <w:top w:val="nil"/>
          <w:left w:val="nil"/>
          <w:bottom w:val="nil"/>
          <w:right w:val="nil"/>
          <w:between w:val="nil"/>
        </w:pBdr>
        <w:rPr>
          <w:color w:val="000000"/>
          <w:sz w:val="20"/>
          <w:szCs w:val="20"/>
        </w:rPr>
      </w:pPr>
    </w:p>
  </w:footnote>
  <w:footnote w:id="6">
    <w:p w14:paraId="36C6ADA1"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Art 41, Constitution of Kenya 2010</w:t>
      </w:r>
    </w:p>
  </w:footnote>
  <w:footnote w:id="7">
    <w:p w14:paraId="7EFFBE6B" w14:textId="77777777" w:rsidR="009548EC" w:rsidRPr="009548EC" w:rsidRDefault="009548EC">
      <w:pPr>
        <w:pStyle w:val="FootnoteText"/>
        <w:rPr>
          <w:lang w:val="en-US"/>
        </w:rPr>
      </w:pPr>
      <w:r>
        <w:rPr>
          <w:rStyle w:val="FootnoteReference"/>
        </w:rPr>
        <w:footnoteRef/>
      </w:r>
      <w:r>
        <w:t xml:space="preserve"> </w:t>
      </w:r>
      <w:r w:rsidRPr="009548EC">
        <w:t>Cap. 226</w:t>
      </w:r>
    </w:p>
  </w:footnote>
  <w:footnote w:id="8">
    <w:p w14:paraId="34391345" w14:textId="77777777" w:rsidR="00D151AB" w:rsidRPr="00A133D9" w:rsidRDefault="00D151AB" w:rsidP="00D151AB">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Employment Act, Section 4</w:t>
      </w:r>
    </w:p>
  </w:footnote>
  <w:footnote w:id="9">
    <w:p w14:paraId="0CA51669" w14:textId="77777777" w:rsidR="00D151AB" w:rsidRPr="00A133D9" w:rsidRDefault="00D151AB" w:rsidP="00D151AB">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Ibid,  Section 5&amp;6</w:t>
      </w:r>
    </w:p>
  </w:footnote>
  <w:footnote w:id="10">
    <w:p w14:paraId="3459738A" w14:textId="77777777" w:rsidR="00D151AB" w:rsidRPr="00A133D9" w:rsidRDefault="00D151AB" w:rsidP="00D151AB">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Ibid, Section 27, 30, 31, 32</w:t>
      </w:r>
    </w:p>
  </w:footnote>
  <w:footnote w:id="11">
    <w:p w14:paraId="66B25437"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No 17 of 2007</w:t>
      </w:r>
    </w:p>
  </w:footnote>
  <w:footnote w:id="12">
    <w:p w14:paraId="6255AF13" w14:textId="77777777" w:rsidR="00491055" w:rsidRPr="00A133D9" w:rsidRDefault="00000000">
      <w:pPr>
        <w:rPr>
          <w:sz w:val="20"/>
          <w:szCs w:val="20"/>
        </w:rPr>
      </w:pPr>
      <w:r w:rsidRPr="00A133D9">
        <w:rPr>
          <w:vertAlign w:val="superscript"/>
        </w:rPr>
        <w:footnoteRef/>
      </w:r>
      <w:r w:rsidRPr="00A133D9">
        <w:rPr>
          <w:sz w:val="20"/>
          <w:szCs w:val="20"/>
        </w:rPr>
        <w:t xml:space="preserve"> </w:t>
      </w:r>
      <w:proofErr w:type="spellStart"/>
      <w:r w:rsidRPr="00A133D9">
        <w:rPr>
          <w:sz w:val="20"/>
          <w:szCs w:val="20"/>
        </w:rPr>
        <w:t>Mghosi</w:t>
      </w:r>
      <w:proofErr w:type="spellEnd"/>
      <w:r w:rsidRPr="00A133D9">
        <w:rPr>
          <w:sz w:val="20"/>
          <w:szCs w:val="20"/>
        </w:rPr>
        <w:t xml:space="preserve">  vs. Gayatri Engineering works (1981) KLR 163 </w:t>
      </w:r>
    </w:p>
  </w:footnote>
  <w:footnote w:id="13">
    <w:p w14:paraId="0C2A57BA"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Occupational Safety and Health Act 2007, Section 32</w:t>
      </w:r>
    </w:p>
  </w:footnote>
  <w:footnote w:id="14">
    <w:p w14:paraId="4F743CA8"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CAP 236</w:t>
      </w:r>
    </w:p>
  </w:footnote>
  <w:footnote w:id="15">
    <w:p w14:paraId="3947DAD0" w14:textId="77777777" w:rsidR="00491055" w:rsidRPr="00A133D9" w:rsidRDefault="00000000">
      <w:pPr>
        <w:pBdr>
          <w:top w:val="nil"/>
          <w:left w:val="nil"/>
          <w:bottom w:val="nil"/>
          <w:right w:val="nil"/>
          <w:between w:val="nil"/>
        </w:pBdr>
        <w:rPr>
          <w:b/>
          <w:color w:val="000000"/>
          <w:sz w:val="20"/>
          <w:szCs w:val="20"/>
        </w:rPr>
      </w:pPr>
      <w:r w:rsidRPr="00A133D9">
        <w:rPr>
          <w:vertAlign w:val="superscript"/>
        </w:rPr>
        <w:footnoteRef/>
      </w:r>
      <w:r w:rsidRPr="00A133D9">
        <w:rPr>
          <w:color w:val="000000"/>
          <w:sz w:val="20"/>
          <w:szCs w:val="20"/>
        </w:rPr>
        <w:t xml:space="preserve"> </w:t>
      </w:r>
      <w:proofErr w:type="spellStart"/>
      <w:r w:rsidRPr="00A133D9">
        <w:rPr>
          <w:color w:val="000000"/>
          <w:sz w:val="20"/>
          <w:szCs w:val="20"/>
        </w:rPr>
        <w:t>Crookal</w:t>
      </w:r>
      <w:proofErr w:type="spellEnd"/>
      <w:r w:rsidRPr="00A133D9">
        <w:rPr>
          <w:color w:val="000000"/>
          <w:sz w:val="20"/>
          <w:szCs w:val="20"/>
        </w:rPr>
        <w:t xml:space="preserve"> v Vickers (1955) 2 ALL ER  12 </w:t>
      </w:r>
    </w:p>
  </w:footnote>
  <w:footnote w:id="16">
    <w:p w14:paraId="14A238FA"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Work Injury Benefits Act, 2007</w:t>
      </w:r>
    </w:p>
  </w:footnote>
  <w:footnote w:id="17">
    <w:p w14:paraId="2E709960"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Art 41, Constitution of Kenya (2010)</w:t>
      </w:r>
    </w:p>
  </w:footnote>
  <w:footnote w:id="18">
    <w:p w14:paraId="30B8C773"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Article 2(6) </w:t>
      </w:r>
    </w:p>
  </w:footnote>
  <w:footnote w:id="19">
    <w:p w14:paraId="3BC85CDF"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Article 238(1)</w:t>
      </w:r>
    </w:p>
  </w:footnote>
  <w:footnote w:id="20">
    <w:p w14:paraId="109FA58A"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Ibid,  Schedule 4 of the Constitution, 2010.</w:t>
      </w:r>
    </w:p>
  </w:footnote>
  <w:footnote w:id="21">
    <w:p w14:paraId="579E6065"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Supra, note 4, Article 238(2)</w:t>
      </w:r>
    </w:p>
  </w:footnote>
  <w:footnote w:id="22">
    <w:p w14:paraId="71E4E48C"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Ibid, Article 241</w:t>
      </w:r>
    </w:p>
  </w:footnote>
  <w:footnote w:id="23">
    <w:p w14:paraId="7520B13D"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Ibid, Article 242</w:t>
      </w:r>
    </w:p>
  </w:footnote>
  <w:footnote w:id="24">
    <w:p w14:paraId="023C5E09" w14:textId="77777777" w:rsidR="00491055" w:rsidRPr="00A133D9" w:rsidRDefault="00000000">
      <w:pPr>
        <w:rPr>
          <w:b/>
          <w:sz w:val="20"/>
          <w:szCs w:val="20"/>
        </w:rPr>
      </w:pPr>
      <w:r w:rsidRPr="00A133D9">
        <w:rPr>
          <w:vertAlign w:val="superscript"/>
        </w:rPr>
        <w:footnoteRef/>
      </w:r>
      <w:r w:rsidRPr="00A133D9">
        <w:rPr>
          <w:sz w:val="20"/>
          <w:szCs w:val="20"/>
        </w:rPr>
        <w:t xml:space="preserve"> Bolin R. </w:t>
      </w:r>
      <w:r w:rsidRPr="00A133D9">
        <w:rPr>
          <w:i/>
          <w:sz w:val="20"/>
          <w:szCs w:val="20"/>
        </w:rPr>
        <w:t xml:space="preserve">Natural disasters. In: Gist R, </w:t>
      </w:r>
      <w:proofErr w:type="spellStart"/>
      <w:r w:rsidRPr="00A133D9">
        <w:rPr>
          <w:i/>
          <w:sz w:val="20"/>
          <w:szCs w:val="20"/>
        </w:rPr>
        <w:t>LubinB</w:t>
      </w:r>
      <w:proofErr w:type="spellEnd"/>
      <w:r w:rsidRPr="00A133D9">
        <w:rPr>
          <w:i/>
          <w:sz w:val="20"/>
          <w:szCs w:val="20"/>
        </w:rPr>
        <w:t>, eds. Psychosocial aspects of disaster. New York: John Wiley &amp; Sons, 1989:61–8.</w:t>
      </w:r>
    </w:p>
  </w:footnote>
  <w:footnote w:id="25">
    <w:p w14:paraId="60F02FE5" w14:textId="77777777" w:rsidR="00491055" w:rsidRPr="00A133D9" w:rsidRDefault="00000000">
      <w:pPr>
        <w:rPr>
          <w:b/>
          <w:sz w:val="16"/>
          <w:szCs w:val="16"/>
        </w:rPr>
      </w:pPr>
      <w:r w:rsidRPr="00A133D9">
        <w:rPr>
          <w:vertAlign w:val="superscript"/>
        </w:rPr>
        <w:footnoteRef/>
      </w:r>
      <w:r w:rsidRPr="00A133D9">
        <w:rPr>
          <w:sz w:val="20"/>
          <w:szCs w:val="20"/>
        </w:rPr>
        <w:t xml:space="preserve"> Mary Kimari and Carol Mureithi, </w:t>
      </w:r>
      <w:r w:rsidRPr="00A133D9">
        <w:rPr>
          <w:i/>
          <w:sz w:val="20"/>
          <w:szCs w:val="20"/>
        </w:rPr>
        <w:t xml:space="preserve">Office Practice and </w:t>
      </w:r>
      <w:proofErr w:type="spellStart"/>
      <w:r w:rsidRPr="00A133D9">
        <w:rPr>
          <w:i/>
          <w:sz w:val="20"/>
          <w:szCs w:val="20"/>
        </w:rPr>
        <w:t>Management;</w:t>
      </w:r>
      <w:r w:rsidRPr="00A133D9">
        <w:rPr>
          <w:sz w:val="20"/>
          <w:szCs w:val="20"/>
        </w:rPr>
        <w:t>Nairobi</w:t>
      </w:r>
      <w:proofErr w:type="spellEnd"/>
      <w:r w:rsidRPr="00A133D9">
        <w:rPr>
          <w:sz w:val="20"/>
          <w:szCs w:val="20"/>
        </w:rPr>
        <w:t>, Kenya; Law Africa Publishing (K) Ltd p.251.</w:t>
      </w:r>
    </w:p>
  </w:footnote>
  <w:footnote w:id="26">
    <w:p w14:paraId="796A5FF9"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Mary Kimari and Carol Mureithi, </w:t>
      </w:r>
      <w:r w:rsidRPr="00A133D9">
        <w:rPr>
          <w:i/>
          <w:color w:val="000000"/>
          <w:sz w:val="20"/>
          <w:szCs w:val="20"/>
        </w:rPr>
        <w:t xml:space="preserve">Office Practice and Management, </w:t>
      </w:r>
      <w:proofErr w:type="spellStart"/>
      <w:r w:rsidRPr="00A133D9">
        <w:rPr>
          <w:color w:val="000000"/>
          <w:sz w:val="20"/>
          <w:szCs w:val="20"/>
        </w:rPr>
        <w:t>Artpoint</w:t>
      </w:r>
      <w:proofErr w:type="spellEnd"/>
      <w:r w:rsidRPr="00A133D9">
        <w:rPr>
          <w:color w:val="000000"/>
          <w:sz w:val="20"/>
          <w:szCs w:val="20"/>
        </w:rPr>
        <w:t xml:space="preserve"> Printing Solutions(NAIROBI 2014) Pg 251</w:t>
      </w:r>
    </w:p>
  </w:footnote>
  <w:footnote w:id="27">
    <w:p w14:paraId="00F0C700" w14:textId="77777777" w:rsidR="00491055" w:rsidRPr="00A133D9" w:rsidRDefault="00000000">
      <w:pPr>
        <w:pBdr>
          <w:top w:val="nil"/>
          <w:left w:val="nil"/>
          <w:bottom w:val="nil"/>
          <w:right w:val="nil"/>
          <w:between w:val="nil"/>
        </w:pBdr>
        <w:jc w:val="left"/>
        <w:rPr>
          <w:color w:val="000000"/>
          <w:sz w:val="20"/>
          <w:szCs w:val="20"/>
        </w:rPr>
      </w:pPr>
      <w:r w:rsidRPr="00A133D9">
        <w:rPr>
          <w:vertAlign w:val="superscript"/>
        </w:rPr>
        <w:footnoteRef/>
      </w:r>
      <w:r w:rsidRPr="00A133D9">
        <w:rPr>
          <w:color w:val="000000"/>
          <w:sz w:val="20"/>
          <w:szCs w:val="20"/>
        </w:rPr>
        <w:t xml:space="preserve"> United Nations Office for Disaster Risk Reduction. Terminology. </w:t>
      </w:r>
      <w:hyperlink r:id="rId1" w:anchor="letter-p">
        <w:r w:rsidRPr="00A133D9">
          <w:rPr>
            <w:color w:val="467886"/>
            <w:sz w:val="20"/>
            <w:szCs w:val="20"/>
            <w:u w:val="single"/>
          </w:rPr>
          <w:t>http://www.unisdr.org/we/inform/terminology#letter-p</w:t>
        </w:r>
      </w:hyperlink>
      <w:r w:rsidRPr="00A133D9">
        <w:rPr>
          <w:color w:val="000000"/>
          <w:sz w:val="20"/>
          <w:szCs w:val="20"/>
        </w:rPr>
        <w:t>[Accessed 04 April 2024]</w:t>
      </w:r>
    </w:p>
  </w:footnote>
  <w:footnote w:id="28">
    <w:p w14:paraId="300F0213"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Ibid.</w:t>
      </w:r>
    </w:p>
  </w:footnote>
  <w:footnote w:id="29">
    <w:p w14:paraId="4ACF59C9" w14:textId="77777777" w:rsidR="00491055" w:rsidRPr="00A133D9" w:rsidRDefault="00000000">
      <w:pPr>
        <w:pBdr>
          <w:top w:val="nil"/>
          <w:left w:val="nil"/>
          <w:bottom w:val="nil"/>
          <w:right w:val="nil"/>
          <w:between w:val="nil"/>
        </w:pBdr>
        <w:jc w:val="left"/>
        <w:rPr>
          <w:color w:val="000000"/>
          <w:sz w:val="20"/>
          <w:szCs w:val="20"/>
        </w:rPr>
      </w:pPr>
      <w:r w:rsidRPr="00A133D9">
        <w:rPr>
          <w:vertAlign w:val="superscript"/>
        </w:rPr>
        <w:footnoteRef/>
      </w:r>
      <w:r w:rsidRPr="00A133D9">
        <w:rPr>
          <w:color w:val="000000"/>
          <w:sz w:val="20"/>
          <w:szCs w:val="20"/>
        </w:rPr>
        <w:t xml:space="preserve">  International Federation of Red Cross and Red Crescent Societies. What is a Disaster. </w:t>
      </w:r>
      <w:hyperlink r:id="rId2">
        <w:r w:rsidRPr="00A133D9">
          <w:rPr>
            <w:color w:val="467886"/>
            <w:sz w:val="20"/>
            <w:szCs w:val="20"/>
            <w:u w:val="single"/>
          </w:rPr>
          <w:t>http://www.ifrc.org/en/what-we-do/disaster-management/about-disasters/what-is-a-disaster/</w:t>
        </w:r>
      </w:hyperlink>
      <w:r w:rsidRPr="00A133D9">
        <w:rPr>
          <w:color w:val="000000"/>
          <w:sz w:val="20"/>
          <w:szCs w:val="20"/>
        </w:rPr>
        <w:t>. [Accessed: 4 April 2024]</w:t>
      </w:r>
    </w:p>
  </w:footnote>
  <w:footnote w:id="30">
    <w:p w14:paraId="0FB452EB" w14:textId="77777777" w:rsidR="00491055" w:rsidRPr="00A133D9" w:rsidRDefault="00000000">
      <w:pPr>
        <w:rPr>
          <w:b/>
          <w:sz w:val="20"/>
          <w:szCs w:val="20"/>
        </w:rPr>
      </w:pPr>
      <w:r w:rsidRPr="00A133D9">
        <w:rPr>
          <w:vertAlign w:val="superscript"/>
        </w:rPr>
        <w:footnoteRef/>
      </w:r>
      <w:r w:rsidRPr="00A133D9">
        <w:rPr>
          <w:sz w:val="20"/>
          <w:szCs w:val="20"/>
        </w:rPr>
        <w:t xml:space="preserve"> Kimari Mary; (2019);</w:t>
      </w:r>
      <w:r w:rsidRPr="00A133D9">
        <w:rPr>
          <w:i/>
          <w:sz w:val="20"/>
          <w:szCs w:val="20"/>
        </w:rPr>
        <w:t xml:space="preserve"> Legal Practice Management; </w:t>
      </w:r>
      <w:r w:rsidRPr="00A133D9">
        <w:rPr>
          <w:sz w:val="20"/>
          <w:szCs w:val="20"/>
        </w:rPr>
        <w:t xml:space="preserve">Nairobi, Kenya; </w:t>
      </w:r>
      <w:proofErr w:type="spellStart"/>
      <w:r w:rsidRPr="00A133D9">
        <w:rPr>
          <w:sz w:val="20"/>
          <w:szCs w:val="20"/>
        </w:rPr>
        <w:t>LawAfrica</w:t>
      </w:r>
      <w:proofErr w:type="spellEnd"/>
      <w:r w:rsidRPr="00A133D9">
        <w:rPr>
          <w:sz w:val="20"/>
          <w:szCs w:val="20"/>
        </w:rPr>
        <w:t xml:space="preserve"> Publishing (K) Ltd p 254-255.</w:t>
      </w:r>
    </w:p>
  </w:footnote>
  <w:footnote w:id="31">
    <w:p w14:paraId="13DDC9E8"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See the Fourth Schedule of the Constitution 2012, Part 2, section 12.</w:t>
      </w:r>
    </w:p>
  </w:footnote>
  <w:footnote w:id="32">
    <w:p w14:paraId="3E97762A"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Section 5(2)(c) of the County Governments Act, 2012.</w:t>
      </w:r>
    </w:p>
  </w:footnote>
  <w:footnote w:id="33">
    <w:p w14:paraId="539CFB87"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Cap 387</w:t>
      </w:r>
    </w:p>
  </w:footnote>
  <w:footnote w:id="34">
    <w:p w14:paraId="486A54D1"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Cap 256</w:t>
      </w:r>
    </w:p>
  </w:footnote>
  <w:footnote w:id="35">
    <w:p w14:paraId="3244A98C" w14:textId="77777777" w:rsidR="00491055" w:rsidRPr="00A133D9" w:rsidRDefault="00000000">
      <w:pPr>
        <w:rPr>
          <w:sz w:val="20"/>
          <w:szCs w:val="20"/>
        </w:rPr>
      </w:pPr>
      <w:r w:rsidRPr="00A133D9">
        <w:rPr>
          <w:vertAlign w:val="superscript"/>
        </w:rPr>
        <w:footnoteRef/>
      </w:r>
      <w:r w:rsidRPr="00A133D9">
        <w:rPr>
          <w:sz w:val="20"/>
          <w:szCs w:val="20"/>
        </w:rPr>
        <w:t xml:space="preserve">Section 30 of the </w:t>
      </w:r>
      <w:r w:rsidRPr="00A133D9">
        <w:rPr>
          <w:i/>
          <w:sz w:val="20"/>
          <w:szCs w:val="20"/>
        </w:rPr>
        <w:t>Act</w:t>
      </w:r>
      <w:r w:rsidRPr="00A133D9">
        <w:rPr>
          <w:sz w:val="20"/>
          <w:szCs w:val="20"/>
        </w:rPr>
        <w:t xml:space="preserve"> provides that compensation for permanent disablement shall be calculated on the basis of earnings for 96 months subject to the calculated minimum and maximum amounts determined by the Minister of Labour.</w:t>
      </w:r>
    </w:p>
  </w:footnote>
  <w:footnote w:id="36">
    <w:p w14:paraId="0F292E9D"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w:t>
      </w:r>
      <w:r w:rsidRPr="00A133D9">
        <w:rPr>
          <w:color w:val="011E41"/>
          <w:sz w:val="20"/>
          <w:szCs w:val="20"/>
          <w:highlight w:val="white"/>
        </w:rPr>
        <w:t xml:space="preserve"> International Disaster Response Law &lt; </w:t>
      </w:r>
      <w:hyperlink r:id="rId3">
        <w:r w:rsidRPr="00A133D9">
          <w:rPr>
            <w:color w:val="467886"/>
            <w:sz w:val="20"/>
            <w:szCs w:val="20"/>
            <w:u w:val="single"/>
          </w:rPr>
          <w:t>https://disasterlaw.ifrc.org/disaster-law-areas</w:t>
        </w:r>
      </w:hyperlink>
      <w:r w:rsidRPr="00A133D9">
        <w:rPr>
          <w:color w:val="011E41"/>
          <w:sz w:val="20"/>
          <w:szCs w:val="20"/>
          <w:highlight w:val="white"/>
        </w:rPr>
        <w:t>&gt; accessed on 04 April 2024.</w:t>
      </w:r>
    </w:p>
  </w:footnote>
  <w:footnote w:id="37">
    <w:p w14:paraId="39EDECD7" w14:textId="77777777" w:rsidR="00491055"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See LPM by Kimari, 2019.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80D23"/>
    <w:multiLevelType w:val="multilevel"/>
    <w:tmpl w:val="737CFF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2D65C2"/>
    <w:multiLevelType w:val="multilevel"/>
    <w:tmpl w:val="2C1802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7EF562E"/>
    <w:multiLevelType w:val="multilevel"/>
    <w:tmpl w:val="CBB20A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F0F28AF"/>
    <w:multiLevelType w:val="multilevel"/>
    <w:tmpl w:val="1898E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4A289C"/>
    <w:multiLevelType w:val="multilevel"/>
    <w:tmpl w:val="640A56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35F3F3D"/>
    <w:multiLevelType w:val="multilevel"/>
    <w:tmpl w:val="970C47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4D0EDF"/>
    <w:multiLevelType w:val="multilevel"/>
    <w:tmpl w:val="77DEF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208468C"/>
    <w:multiLevelType w:val="multilevel"/>
    <w:tmpl w:val="5D4A75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C06C6C"/>
    <w:multiLevelType w:val="multilevel"/>
    <w:tmpl w:val="8116C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8F1EFA"/>
    <w:multiLevelType w:val="multilevel"/>
    <w:tmpl w:val="3A4E1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46640DB"/>
    <w:multiLevelType w:val="multilevel"/>
    <w:tmpl w:val="A40283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4B644CC"/>
    <w:multiLevelType w:val="multilevel"/>
    <w:tmpl w:val="FE8E1B9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56037FA"/>
    <w:multiLevelType w:val="multilevel"/>
    <w:tmpl w:val="556A58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6515765"/>
    <w:multiLevelType w:val="multilevel"/>
    <w:tmpl w:val="F036DE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045249771">
    <w:abstractNumId w:val="11"/>
  </w:num>
  <w:num w:numId="2" w16cid:durableId="1031958156">
    <w:abstractNumId w:val="1"/>
  </w:num>
  <w:num w:numId="3" w16cid:durableId="1035697047">
    <w:abstractNumId w:val="9"/>
  </w:num>
  <w:num w:numId="4" w16cid:durableId="1495564125">
    <w:abstractNumId w:val="4"/>
  </w:num>
  <w:num w:numId="5" w16cid:durableId="360128711">
    <w:abstractNumId w:val="8"/>
  </w:num>
  <w:num w:numId="6" w16cid:durableId="765616054">
    <w:abstractNumId w:val="6"/>
  </w:num>
  <w:num w:numId="7" w16cid:durableId="607398562">
    <w:abstractNumId w:val="2"/>
  </w:num>
  <w:num w:numId="8" w16cid:durableId="809396510">
    <w:abstractNumId w:val="0"/>
  </w:num>
  <w:num w:numId="9" w16cid:durableId="760956265">
    <w:abstractNumId w:val="13"/>
  </w:num>
  <w:num w:numId="10" w16cid:durableId="943808904">
    <w:abstractNumId w:val="3"/>
  </w:num>
  <w:num w:numId="11" w16cid:durableId="883055089">
    <w:abstractNumId w:val="10"/>
  </w:num>
  <w:num w:numId="12" w16cid:durableId="1223367716">
    <w:abstractNumId w:val="5"/>
  </w:num>
  <w:num w:numId="13" w16cid:durableId="559484810">
    <w:abstractNumId w:val="7"/>
  </w:num>
  <w:num w:numId="14" w16cid:durableId="1911192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055"/>
    <w:rsid w:val="000E69F0"/>
    <w:rsid w:val="00121B40"/>
    <w:rsid w:val="00345CEB"/>
    <w:rsid w:val="003857B0"/>
    <w:rsid w:val="00432FF2"/>
    <w:rsid w:val="00470ADB"/>
    <w:rsid w:val="00491055"/>
    <w:rsid w:val="0056619A"/>
    <w:rsid w:val="00663CFB"/>
    <w:rsid w:val="008170C5"/>
    <w:rsid w:val="008659A8"/>
    <w:rsid w:val="009548EC"/>
    <w:rsid w:val="00A133D9"/>
    <w:rsid w:val="00BA288A"/>
    <w:rsid w:val="00CC4D2B"/>
    <w:rsid w:val="00D151AB"/>
    <w:rsid w:val="00F131A0"/>
    <w:rsid w:val="00F74B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74115"/>
  <w15:docId w15:val="{8A00DE82-69E0-4C39-A82B-CCCEDF582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line="259" w:lineRule="auto"/>
      <w:jc w:val="left"/>
      <w:outlineLvl w:val="3"/>
    </w:pPr>
    <w:rPr>
      <w:rFonts w:ascii="Aptos" w:eastAsia="Aptos" w:hAnsi="Aptos" w:cs="Aptos"/>
      <w:i/>
      <w:color w:val="0F4761"/>
    </w:rPr>
  </w:style>
  <w:style w:type="paragraph" w:styleId="Heading5">
    <w:name w:val="heading 5"/>
    <w:basedOn w:val="Normal"/>
    <w:next w:val="Normal"/>
    <w:uiPriority w:val="9"/>
    <w:semiHidden/>
    <w:unhideWhenUsed/>
    <w:qFormat/>
    <w:pPr>
      <w:keepNext/>
      <w:keepLines/>
      <w:spacing w:before="80" w:after="40" w:line="259" w:lineRule="auto"/>
      <w:jc w:val="left"/>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line="259" w:lineRule="auto"/>
      <w:jc w:val="left"/>
      <w:outlineLvl w:val="5"/>
    </w:pPr>
    <w:rPr>
      <w:rFonts w:ascii="Aptos" w:eastAsia="Aptos" w:hAnsi="Aptos" w:cs="Aptos"/>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jc w:val="left"/>
    </w:pPr>
    <w:rPr>
      <w:rFonts w:ascii="Play" w:eastAsia="Play" w:hAnsi="Play" w:cs="Play"/>
      <w:sz w:val="56"/>
      <w:szCs w:val="56"/>
    </w:rPr>
  </w:style>
  <w:style w:type="paragraph" w:styleId="Subtitle">
    <w:name w:val="Subtitle"/>
    <w:basedOn w:val="Normal"/>
    <w:next w:val="Normal"/>
    <w:uiPriority w:val="11"/>
    <w:qFormat/>
    <w:pPr>
      <w:spacing w:after="160" w:line="259" w:lineRule="auto"/>
      <w:jc w:val="left"/>
    </w:pPr>
    <w:rPr>
      <w:rFonts w:ascii="Aptos" w:eastAsia="Aptos" w:hAnsi="Aptos" w:cs="Aptos"/>
      <w:color w:val="595959"/>
      <w:sz w:val="28"/>
      <w:szCs w:val="28"/>
    </w:rPr>
  </w:style>
  <w:style w:type="table" w:customStyle="1" w:styleId="a">
    <w:basedOn w:val="TableNormal"/>
    <w:tblPr>
      <w:tblStyleRowBandSize w:val="1"/>
      <w:tblStyleColBandSize w:val="1"/>
    </w:tblPr>
  </w:style>
  <w:style w:type="paragraph" w:styleId="FootnoteText">
    <w:name w:val="footnote text"/>
    <w:basedOn w:val="Normal"/>
    <w:link w:val="FootnoteTextChar"/>
    <w:uiPriority w:val="99"/>
    <w:semiHidden/>
    <w:unhideWhenUsed/>
    <w:rsid w:val="009548EC"/>
    <w:rPr>
      <w:sz w:val="20"/>
      <w:szCs w:val="20"/>
    </w:rPr>
  </w:style>
  <w:style w:type="character" w:customStyle="1" w:styleId="FootnoteTextChar">
    <w:name w:val="Footnote Text Char"/>
    <w:basedOn w:val="DefaultParagraphFont"/>
    <w:link w:val="FootnoteText"/>
    <w:uiPriority w:val="99"/>
    <w:semiHidden/>
    <w:rsid w:val="009548EC"/>
    <w:rPr>
      <w:sz w:val="20"/>
      <w:szCs w:val="20"/>
      <w:lang w:val="en-GB"/>
    </w:rPr>
  </w:style>
  <w:style w:type="character" w:styleId="FootnoteReference">
    <w:name w:val="footnote reference"/>
    <w:basedOn w:val="DefaultParagraphFont"/>
    <w:uiPriority w:val="99"/>
    <w:semiHidden/>
    <w:unhideWhenUsed/>
    <w:rsid w:val="009548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wmf"/><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disasterlaw.ifrc.org/disaster-law-areas" TargetMode="External"/><Relationship Id="rId2" Type="http://schemas.openxmlformats.org/officeDocument/2006/relationships/hyperlink" Target="http://www.ifrc.org/en/what-we-do/disaster-management/about-disasters/what-is-a-disaster/" TargetMode="External"/><Relationship Id="rId1" Type="http://schemas.openxmlformats.org/officeDocument/2006/relationships/hyperlink" Target="http://www.unisdr.org/we/inform/termi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CLASS C FIRM 9 2024/25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A7E542-C564-4550-93BE-68E2C8251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13</Pages>
  <Words>3163</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MBURO KENNEDY OTIENO</cp:lastModifiedBy>
  <cp:revision>20</cp:revision>
  <dcterms:created xsi:type="dcterms:W3CDTF">2024-04-08T07:16:00Z</dcterms:created>
  <dcterms:modified xsi:type="dcterms:W3CDTF">2024-04-08T09:33:00Z</dcterms:modified>
</cp:coreProperties>
</file>