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F6E262" w14:textId="77777777" w:rsidR="009B6792" w:rsidRPr="00EE6CBB" w:rsidRDefault="009B6792" w:rsidP="00EE6CBB">
      <w:pPr>
        <w:jc w:val="both"/>
        <w:rPr>
          <w:rFonts w:ascii="Palatino Linotype" w:hAnsi="Palatino Linotype"/>
          <w:b/>
          <w:bCs/>
          <w:sz w:val="24"/>
          <w:szCs w:val="24"/>
          <w:lang w:val="en-US"/>
        </w:rPr>
      </w:pPr>
      <w:r w:rsidRPr="00EE6CBB">
        <w:rPr>
          <w:rFonts w:ascii="Palatino Linotype" w:hAnsi="Palatino Linotype"/>
          <w:b/>
          <w:bCs/>
          <w:sz w:val="24"/>
          <w:szCs w:val="24"/>
          <w:lang w:val="en-US"/>
        </w:rPr>
        <w:t>General Overview</w:t>
      </w:r>
    </w:p>
    <w:p w14:paraId="723427B9" w14:textId="77777777" w:rsidR="00EE6CBB" w:rsidRPr="00D76745" w:rsidRDefault="00EE6CBB" w:rsidP="00EE6CBB">
      <w:pPr>
        <w:spacing w:line="240" w:lineRule="auto"/>
        <w:jc w:val="both"/>
        <w:rPr>
          <w:rFonts w:ascii="Palatino Linotype" w:hAnsi="Palatino Linotype"/>
          <w:b/>
          <w:sz w:val="24"/>
          <w:szCs w:val="24"/>
          <w:u w:val="single"/>
        </w:rPr>
      </w:pPr>
      <w:r w:rsidRPr="00D76745">
        <w:rPr>
          <w:rFonts w:ascii="Palatino Linotype" w:hAnsi="Palatino Linotype"/>
          <w:b/>
          <w:sz w:val="24"/>
          <w:szCs w:val="24"/>
          <w:u w:val="single"/>
        </w:rPr>
        <w:t>LEGAL</w:t>
      </w:r>
      <w:r>
        <w:rPr>
          <w:rFonts w:ascii="Palatino Linotype" w:hAnsi="Palatino Linotype"/>
          <w:b/>
          <w:sz w:val="24"/>
          <w:szCs w:val="24"/>
          <w:u w:val="single"/>
        </w:rPr>
        <w:t xml:space="preserve"> </w:t>
      </w:r>
      <w:r w:rsidRPr="00D76745">
        <w:rPr>
          <w:rFonts w:ascii="Palatino Linotype" w:hAnsi="Palatino Linotype"/>
          <w:b/>
          <w:sz w:val="24"/>
          <w:szCs w:val="24"/>
          <w:u w:val="single"/>
        </w:rPr>
        <w:t>FRAMEWORK GOVERNING SECURITY AND DISASTER MANAGEMENT</w:t>
      </w:r>
    </w:p>
    <w:p w14:paraId="55E4CE01" w14:textId="77777777" w:rsidR="00EE6CBB" w:rsidRPr="00D76745" w:rsidRDefault="00EE6CBB" w:rsidP="00EE6CBB">
      <w:pPr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/>
          <w:sz w:val="24"/>
          <w:szCs w:val="24"/>
        </w:rPr>
      </w:pPr>
      <w:r w:rsidRPr="00D76745">
        <w:rPr>
          <w:rFonts w:ascii="Palatino Linotype" w:hAnsi="Palatino Linotype"/>
          <w:sz w:val="24"/>
          <w:szCs w:val="24"/>
        </w:rPr>
        <w:t xml:space="preserve">Constitution of Kenya 2010 </w:t>
      </w:r>
    </w:p>
    <w:p w14:paraId="45BFE87C" w14:textId="77777777" w:rsidR="00EE6CBB" w:rsidRPr="00D76745" w:rsidRDefault="00EE6CBB" w:rsidP="00EE6CBB">
      <w:pPr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/>
          <w:sz w:val="24"/>
          <w:szCs w:val="24"/>
        </w:rPr>
      </w:pPr>
      <w:r w:rsidRPr="00D76745">
        <w:rPr>
          <w:rFonts w:ascii="Palatino Linotype" w:hAnsi="Palatino Linotype"/>
          <w:sz w:val="24"/>
          <w:szCs w:val="24"/>
        </w:rPr>
        <w:t xml:space="preserve"> Biosafety Act, No. 2, 2009 </w:t>
      </w:r>
    </w:p>
    <w:p w14:paraId="6E46BB01" w14:textId="77777777" w:rsidR="00EE6CBB" w:rsidRPr="00D76745" w:rsidRDefault="00EE6CBB" w:rsidP="00EE6CBB">
      <w:pPr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/>
          <w:sz w:val="24"/>
          <w:szCs w:val="24"/>
        </w:rPr>
      </w:pPr>
      <w:r w:rsidRPr="00D76745">
        <w:rPr>
          <w:rFonts w:ascii="Palatino Linotype" w:hAnsi="Palatino Linotype"/>
          <w:sz w:val="24"/>
          <w:szCs w:val="24"/>
        </w:rPr>
        <w:t xml:space="preserve"> Employment Act, No. 11, 2007 </w:t>
      </w:r>
    </w:p>
    <w:p w14:paraId="2A810D07" w14:textId="77777777" w:rsidR="00EE6CBB" w:rsidRPr="00D76745" w:rsidRDefault="00EE6CBB" w:rsidP="00EE6CBB">
      <w:pPr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/>
          <w:sz w:val="24"/>
          <w:szCs w:val="24"/>
        </w:rPr>
      </w:pPr>
      <w:r w:rsidRPr="00D76745">
        <w:rPr>
          <w:rFonts w:ascii="Palatino Linotype" w:hAnsi="Palatino Linotype"/>
          <w:sz w:val="24"/>
          <w:szCs w:val="24"/>
        </w:rPr>
        <w:t xml:space="preserve"> Energy Act, No. 12, 2006 </w:t>
      </w:r>
    </w:p>
    <w:p w14:paraId="33DD7C2B" w14:textId="77777777" w:rsidR="00EE6CBB" w:rsidRPr="00D76745" w:rsidRDefault="00EE6CBB" w:rsidP="00EE6CBB">
      <w:pPr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/>
          <w:sz w:val="24"/>
          <w:szCs w:val="24"/>
        </w:rPr>
      </w:pPr>
      <w:r w:rsidRPr="00D76745">
        <w:rPr>
          <w:rFonts w:ascii="Palatino Linotype" w:hAnsi="Palatino Linotype"/>
          <w:sz w:val="24"/>
          <w:szCs w:val="24"/>
        </w:rPr>
        <w:t xml:space="preserve"> Environmental Management and Coordination Act, No. 8, 1999 </w:t>
      </w:r>
    </w:p>
    <w:p w14:paraId="52F1410E" w14:textId="77777777" w:rsidR="00EE6CBB" w:rsidRPr="00D76745" w:rsidRDefault="00EE6CBB" w:rsidP="00EE6CBB">
      <w:pPr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/>
          <w:sz w:val="24"/>
          <w:szCs w:val="24"/>
        </w:rPr>
      </w:pPr>
      <w:r w:rsidRPr="00D76745">
        <w:rPr>
          <w:rFonts w:ascii="Palatino Linotype" w:hAnsi="Palatino Linotype"/>
          <w:sz w:val="24"/>
          <w:szCs w:val="24"/>
        </w:rPr>
        <w:t xml:space="preserve"> Extradition (Contiguous and Foreign Countries) Act, Cap 76 </w:t>
      </w:r>
    </w:p>
    <w:p w14:paraId="0C59A236" w14:textId="77777777" w:rsidR="00EE6CBB" w:rsidRPr="00D76745" w:rsidRDefault="00EE6CBB" w:rsidP="00EE6CBB">
      <w:pPr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/>
          <w:sz w:val="24"/>
          <w:szCs w:val="24"/>
        </w:rPr>
      </w:pPr>
      <w:r w:rsidRPr="00D76745">
        <w:rPr>
          <w:rFonts w:ascii="Palatino Linotype" w:hAnsi="Palatino Linotype"/>
          <w:sz w:val="24"/>
          <w:szCs w:val="24"/>
        </w:rPr>
        <w:t xml:space="preserve"> Food, Drugs and Chemical Substances Act, Cap. 254 </w:t>
      </w:r>
    </w:p>
    <w:p w14:paraId="65B0A936" w14:textId="77777777" w:rsidR="00EE6CBB" w:rsidRPr="00D76745" w:rsidRDefault="00EE6CBB" w:rsidP="00EE6CBB">
      <w:pPr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/>
          <w:sz w:val="24"/>
          <w:szCs w:val="24"/>
        </w:rPr>
      </w:pPr>
      <w:r w:rsidRPr="00D76745">
        <w:rPr>
          <w:rFonts w:ascii="Palatino Linotype" w:hAnsi="Palatino Linotype"/>
          <w:sz w:val="24"/>
          <w:szCs w:val="24"/>
        </w:rPr>
        <w:t xml:space="preserve"> HIV/AIDS Prevention and Control Act, No.14 of 2006. </w:t>
      </w:r>
    </w:p>
    <w:p w14:paraId="45587447" w14:textId="77777777" w:rsidR="00EE6CBB" w:rsidRPr="00D76745" w:rsidRDefault="00EE6CBB" w:rsidP="00EE6CBB">
      <w:pPr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/>
          <w:sz w:val="24"/>
          <w:szCs w:val="24"/>
        </w:rPr>
      </w:pPr>
      <w:r w:rsidRPr="00D76745">
        <w:rPr>
          <w:rFonts w:ascii="Palatino Linotype" w:hAnsi="Palatino Linotype"/>
          <w:sz w:val="24"/>
          <w:szCs w:val="24"/>
        </w:rPr>
        <w:t xml:space="preserve"> National Hospital Insurance Fund Act, Cap. 255 </w:t>
      </w:r>
    </w:p>
    <w:p w14:paraId="6D71A4B4" w14:textId="77777777" w:rsidR="00EE6CBB" w:rsidRPr="00D76745" w:rsidRDefault="00EE6CBB" w:rsidP="00EE6CBB">
      <w:pPr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/>
          <w:sz w:val="24"/>
          <w:szCs w:val="24"/>
        </w:rPr>
      </w:pPr>
      <w:r w:rsidRPr="00D76745">
        <w:rPr>
          <w:rFonts w:ascii="Palatino Linotype" w:hAnsi="Palatino Linotype"/>
          <w:sz w:val="24"/>
          <w:szCs w:val="24"/>
        </w:rPr>
        <w:t xml:space="preserve"> National Social Security Fund Act, No. 45 of 2013 </w:t>
      </w:r>
    </w:p>
    <w:p w14:paraId="3BC87039" w14:textId="77777777" w:rsidR="00EE6CBB" w:rsidRPr="00D76745" w:rsidRDefault="00EE6CBB" w:rsidP="00EE6CBB">
      <w:pPr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/>
          <w:sz w:val="24"/>
          <w:szCs w:val="24"/>
        </w:rPr>
      </w:pPr>
      <w:r w:rsidRPr="00D76745">
        <w:rPr>
          <w:rFonts w:ascii="Palatino Linotype" w:hAnsi="Palatino Linotype"/>
          <w:sz w:val="24"/>
          <w:szCs w:val="24"/>
        </w:rPr>
        <w:t xml:space="preserve"> Occupational Safety and Health Act of 2007 Act No. 15 of 2007 </w:t>
      </w:r>
    </w:p>
    <w:p w14:paraId="138604AA" w14:textId="77777777" w:rsidR="00EE6CBB" w:rsidRPr="00D76745" w:rsidRDefault="00EE6CBB" w:rsidP="00EE6CBB">
      <w:pPr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/>
          <w:sz w:val="24"/>
          <w:szCs w:val="24"/>
        </w:rPr>
      </w:pPr>
      <w:r w:rsidRPr="00D76745">
        <w:rPr>
          <w:rFonts w:ascii="Palatino Linotype" w:hAnsi="Palatino Linotype"/>
          <w:sz w:val="24"/>
          <w:szCs w:val="24"/>
        </w:rPr>
        <w:t xml:space="preserve"> Public Health Act, Cap. 242 </w:t>
      </w:r>
    </w:p>
    <w:p w14:paraId="176DABF3" w14:textId="77777777" w:rsidR="00EE6CBB" w:rsidRPr="00D76745" w:rsidRDefault="00EE6CBB" w:rsidP="00EE6CBB">
      <w:pPr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/>
          <w:sz w:val="24"/>
          <w:szCs w:val="24"/>
        </w:rPr>
      </w:pPr>
      <w:r w:rsidRPr="00D76745">
        <w:rPr>
          <w:rFonts w:ascii="Palatino Linotype" w:hAnsi="Palatino Linotype"/>
          <w:sz w:val="24"/>
          <w:szCs w:val="24"/>
        </w:rPr>
        <w:t xml:space="preserve"> Radiation and Protection Act, Cap. 243 </w:t>
      </w:r>
    </w:p>
    <w:p w14:paraId="621FD79E" w14:textId="77777777" w:rsidR="00EE6CBB" w:rsidRDefault="00EE6CBB" w:rsidP="00EE6CBB">
      <w:pPr>
        <w:jc w:val="both"/>
        <w:rPr>
          <w:rFonts w:ascii="Palatino Linotype" w:hAnsi="Palatino Linotype"/>
          <w:b/>
          <w:bCs/>
          <w:sz w:val="24"/>
          <w:szCs w:val="24"/>
          <w:lang w:val="en-US"/>
        </w:rPr>
      </w:pPr>
    </w:p>
    <w:p w14:paraId="0D579210" w14:textId="5A9D5DAF" w:rsidR="009B6792" w:rsidRPr="00EE6CBB" w:rsidRDefault="009B6792" w:rsidP="00EE6CBB">
      <w:pPr>
        <w:jc w:val="both"/>
        <w:rPr>
          <w:rFonts w:ascii="Palatino Linotype" w:hAnsi="Palatino Linotype"/>
          <w:b/>
          <w:bCs/>
          <w:sz w:val="24"/>
          <w:szCs w:val="24"/>
          <w:lang w:val="en-US"/>
        </w:rPr>
      </w:pPr>
      <w:r w:rsidRPr="00EE6CBB">
        <w:rPr>
          <w:rFonts w:ascii="Palatino Linotype" w:hAnsi="Palatino Linotype"/>
          <w:b/>
          <w:bCs/>
          <w:sz w:val="24"/>
          <w:szCs w:val="24"/>
          <w:lang w:val="en-US"/>
        </w:rPr>
        <w:t xml:space="preserve">Laws Governing Occupational Safety and Security </w:t>
      </w:r>
    </w:p>
    <w:p w14:paraId="738B15B9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The Constitution of Kenya 2010: </w:t>
      </w:r>
    </w:p>
    <w:p w14:paraId="39CD56F7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The Constitution provides the platform for the framework for the Employment Act, Work Injuries Benefit Act, Occupational Safety and Health Act. </w:t>
      </w:r>
    </w:p>
    <w:p w14:paraId="158E05D8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</w:p>
    <w:p w14:paraId="0482E738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Employment Act, 2007 and Employment (Amendment) Act, 2021: </w:t>
      </w:r>
    </w:p>
    <w:p w14:paraId="2CED0837" w14:textId="77777777" w:rsidR="009B6792" w:rsidRPr="00EE6CBB" w:rsidRDefault="009B6792" w:rsidP="00EE6CBB">
      <w:pPr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EE6CBB">
        <w:rPr>
          <w:rFonts w:ascii="Palatino Linotype" w:hAnsi="Palatino Linotype"/>
          <w:sz w:val="24"/>
          <w:szCs w:val="24"/>
        </w:rPr>
        <w:t>S 4 - fundamental rights of employees o</w:t>
      </w:r>
    </w:p>
    <w:p w14:paraId="1C60FAA7" w14:textId="77777777" w:rsidR="009B6792" w:rsidRPr="00EE6CBB" w:rsidRDefault="009B6792" w:rsidP="00EE6CBB">
      <w:pPr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EE6CBB">
        <w:rPr>
          <w:rFonts w:ascii="Palatino Linotype" w:hAnsi="Palatino Linotype"/>
          <w:sz w:val="24"/>
          <w:szCs w:val="24"/>
        </w:rPr>
        <w:t xml:space="preserve">S5 &amp; S6 - sexual harassment and discrimination </w:t>
      </w:r>
    </w:p>
    <w:p w14:paraId="4F7C95E2" w14:textId="77777777" w:rsidR="009B6792" w:rsidRPr="00EE6CBB" w:rsidRDefault="009B6792" w:rsidP="00EE6CBB">
      <w:pPr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EE6CBB">
        <w:rPr>
          <w:rFonts w:ascii="Palatino Linotype" w:hAnsi="Palatino Linotype"/>
          <w:sz w:val="24"/>
          <w:szCs w:val="24"/>
        </w:rPr>
        <w:t xml:space="preserve">S27, S30, S31 &amp; S32 - regulation for the hours of work, leave, housing, water, food and provision of medical attention </w:t>
      </w:r>
    </w:p>
    <w:p w14:paraId="798EE84C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</w:p>
    <w:p w14:paraId="7A72ACB5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>Work Injury Benefits Act, CAP 236 (WIBA)</w:t>
      </w:r>
    </w:p>
    <w:p w14:paraId="1C589AC3" w14:textId="77777777" w:rsidR="009B6792" w:rsidRPr="00EE6CBB" w:rsidRDefault="009B6792" w:rsidP="00EE6CBB">
      <w:pPr>
        <w:jc w:val="both"/>
        <w:rPr>
          <w:rFonts w:ascii="Palatino Linotype" w:hAnsi="Palatino Linotype"/>
          <w:i/>
          <w:iCs/>
          <w:sz w:val="24"/>
          <w:szCs w:val="24"/>
          <w:lang w:val="en-US"/>
        </w:rPr>
      </w:pPr>
      <w:r w:rsidRPr="00EE6CBB">
        <w:rPr>
          <w:rFonts w:ascii="Palatino Linotype" w:hAnsi="Palatino Linotype"/>
          <w:i/>
          <w:iCs/>
          <w:sz w:val="24"/>
          <w:szCs w:val="24"/>
          <w:lang w:val="en-US"/>
        </w:rPr>
        <w:t xml:space="preserve">Any employee who acquires an occupational disease or is involved in a workplace accident that leads to either temporary or permanent disability or death is entitled to compensation from the employer. </w:t>
      </w:r>
    </w:p>
    <w:p w14:paraId="0E35D9D3" w14:textId="77777777" w:rsidR="009B6792" w:rsidRPr="00EE6CBB" w:rsidRDefault="009B6792" w:rsidP="00EE6CBB">
      <w:pPr>
        <w:jc w:val="both"/>
        <w:rPr>
          <w:rFonts w:ascii="Palatino Linotype" w:hAnsi="Palatino Linotype"/>
          <w:i/>
          <w:iCs/>
          <w:sz w:val="24"/>
          <w:szCs w:val="24"/>
          <w:lang w:val="en-US"/>
        </w:rPr>
      </w:pPr>
    </w:p>
    <w:p w14:paraId="42F222DB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Occupational Safety and Health Act, CAP 514 (OSHA): </w:t>
      </w:r>
    </w:p>
    <w:p w14:paraId="5E301608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lastRenderedPageBreak/>
        <w:t xml:space="preserve">Proper safety measures should be in place o see: </w:t>
      </w:r>
      <w:proofErr w:type="spellStart"/>
      <w:r w:rsidRPr="00EE6CBB">
        <w:rPr>
          <w:rFonts w:ascii="Palatino Linotype" w:hAnsi="Palatino Linotype"/>
          <w:sz w:val="24"/>
          <w:szCs w:val="24"/>
          <w:lang w:val="en-US"/>
        </w:rPr>
        <w:t>Mghosi</w:t>
      </w:r>
      <w:proofErr w:type="spellEnd"/>
      <w:r w:rsidRPr="00EE6CBB">
        <w:rPr>
          <w:rFonts w:ascii="Palatino Linotype" w:hAnsi="Palatino Linotype"/>
          <w:sz w:val="24"/>
          <w:szCs w:val="24"/>
          <w:lang w:val="en-US"/>
        </w:rPr>
        <w:t xml:space="preserve"> v Gayatri Engineering Works [1981] KLR 163 </w:t>
      </w:r>
    </w:p>
    <w:p w14:paraId="75CA0F03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</w:p>
    <w:p w14:paraId="63AEEBAF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Kenya Defense Forces Act, No. 25 of 2012: </w:t>
      </w:r>
    </w:p>
    <w:p w14:paraId="489493AE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The Kenya Defense Forces is established under article 241 of the Constitution, 2010 and the Kenya Defense Forces Act. </w:t>
      </w:r>
    </w:p>
    <w:p w14:paraId="06F264C3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>Mandate: -</w:t>
      </w:r>
    </w:p>
    <w:p w14:paraId="1C104B8F" w14:textId="77777777" w:rsidR="009B6792" w:rsidRPr="00EE6CBB" w:rsidRDefault="009B6792" w:rsidP="00EE6CBB">
      <w:pPr>
        <w:numPr>
          <w:ilvl w:val="0"/>
          <w:numId w:val="2"/>
        </w:numPr>
        <w:jc w:val="both"/>
        <w:rPr>
          <w:rFonts w:ascii="Palatino Linotype" w:hAnsi="Palatino Linotype"/>
          <w:sz w:val="24"/>
          <w:szCs w:val="24"/>
        </w:rPr>
      </w:pPr>
      <w:r w:rsidRPr="00EE6CBB">
        <w:rPr>
          <w:rFonts w:ascii="Palatino Linotype" w:hAnsi="Palatino Linotype"/>
          <w:sz w:val="24"/>
          <w:szCs w:val="24"/>
        </w:rPr>
        <w:t xml:space="preserve">protecting the sovereignty and territorial integrity of Kenya </w:t>
      </w:r>
    </w:p>
    <w:p w14:paraId="382F61B3" w14:textId="77777777" w:rsidR="009B6792" w:rsidRPr="00EE6CBB" w:rsidRDefault="009B6792" w:rsidP="00EE6CBB">
      <w:pPr>
        <w:numPr>
          <w:ilvl w:val="0"/>
          <w:numId w:val="2"/>
        </w:numPr>
        <w:jc w:val="both"/>
        <w:rPr>
          <w:rFonts w:ascii="Palatino Linotype" w:hAnsi="Palatino Linotype"/>
          <w:sz w:val="24"/>
          <w:szCs w:val="24"/>
        </w:rPr>
      </w:pPr>
      <w:r w:rsidRPr="00EE6CBB">
        <w:rPr>
          <w:rFonts w:ascii="Palatino Linotype" w:hAnsi="Palatino Linotype"/>
          <w:sz w:val="24"/>
          <w:szCs w:val="24"/>
        </w:rPr>
        <w:t xml:space="preserve">assisting in emergency and disaster management </w:t>
      </w:r>
    </w:p>
    <w:p w14:paraId="0CC3E513" w14:textId="77777777" w:rsidR="009B6792" w:rsidRPr="00EE6CBB" w:rsidRDefault="009B6792" w:rsidP="00EE6CBB">
      <w:pPr>
        <w:numPr>
          <w:ilvl w:val="0"/>
          <w:numId w:val="2"/>
        </w:numPr>
        <w:jc w:val="both"/>
        <w:rPr>
          <w:rFonts w:ascii="Palatino Linotype" w:hAnsi="Palatino Linotype"/>
          <w:sz w:val="24"/>
          <w:szCs w:val="24"/>
        </w:rPr>
      </w:pPr>
      <w:r w:rsidRPr="00EE6CBB">
        <w:rPr>
          <w:rFonts w:ascii="Palatino Linotype" w:hAnsi="Palatino Linotype"/>
          <w:sz w:val="24"/>
          <w:szCs w:val="24"/>
        </w:rPr>
        <w:t xml:space="preserve">reporting to the national assembly after deployment </w:t>
      </w:r>
    </w:p>
    <w:p w14:paraId="5237C399" w14:textId="77777777" w:rsidR="009B6792" w:rsidRPr="00EE6CBB" w:rsidRDefault="009B6792" w:rsidP="00EE6CBB">
      <w:pPr>
        <w:numPr>
          <w:ilvl w:val="0"/>
          <w:numId w:val="2"/>
        </w:numPr>
        <w:jc w:val="both"/>
        <w:rPr>
          <w:rFonts w:ascii="Palatino Linotype" w:hAnsi="Palatino Linotype"/>
          <w:sz w:val="24"/>
          <w:szCs w:val="24"/>
        </w:rPr>
      </w:pPr>
      <w:r w:rsidRPr="00EE6CBB">
        <w:rPr>
          <w:rFonts w:ascii="Palatino Linotype" w:hAnsi="Palatino Linotype"/>
          <w:sz w:val="24"/>
          <w:szCs w:val="24"/>
        </w:rPr>
        <w:t xml:space="preserve">restoration of peace. </w:t>
      </w:r>
    </w:p>
    <w:p w14:paraId="4057992D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</w:p>
    <w:p w14:paraId="7B9C2FF5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>National Intelligence Service:</w:t>
      </w:r>
    </w:p>
    <w:p w14:paraId="31E8B753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See: article 242 of the Constitution of Kenya,2010 </w:t>
      </w:r>
    </w:p>
    <w:p w14:paraId="47CDC597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</w:p>
    <w:p w14:paraId="3C2214E9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National Police Service (Amendment) Act, 2014: </w:t>
      </w:r>
    </w:p>
    <w:p w14:paraId="02890D6F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See: article 243 of the Constitution of Kenya </w:t>
      </w:r>
    </w:p>
    <w:p w14:paraId="5ED5062F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mandate:- </w:t>
      </w:r>
    </w:p>
    <w:p w14:paraId="2D5B0F05" w14:textId="77777777" w:rsidR="009B6792" w:rsidRPr="00EE6CBB" w:rsidRDefault="009B6792" w:rsidP="00EE6CBB">
      <w:pPr>
        <w:numPr>
          <w:ilvl w:val="0"/>
          <w:numId w:val="3"/>
        </w:numPr>
        <w:jc w:val="both"/>
        <w:rPr>
          <w:rFonts w:ascii="Palatino Linotype" w:hAnsi="Palatino Linotype"/>
          <w:sz w:val="24"/>
          <w:szCs w:val="24"/>
        </w:rPr>
      </w:pPr>
      <w:r w:rsidRPr="00EE6CBB">
        <w:rPr>
          <w:rFonts w:ascii="Palatino Linotype" w:hAnsi="Palatino Linotype"/>
          <w:sz w:val="24"/>
          <w:szCs w:val="24"/>
        </w:rPr>
        <w:t>compliance with constitutional standards</w:t>
      </w:r>
    </w:p>
    <w:p w14:paraId="195C0A69" w14:textId="77777777" w:rsidR="009B6792" w:rsidRPr="00EE6CBB" w:rsidRDefault="009B6792" w:rsidP="00EE6CBB">
      <w:pPr>
        <w:numPr>
          <w:ilvl w:val="0"/>
          <w:numId w:val="3"/>
        </w:numPr>
        <w:jc w:val="both"/>
        <w:rPr>
          <w:rFonts w:ascii="Palatino Linotype" w:hAnsi="Palatino Linotype"/>
          <w:sz w:val="24"/>
          <w:szCs w:val="24"/>
        </w:rPr>
      </w:pPr>
      <w:r w:rsidRPr="00EE6CBB">
        <w:rPr>
          <w:rFonts w:ascii="Palatino Linotype" w:hAnsi="Palatino Linotype"/>
          <w:sz w:val="24"/>
          <w:szCs w:val="24"/>
        </w:rPr>
        <w:t xml:space="preserve">staff training </w:t>
      </w:r>
    </w:p>
    <w:p w14:paraId="7B081E94" w14:textId="77777777" w:rsidR="009B6792" w:rsidRPr="00EE6CBB" w:rsidRDefault="009B6792" w:rsidP="00EE6CBB">
      <w:pPr>
        <w:numPr>
          <w:ilvl w:val="0"/>
          <w:numId w:val="3"/>
        </w:numPr>
        <w:jc w:val="both"/>
        <w:rPr>
          <w:rFonts w:ascii="Palatino Linotype" w:hAnsi="Palatino Linotype"/>
          <w:sz w:val="24"/>
          <w:szCs w:val="24"/>
        </w:rPr>
      </w:pPr>
      <w:r w:rsidRPr="00EE6CBB">
        <w:rPr>
          <w:rFonts w:ascii="Palatino Linotype" w:hAnsi="Palatino Linotype"/>
          <w:sz w:val="24"/>
          <w:szCs w:val="24"/>
        </w:rPr>
        <w:t xml:space="preserve">integrity and professionalism </w:t>
      </w:r>
    </w:p>
    <w:p w14:paraId="018A1C10" w14:textId="77777777" w:rsidR="009B6792" w:rsidRPr="00EE6CBB" w:rsidRDefault="009B6792" w:rsidP="00EE6CBB">
      <w:pPr>
        <w:numPr>
          <w:ilvl w:val="0"/>
          <w:numId w:val="3"/>
        </w:numPr>
        <w:jc w:val="both"/>
        <w:rPr>
          <w:rFonts w:ascii="Palatino Linotype" w:hAnsi="Palatino Linotype"/>
          <w:sz w:val="24"/>
          <w:szCs w:val="24"/>
        </w:rPr>
      </w:pPr>
      <w:r w:rsidRPr="00EE6CBB">
        <w:rPr>
          <w:rFonts w:ascii="Palatino Linotype" w:hAnsi="Palatino Linotype"/>
          <w:sz w:val="24"/>
          <w:szCs w:val="24"/>
        </w:rPr>
        <w:t xml:space="preserve">promotion of relationships with the broader society </w:t>
      </w:r>
    </w:p>
    <w:p w14:paraId="2A6354E0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</w:p>
    <w:p w14:paraId="3FBBDEA8" w14:textId="77777777" w:rsidR="009B6792" w:rsidRPr="00EE6CBB" w:rsidRDefault="009B6792" w:rsidP="00EE6CBB">
      <w:pPr>
        <w:jc w:val="both"/>
        <w:rPr>
          <w:rFonts w:ascii="Palatino Linotype" w:hAnsi="Palatino Linotype"/>
          <w:b/>
          <w:bCs/>
          <w:sz w:val="24"/>
          <w:szCs w:val="24"/>
          <w:lang w:val="en-US"/>
        </w:rPr>
      </w:pPr>
      <w:r w:rsidRPr="00EE6CBB">
        <w:rPr>
          <w:rFonts w:ascii="Palatino Linotype" w:hAnsi="Palatino Linotype"/>
          <w:b/>
          <w:bCs/>
          <w:sz w:val="24"/>
          <w:szCs w:val="24"/>
          <w:lang w:val="en-US"/>
        </w:rPr>
        <w:t xml:space="preserve">International Safety And Security </w:t>
      </w:r>
    </w:p>
    <w:p w14:paraId="2559AABD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>United Nations: Article 1(1) of the United Nations Charter tasks the United Nations with the central mission of maintaining international peace and security, a task that is fulfilled via the United Nations Security Council.</w:t>
      </w:r>
    </w:p>
    <w:p w14:paraId="7BF7CC67" w14:textId="77777777" w:rsidR="009B6792" w:rsidRPr="00EE6CBB" w:rsidRDefault="009B6792" w:rsidP="00EE6CBB">
      <w:pPr>
        <w:jc w:val="both"/>
        <w:rPr>
          <w:rFonts w:ascii="Palatino Linotype" w:hAnsi="Palatino Linotype"/>
          <w:i/>
          <w:iCs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The International Labor Organization: </w:t>
      </w:r>
      <w:r w:rsidRPr="00EE6CBB">
        <w:rPr>
          <w:rFonts w:ascii="Palatino Linotype" w:hAnsi="Palatino Linotype"/>
          <w:i/>
          <w:iCs/>
          <w:sz w:val="24"/>
          <w:szCs w:val="24"/>
          <w:lang w:val="en-US"/>
        </w:rPr>
        <w:t>ILO sets standards that aid in the protection of employees within the workplace.</w:t>
      </w:r>
    </w:p>
    <w:p w14:paraId="6C699103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</w:p>
    <w:p w14:paraId="28ED1B33" w14:textId="77777777" w:rsidR="009B6792" w:rsidRPr="00EE6CBB" w:rsidRDefault="009B6792" w:rsidP="00EE6CBB">
      <w:pPr>
        <w:jc w:val="both"/>
        <w:rPr>
          <w:rFonts w:ascii="Palatino Linotype" w:hAnsi="Palatino Linotype"/>
          <w:b/>
          <w:bCs/>
          <w:sz w:val="24"/>
          <w:szCs w:val="24"/>
          <w:lang w:val="en-US"/>
        </w:rPr>
      </w:pPr>
      <w:r w:rsidRPr="00EE6CBB">
        <w:rPr>
          <w:rFonts w:ascii="Palatino Linotype" w:hAnsi="Palatino Linotype"/>
          <w:b/>
          <w:bCs/>
          <w:sz w:val="24"/>
          <w:szCs w:val="24"/>
          <w:lang w:val="en-US"/>
        </w:rPr>
        <w:t xml:space="preserve">Laws Governing Disaster Management In Kenya </w:t>
      </w:r>
    </w:p>
    <w:p w14:paraId="2B3937CA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Currently, the law is fragmented and uncoordinated. </w:t>
      </w:r>
    </w:p>
    <w:p w14:paraId="4D1E0611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>With devolution, the mandate for disaster management falls on the county government through the County Governments Act, 2012</w:t>
      </w:r>
    </w:p>
    <w:p w14:paraId="13DB912C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</w:p>
    <w:p w14:paraId="695CF40A" w14:textId="77777777" w:rsidR="009B6792" w:rsidRPr="00EE6CBB" w:rsidRDefault="009B6792" w:rsidP="00EE6CBB">
      <w:pPr>
        <w:jc w:val="both"/>
        <w:rPr>
          <w:rFonts w:ascii="Palatino Linotype" w:hAnsi="Palatino Linotype"/>
          <w:b/>
          <w:bCs/>
          <w:sz w:val="24"/>
          <w:szCs w:val="24"/>
          <w:lang w:val="en-US"/>
        </w:rPr>
      </w:pPr>
      <w:r w:rsidRPr="00EE6CBB">
        <w:rPr>
          <w:rFonts w:ascii="Palatino Linotype" w:hAnsi="Palatino Linotype"/>
          <w:b/>
          <w:bCs/>
          <w:sz w:val="24"/>
          <w:szCs w:val="24"/>
          <w:lang w:val="en-US"/>
        </w:rPr>
        <w:t>Statutes</w:t>
      </w:r>
    </w:p>
    <w:p w14:paraId="2E0B002C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>The Constitution of Kenya: The Constitution is silent on issues of disaster management. However disaster management as a function has been devolved to the county government with the national government having oversight authority.</w:t>
      </w:r>
    </w:p>
    <w:p w14:paraId="771257F8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</w:p>
    <w:p w14:paraId="15C5C9F2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Environment Management Coordination Act: establishes the National Environmental Management Authority (NEMA) which has the main mandate of ensuring safeguards have been implemented when it comes to environmental issues. </w:t>
      </w:r>
    </w:p>
    <w:p w14:paraId="5FE0FE56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</w:p>
    <w:p w14:paraId="558A16A3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>The Grass Fires Act: regulates burning of vegetation, constructing and maintaining fire breaks with the aim off stopping or preventing the spread of fire.</w:t>
      </w:r>
    </w:p>
    <w:p w14:paraId="2D934C8C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</w:p>
    <w:p w14:paraId="06EC6ED4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The Kenya Red Cross Society Act: allows Kenya Red Cross Society to provide relief to victims of catastrophe and public disasters. </w:t>
      </w:r>
    </w:p>
    <w:p w14:paraId="376477EF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The Prevention of Terrorism Act: regulates punishment and deterrence of perpetrators of terrorist activities. </w:t>
      </w:r>
    </w:p>
    <w:p w14:paraId="2459D927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Other Acts of note: </w:t>
      </w:r>
    </w:p>
    <w:p w14:paraId="25EC7207" w14:textId="77777777" w:rsidR="009B6792" w:rsidRPr="00EE6CBB" w:rsidRDefault="009B6792" w:rsidP="00EE6CBB">
      <w:pPr>
        <w:numPr>
          <w:ilvl w:val="0"/>
          <w:numId w:val="4"/>
        </w:numPr>
        <w:jc w:val="both"/>
        <w:rPr>
          <w:rFonts w:ascii="Palatino Linotype" w:hAnsi="Palatino Linotype"/>
          <w:sz w:val="24"/>
          <w:szCs w:val="24"/>
        </w:rPr>
      </w:pPr>
      <w:r w:rsidRPr="00EE6CBB">
        <w:rPr>
          <w:rFonts w:ascii="Palatino Linotype" w:hAnsi="Palatino Linotype"/>
          <w:sz w:val="24"/>
          <w:szCs w:val="24"/>
        </w:rPr>
        <w:t>The Water Act</w:t>
      </w:r>
    </w:p>
    <w:p w14:paraId="7ADF4D9B" w14:textId="77777777" w:rsidR="009B6792" w:rsidRPr="00EE6CBB" w:rsidRDefault="009B6792" w:rsidP="00EE6CBB">
      <w:pPr>
        <w:numPr>
          <w:ilvl w:val="0"/>
          <w:numId w:val="4"/>
        </w:numPr>
        <w:jc w:val="both"/>
        <w:rPr>
          <w:rFonts w:ascii="Palatino Linotype" w:hAnsi="Palatino Linotype"/>
          <w:sz w:val="24"/>
          <w:szCs w:val="24"/>
        </w:rPr>
      </w:pPr>
      <w:r w:rsidRPr="00EE6CBB">
        <w:rPr>
          <w:rFonts w:ascii="Palatino Linotype" w:hAnsi="Palatino Linotype"/>
          <w:sz w:val="24"/>
          <w:szCs w:val="24"/>
        </w:rPr>
        <w:t xml:space="preserve">The Contingencies Fund and County Emergency Funds Act </w:t>
      </w:r>
    </w:p>
    <w:p w14:paraId="63B1360E" w14:textId="77777777" w:rsidR="009B6792" w:rsidRPr="00EE6CBB" w:rsidRDefault="009B6792" w:rsidP="00EE6CBB">
      <w:pPr>
        <w:numPr>
          <w:ilvl w:val="0"/>
          <w:numId w:val="4"/>
        </w:numPr>
        <w:jc w:val="both"/>
        <w:rPr>
          <w:rFonts w:ascii="Palatino Linotype" w:hAnsi="Palatino Linotype"/>
          <w:sz w:val="24"/>
          <w:szCs w:val="24"/>
        </w:rPr>
      </w:pPr>
      <w:r w:rsidRPr="00EE6CBB">
        <w:rPr>
          <w:rFonts w:ascii="Palatino Linotype" w:hAnsi="Palatino Linotype"/>
          <w:sz w:val="24"/>
          <w:szCs w:val="24"/>
        </w:rPr>
        <w:t xml:space="preserve">The Petroleum Act </w:t>
      </w:r>
    </w:p>
    <w:p w14:paraId="2073B5F1" w14:textId="77777777" w:rsidR="009B6792" w:rsidRPr="00EE6CBB" w:rsidRDefault="009B6792" w:rsidP="00EE6CBB">
      <w:pPr>
        <w:numPr>
          <w:ilvl w:val="0"/>
          <w:numId w:val="4"/>
        </w:numPr>
        <w:jc w:val="both"/>
        <w:rPr>
          <w:rFonts w:ascii="Palatino Linotype" w:hAnsi="Palatino Linotype"/>
          <w:sz w:val="24"/>
          <w:szCs w:val="24"/>
        </w:rPr>
      </w:pPr>
      <w:r w:rsidRPr="00EE6CBB">
        <w:rPr>
          <w:rFonts w:ascii="Palatino Linotype" w:hAnsi="Palatino Linotype"/>
          <w:sz w:val="24"/>
          <w:szCs w:val="24"/>
        </w:rPr>
        <w:t xml:space="preserve">The Explosives Act </w:t>
      </w:r>
    </w:p>
    <w:p w14:paraId="1217A5E3" w14:textId="77777777" w:rsidR="009B6792" w:rsidRPr="00EE6CBB" w:rsidRDefault="009B6792" w:rsidP="00EE6CBB">
      <w:pPr>
        <w:numPr>
          <w:ilvl w:val="0"/>
          <w:numId w:val="4"/>
        </w:numPr>
        <w:jc w:val="both"/>
        <w:rPr>
          <w:rFonts w:ascii="Palatino Linotype" w:hAnsi="Palatino Linotype"/>
          <w:sz w:val="24"/>
          <w:szCs w:val="24"/>
        </w:rPr>
      </w:pPr>
      <w:r w:rsidRPr="00EE6CBB">
        <w:rPr>
          <w:rFonts w:ascii="Palatino Linotype" w:hAnsi="Palatino Linotype"/>
          <w:sz w:val="24"/>
          <w:szCs w:val="24"/>
        </w:rPr>
        <w:t xml:space="preserve">The Factories Act </w:t>
      </w:r>
    </w:p>
    <w:p w14:paraId="3043A5F2" w14:textId="77777777" w:rsidR="009B6792" w:rsidRPr="00EE6CBB" w:rsidRDefault="009B6792" w:rsidP="00EE6CBB">
      <w:pPr>
        <w:numPr>
          <w:ilvl w:val="0"/>
          <w:numId w:val="4"/>
        </w:numPr>
        <w:jc w:val="both"/>
        <w:rPr>
          <w:rFonts w:ascii="Palatino Linotype" w:hAnsi="Palatino Linotype"/>
          <w:sz w:val="24"/>
          <w:szCs w:val="24"/>
        </w:rPr>
      </w:pPr>
      <w:r w:rsidRPr="00EE6CBB">
        <w:rPr>
          <w:rFonts w:ascii="Palatino Linotype" w:hAnsi="Palatino Linotype"/>
          <w:sz w:val="24"/>
          <w:szCs w:val="24"/>
        </w:rPr>
        <w:t>The Education Act</w:t>
      </w:r>
    </w:p>
    <w:p w14:paraId="2E41FC66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</w:p>
    <w:p w14:paraId="347C9379" w14:textId="77777777" w:rsidR="009B6792" w:rsidRPr="00EE6CBB" w:rsidRDefault="009B6792" w:rsidP="00EE6CBB">
      <w:pPr>
        <w:jc w:val="both"/>
        <w:rPr>
          <w:rFonts w:ascii="Palatino Linotype" w:hAnsi="Palatino Linotype"/>
          <w:b/>
          <w:bCs/>
          <w:sz w:val="24"/>
          <w:szCs w:val="24"/>
          <w:lang w:val="en-US"/>
        </w:rPr>
      </w:pPr>
      <w:r w:rsidRPr="00EE6CBB">
        <w:rPr>
          <w:rFonts w:ascii="Palatino Linotype" w:hAnsi="Palatino Linotype"/>
          <w:b/>
          <w:bCs/>
          <w:sz w:val="24"/>
          <w:szCs w:val="24"/>
          <w:lang w:val="en-US"/>
        </w:rPr>
        <w:lastRenderedPageBreak/>
        <w:t>Institutional Framework</w:t>
      </w:r>
    </w:p>
    <w:p w14:paraId="2A324833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National Disaster Executive Committees </w:t>
      </w:r>
    </w:p>
    <w:p w14:paraId="66088BB1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District Disaster Management Committee </w:t>
      </w:r>
    </w:p>
    <w:p w14:paraId="70E3E3DC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National Disaster Operations Center </w:t>
      </w:r>
    </w:p>
    <w:p w14:paraId="71A9519A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Kenya Food Security Meeting </w:t>
      </w:r>
    </w:p>
    <w:p w14:paraId="07AC6354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National Drought Management Authority </w:t>
      </w:r>
    </w:p>
    <w:p w14:paraId="7B6B5405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The National Platform for Disaster Risk Reduction </w:t>
      </w:r>
    </w:p>
    <w:p w14:paraId="5F834118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>National Climate Change Activities Coordinating Committee</w:t>
      </w:r>
    </w:p>
    <w:p w14:paraId="49652A88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</w:p>
    <w:p w14:paraId="491D8410" w14:textId="77777777" w:rsidR="009B6792" w:rsidRPr="00EE6CBB" w:rsidRDefault="009B6792" w:rsidP="00EE6CBB">
      <w:pPr>
        <w:jc w:val="both"/>
        <w:rPr>
          <w:rFonts w:ascii="Palatino Linotype" w:hAnsi="Palatino Linotype"/>
          <w:b/>
          <w:bCs/>
          <w:sz w:val="24"/>
          <w:szCs w:val="24"/>
          <w:lang w:val="en-US"/>
        </w:rPr>
      </w:pPr>
      <w:r w:rsidRPr="00EE6CBB">
        <w:rPr>
          <w:rFonts w:ascii="Palatino Linotype" w:hAnsi="Palatino Linotype"/>
          <w:b/>
          <w:bCs/>
          <w:sz w:val="24"/>
          <w:szCs w:val="24"/>
          <w:lang w:val="en-US"/>
        </w:rPr>
        <w:t>Government Plans, Policies and Organizations</w:t>
      </w:r>
    </w:p>
    <w:p w14:paraId="0C603FCB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Sessional Paper No. 10 of 1965 on African Socialism and its Application to Planning in Kenya </w:t>
      </w:r>
    </w:p>
    <w:p w14:paraId="637C0A63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National Food Policies of 1981 and 1994 </w:t>
      </w:r>
    </w:p>
    <w:p w14:paraId="28A76849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Kenya Health Policy, 2012 – 2030 </w:t>
      </w:r>
    </w:p>
    <w:p w14:paraId="395876B6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Poverty Reduction Strategy Paper of 2001 – 2004 </w:t>
      </w:r>
    </w:p>
    <w:p w14:paraId="11CEF4D1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Economic Recovery Strategy for Wealth and Employment Creation of 2003 – 2007 </w:t>
      </w:r>
    </w:p>
    <w:p w14:paraId="4B92C174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>The National Vision 2030 The Strategy for the Revitalization of Agriculture 2004 – 2014 The National Food and Nutrition Security Policy, 2007</w:t>
      </w:r>
    </w:p>
    <w:p w14:paraId="58145C93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</w:p>
    <w:p w14:paraId="203060A6" w14:textId="77777777" w:rsidR="009B6792" w:rsidRPr="00EE6CBB" w:rsidRDefault="009B6792" w:rsidP="00EE6CBB">
      <w:pPr>
        <w:jc w:val="both"/>
        <w:rPr>
          <w:rFonts w:ascii="Palatino Linotype" w:hAnsi="Palatino Linotype"/>
          <w:b/>
          <w:bCs/>
          <w:sz w:val="24"/>
          <w:szCs w:val="24"/>
          <w:lang w:val="en-US"/>
        </w:rPr>
      </w:pPr>
      <w:r w:rsidRPr="00EE6CBB">
        <w:rPr>
          <w:rFonts w:ascii="Palatino Linotype" w:hAnsi="Palatino Linotype"/>
          <w:b/>
          <w:bCs/>
          <w:sz w:val="24"/>
          <w:szCs w:val="24"/>
          <w:lang w:val="en-US"/>
        </w:rPr>
        <w:t xml:space="preserve">Organizations that make regulations, agreements and guidelines that impact disaster management on risk reduction: </w:t>
      </w:r>
    </w:p>
    <w:p w14:paraId="7AF893B2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Hyogo Framework for Action </w:t>
      </w:r>
    </w:p>
    <w:p w14:paraId="2D471A3D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Pan-African IDRL Forum </w:t>
      </w:r>
    </w:p>
    <w:p w14:paraId="1BC65255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African Working Group on Disaster Risk Reduction </w:t>
      </w:r>
    </w:p>
    <w:p w14:paraId="225134E3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African Ministerial Conference on Disaster Risk Reduction </w:t>
      </w:r>
    </w:p>
    <w:p w14:paraId="2066B02C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African Union </w:t>
      </w:r>
    </w:p>
    <w:p w14:paraId="1E815B4F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African Risk Capacity </w:t>
      </w:r>
    </w:p>
    <w:p w14:paraId="63989893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 xml:space="preserve">African Union Commission </w:t>
      </w:r>
    </w:p>
    <w:p w14:paraId="7022260D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lastRenderedPageBreak/>
        <w:t xml:space="preserve">New Partnership for Africa’s Development </w:t>
      </w:r>
    </w:p>
    <w:p w14:paraId="691ABB14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>Kyoto Protocol</w:t>
      </w:r>
    </w:p>
    <w:p w14:paraId="4187DFEF" w14:textId="77777777" w:rsidR="009B6792" w:rsidRPr="00EE6CBB" w:rsidRDefault="009B6792" w:rsidP="00EE6CBB">
      <w:pPr>
        <w:jc w:val="both"/>
        <w:rPr>
          <w:rFonts w:ascii="Palatino Linotype" w:hAnsi="Palatino Linotype"/>
          <w:sz w:val="24"/>
          <w:szCs w:val="24"/>
          <w:lang w:val="en-US"/>
        </w:rPr>
      </w:pPr>
      <w:r w:rsidRPr="00EE6CBB">
        <w:rPr>
          <w:rFonts w:ascii="Palatino Linotype" w:hAnsi="Palatino Linotype"/>
          <w:sz w:val="24"/>
          <w:szCs w:val="24"/>
          <w:lang w:val="en-US"/>
        </w:rPr>
        <w:t>United Nations Convention to Combat Desertification</w:t>
      </w:r>
    </w:p>
    <w:p w14:paraId="1DFFAAB2" w14:textId="77777777" w:rsidR="00F07E8C" w:rsidRPr="00EE6CBB" w:rsidRDefault="00F07E8C" w:rsidP="00EE6CBB">
      <w:pPr>
        <w:jc w:val="both"/>
        <w:rPr>
          <w:rFonts w:ascii="Palatino Linotype" w:hAnsi="Palatino Linotype"/>
          <w:sz w:val="24"/>
          <w:szCs w:val="24"/>
        </w:rPr>
      </w:pPr>
    </w:p>
    <w:sectPr w:rsidR="00F07E8C" w:rsidRPr="00EE6CBB" w:rsidSect="00343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3100A0"/>
    <w:multiLevelType w:val="hybridMultilevel"/>
    <w:tmpl w:val="6E1A4B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E7D61"/>
    <w:multiLevelType w:val="hybridMultilevel"/>
    <w:tmpl w:val="A07057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1D3E66"/>
    <w:multiLevelType w:val="hybridMultilevel"/>
    <w:tmpl w:val="17822E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E48B8"/>
    <w:multiLevelType w:val="hybridMultilevel"/>
    <w:tmpl w:val="167E6884"/>
    <w:lvl w:ilvl="0" w:tplc="0409000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E0D6F9B"/>
    <w:multiLevelType w:val="hybridMultilevel"/>
    <w:tmpl w:val="9BFED0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1357009">
    <w:abstractNumId w:val="4"/>
  </w:num>
  <w:num w:numId="2" w16cid:durableId="1517647453">
    <w:abstractNumId w:val="2"/>
  </w:num>
  <w:num w:numId="3" w16cid:durableId="699090608">
    <w:abstractNumId w:val="0"/>
  </w:num>
  <w:num w:numId="4" w16cid:durableId="688871830">
    <w:abstractNumId w:val="1"/>
  </w:num>
  <w:num w:numId="5" w16cid:durableId="6516438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8FF"/>
    <w:rsid w:val="002B2F0B"/>
    <w:rsid w:val="00343573"/>
    <w:rsid w:val="004063E8"/>
    <w:rsid w:val="004378FF"/>
    <w:rsid w:val="00923D15"/>
    <w:rsid w:val="009B6792"/>
    <w:rsid w:val="00A607D5"/>
    <w:rsid w:val="00EE6CBB"/>
    <w:rsid w:val="00F07E8C"/>
    <w:rsid w:val="00FC0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6FFBA"/>
  <w15:chartTrackingRefBased/>
  <w15:docId w15:val="{C7051F12-8CFA-40D1-A897-F7A48C3D8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764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MBURO KENNEDY OTIENO</dc:creator>
  <cp:keywords/>
  <dc:description/>
  <cp:lastModifiedBy>MBURO KENNEDY OTIENO</cp:lastModifiedBy>
  <cp:revision>3</cp:revision>
  <dcterms:created xsi:type="dcterms:W3CDTF">2024-04-07T17:14:00Z</dcterms:created>
  <dcterms:modified xsi:type="dcterms:W3CDTF">2024-04-07T17:27:00Z</dcterms:modified>
</cp:coreProperties>
</file>