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78B" w:rsidRPr="00FA278B" w:rsidRDefault="00FA278B" w:rsidP="00FA278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7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training program</w:t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78B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to Integrated Water Resource Management (</w:t>
      </w:r>
      <w:proofErr w:type="spellStart"/>
      <w:r w:rsidRPr="00FA278B">
        <w:rPr>
          <w:rFonts w:ascii="Times New Roman" w:eastAsia="Times New Roman" w:hAnsi="Times New Roman" w:cs="Times New Roman"/>
          <w:b/>
          <w:bCs/>
          <w:sz w:val="36"/>
          <w:szCs w:val="36"/>
        </w:rPr>
        <w:t>specialised</w:t>
      </w:r>
      <w:proofErr w:type="spellEnd"/>
      <w:r w:rsidRPr="00FA27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</w:p>
    <w:p w:rsidR="00FA278B" w:rsidRPr="00FA278B" w:rsidRDefault="00FA278B" w:rsidP="00FA27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A278B">
        <w:rPr>
          <w:rFonts w:ascii="Times New Roman" w:eastAsia="Times New Roman" w:hAnsi="Times New Roman" w:cs="Times New Roman"/>
          <w:b/>
          <w:bCs/>
          <w:sz w:val="27"/>
          <w:szCs w:val="27"/>
        </w:rPr>
        <w:t>Delivery mode</w:t>
      </w:r>
    </w:p>
    <w:p w:rsidR="00FA278B" w:rsidRPr="00FA278B" w:rsidRDefault="00FA278B" w:rsidP="00FA2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Short course</w:t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78B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FA278B" w:rsidRPr="00FA278B" w:rsidRDefault="00FA278B" w:rsidP="00FA2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2 weeks (10 days)</w:t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78B">
        <w:rPr>
          <w:rFonts w:ascii="Times New Roman" w:eastAsia="Times New Roman" w:hAnsi="Times New Roman" w:cs="Times New Roman"/>
          <w:b/>
          <w:bCs/>
          <w:sz w:val="27"/>
          <w:szCs w:val="27"/>
        </w:rPr>
        <w:t>Target audience</w:t>
      </w:r>
    </w:p>
    <w:p w:rsidR="00FA278B" w:rsidRPr="00FA278B" w:rsidRDefault="00FA278B" w:rsidP="00FA2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Designed for professionals who not only require an overview of integrated water management, but who are also seeking to enhance their pre-existing technical skill sets by undertaking a one week specialist elective.</w:t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78B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objectives</w:t>
      </w:r>
    </w:p>
    <w:p w:rsidR="00FA278B" w:rsidRPr="00FA278B" w:rsidRDefault="00FA278B" w:rsidP="00FA2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Understanding of the interconnected nature of water management so that participants are not only able to tackle water problems from a technical position, but also understand environmental, social and economic factors</w:t>
      </w:r>
      <w:r w:rsidRPr="00FA278B">
        <w:rPr>
          <w:rFonts w:ascii="Times New Roman" w:eastAsia="Times New Roman" w:hAnsi="Times New Roman" w:cs="Times New Roman"/>
          <w:sz w:val="24"/>
          <w:szCs w:val="24"/>
        </w:rPr>
        <w:br/>
        <w:t>Understanding of more detailed concepts and approaches of integrated water management through the study of a chosen elective.</w:t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78B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number of participants</w:t>
      </w:r>
    </w:p>
    <w:p w:rsidR="00FA278B" w:rsidRPr="00FA278B" w:rsidRDefault="00FA278B" w:rsidP="00FA2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30 participants per program (minimum 20 – maximum 40)</w:t>
      </w:r>
    </w:p>
    <w:p w:rsidR="00FA278B" w:rsidRPr="00FA278B" w:rsidRDefault="00FA278B" w:rsidP="00FA2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A278B" w:rsidRPr="00FA278B" w:rsidRDefault="00FA278B" w:rsidP="00FA27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1638300"/>
            <wp:effectExtent l="19050" t="0" r="0" b="0"/>
            <wp:docPr id="1" name="Picture 1" descr="train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ining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78B" w:rsidRPr="00FA278B" w:rsidRDefault="00FA278B" w:rsidP="00FA2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7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Week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29"/>
        <w:gridCol w:w="6121"/>
      </w:tblGrid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water  management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concepts and practice of integrated water resource management and whole-of-water cycle approaches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</w:t>
            </w:r>
            <w:proofErr w:type="spellEnd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importance of participatory project management and frameworks for cross-</w:t>
            </w:r>
            <w:proofErr w:type="spellStart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sectoral</w:t>
            </w:r>
            <w:proofErr w:type="spellEnd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collaboration within the water sector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water, sustainability and development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current international development thinking about sustainable development and its application to water and water resources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governance and policy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</w:t>
            </w:r>
            <w:proofErr w:type="spellEnd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be able to apply the basic elements of good water governance as a component of integrated water management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catchment and aquatic ecosystem health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working in multi-disciplinary teams, professionals will integrate their learning from day one to five by applying knowledge and skills to specific water-related problems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water management capacity building workshop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interactive workshop will </w:t>
            </w:r>
            <w:proofErr w:type="spellStart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assit</w:t>
            </w:r>
            <w:proofErr w:type="spellEnd"/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development of higher order water management skills</w:t>
            </w:r>
          </w:p>
        </w:tc>
      </w:tr>
    </w:tbl>
    <w:p w:rsidR="00FA278B" w:rsidRPr="00FA278B" w:rsidRDefault="00FA278B" w:rsidP="00FA27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1104900"/>
            <wp:effectExtent l="19050" t="0" r="0" b="0"/>
            <wp:docPr id="2" name="Picture 2" descr="train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aining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78B" w:rsidRPr="00FA278B" w:rsidRDefault="00FA278B" w:rsidP="00FA2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78B">
        <w:rPr>
          <w:rFonts w:ascii="Times New Roman" w:eastAsia="Times New Roman" w:hAnsi="Times New Roman" w:cs="Times New Roman"/>
          <w:b/>
          <w:bCs/>
          <w:sz w:val="36"/>
          <w:szCs w:val="36"/>
        </w:rPr>
        <w:t>Week 2</w:t>
      </w:r>
    </w:p>
    <w:p w:rsidR="00FA278B" w:rsidRPr="00FA278B" w:rsidRDefault="00FA278B" w:rsidP="00FA2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78B">
        <w:rPr>
          <w:rFonts w:ascii="Times New Roman" w:eastAsia="Times New Roman" w:hAnsi="Times New Roman" w:cs="Times New Roman"/>
          <w:sz w:val="24"/>
          <w:szCs w:val="24"/>
        </w:rPr>
        <w:t xml:space="preserve">During the second week a particular area of interest can be studied in greater depth and can be specifically tailored to the participants’ requirements. </w:t>
      </w:r>
      <w:r w:rsidRPr="00FA278B">
        <w:rPr>
          <w:rFonts w:ascii="Times New Roman" w:eastAsia="Times New Roman" w:hAnsi="Times New Roman" w:cs="Times New Roman"/>
          <w:sz w:val="24"/>
          <w:szCs w:val="24"/>
        </w:rPr>
        <w:br/>
        <w:t xml:space="preserve">The second week elective will involve classroom, field-based and active learning exercises with course delivery by various scientific experts and industry leaders. </w:t>
      </w:r>
      <w:r w:rsidRPr="00FA278B">
        <w:rPr>
          <w:rFonts w:ascii="Times New Roman" w:eastAsia="Times New Roman" w:hAnsi="Times New Roman" w:cs="Times New Roman"/>
          <w:sz w:val="24"/>
          <w:szCs w:val="24"/>
        </w:rPr>
        <w:br/>
        <w:t xml:space="preserve">The list of electives offered is not definitive. More options can be discussed. </w:t>
      </w:r>
      <w:r w:rsidRPr="00FA278B">
        <w:rPr>
          <w:rFonts w:ascii="Times New Roman" w:eastAsia="Times New Roman" w:hAnsi="Times New Roman" w:cs="Times New Roman"/>
          <w:sz w:val="24"/>
          <w:szCs w:val="24"/>
        </w:rPr>
        <w:br/>
        <w:t>If necessary, translators will be provided.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89"/>
        <w:gridCol w:w="4961"/>
      </w:tblGrid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integrated water  management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reform and regulatory tools, legislation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emerging trends in managing water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supply management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wastewater treatment technologies and effluent management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science of water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wastewater recycling and purification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water, sustainability and development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groundwater management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governance and policy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flow methodology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catchment and aquatic ecosystem health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in mining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building and community development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river restoration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planning and economics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water and climate change</w:t>
            </w:r>
          </w:p>
        </w:tc>
      </w:tr>
      <w:tr w:rsidR="00FA278B" w:rsidRPr="00FA278B" w:rsidTr="00FA2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 engagement and community development</w:t>
            </w:r>
          </w:p>
        </w:tc>
        <w:tc>
          <w:tcPr>
            <w:tcW w:w="0" w:type="auto"/>
            <w:vAlign w:val="center"/>
            <w:hideMark/>
          </w:tcPr>
          <w:p w:rsidR="00FA278B" w:rsidRPr="00FA278B" w:rsidRDefault="00FA278B" w:rsidP="00FA278B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78B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sanitation</w:t>
            </w:r>
          </w:p>
        </w:tc>
      </w:tr>
    </w:tbl>
    <w:p w:rsidR="00C7232A" w:rsidRDefault="00C7232A"/>
    <w:sectPr w:rsidR="00C7232A" w:rsidSect="00C72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123B0"/>
    <w:multiLevelType w:val="multilevel"/>
    <w:tmpl w:val="8E5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D1179"/>
    <w:multiLevelType w:val="multilevel"/>
    <w:tmpl w:val="008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44744"/>
    <w:multiLevelType w:val="multilevel"/>
    <w:tmpl w:val="653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152F8E"/>
    <w:multiLevelType w:val="multilevel"/>
    <w:tmpl w:val="35A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363999"/>
    <w:multiLevelType w:val="multilevel"/>
    <w:tmpl w:val="B42C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F751A2"/>
    <w:multiLevelType w:val="multilevel"/>
    <w:tmpl w:val="F40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02A46"/>
    <w:multiLevelType w:val="multilevel"/>
    <w:tmpl w:val="E71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E6A79"/>
    <w:multiLevelType w:val="multilevel"/>
    <w:tmpl w:val="CD2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3F3FA0"/>
    <w:multiLevelType w:val="multilevel"/>
    <w:tmpl w:val="47C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570A27"/>
    <w:multiLevelType w:val="multilevel"/>
    <w:tmpl w:val="6D9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306238"/>
    <w:multiLevelType w:val="multilevel"/>
    <w:tmpl w:val="AF3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857D29"/>
    <w:multiLevelType w:val="multilevel"/>
    <w:tmpl w:val="9DD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2051E6"/>
    <w:multiLevelType w:val="multilevel"/>
    <w:tmpl w:val="5A5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CE78A1"/>
    <w:multiLevelType w:val="multilevel"/>
    <w:tmpl w:val="F19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913051"/>
    <w:multiLevelType w:val="multilevel"/>
    <w:tmpl w:val="C50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EA60A6"/>
    <w:multiLevelType w:val="multilevel"/>
    <w:tmpl w:val="17D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0761FE"/>
    <w:multiLevelType w:val="multilevel"/>
    <w:tmpl w:val="110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2025F6"/>
    <w:multiLevelType w:val="multilevel"/>
    <w:tmpl w:val="F86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EA0177"/>
    <w:multiLevelType w:val="multilevel"/>
    <w:tmpl w:val="C20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7861AA"/>
    <w:multiLevelType w:val="multilevel"/>
    <w:tmpl w:val="F93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9D3C0E"/>
    <w:multiLevelType w:val="multilevel"/>
    <w:tmpl w:val="394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DE0477"/>
    <w:multiLevelType w:val="multilevel"/>
    <w:tmpl w:val="DA4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696DDE"/>
    <w:multiLevelType w:val="multilevel"/>
    <w:tmpl w:val="478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535BD2"/>
    <w:multiLevelType w:val="multilevel"/>
    <w:tmpl w:val="AB1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9C6403"/>
    <w:multiLevelType w:val="multilevel"/>
    <w:tmpl w:val="3C4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211F1C"/>
    <w:multiLevelType w:val="multilevel"/>
    <w:tmpl w:val="6B4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1D43D4"/>
    <w:multiLevelType w:val="multilevel"/>
    <w:tmpl w:val="BD9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E3633B"/>
    <w:multiLevelType w:val="multilevel"/>
    <w:tmpl w:val="1A0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E64B95"/>
    <w:multiLevelType w:val="multilevel"/>
    <w:tmpl w:val="B61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644FEB"/>
    <w:multiLevelType w:val="multilevel"/>
    <w:tmpl w:val="5DE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C812C3"/>
    <w:multiLevelType w:val="multilevel"/>
    <w:tmpl w:val="0D2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3660CA"/>
    <w:multiLevelType w:val="multilevel"/>
    <w:tmpl w:val="E87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D52179"/>
    <w:multiLevelType w:val="multilevel"/>
    <w:tmpl w:val="9E5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CD7D1D"/>
    <w:multiLevelType w:val="multilevel"/>
    <w:tmpl w:val="14C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32"/>
  </w:num>
  <w:num w:numId="4">
    <w:abstractNumId w:val="19"/>
  </w:num>
  <w:num w:numId="5">
    <w:abstractNumId w:val="18"/>
  </w:num>
  <w:num w:numId="6">
    <w:abstractNumId w:val="14"/>
  </w:num>
  <w:num w:numId="7">
    <w:abstractNumId w:val="2"/>
  </w:num>
  <w:num w:numId="8">
    <w:abstractNumId w:val="9"/>
  </w:num>
  <w:num w:numId="9">
    <w:abstractNumId w:val="20"/>
  </w:num>
  <w:num w:numId="10">
    <w:abstractNumId w:val="21"/>
  </w:num>
  <w:num w:numId="11">
    <w:abstractNumId w:val="27"/>
  </w:num>
  <w:num w:numId="12">
    <w:abstractNumId w:val="13"/>
  </w:num>
  <w:num w:numId="13">
    <w:abstractNumId w:val="16"/>
  </w:num>
  <w:num w:numId="14">
    <w:abstractNumId w:val="6"/>
  </w:num>
  <w:num w:numId="15">
    <w:abstractNumId w:val="15"/>
  </w:num>
  <w:num w:numId="16">
    <w:abstractNumId w:val="0"/>
  </w:num>
  <w:num w:numId="17">
    <w:abstractNumId w:val="25"/>
  </w:num>
  <w:num w:numId="18">
    <w:abstractNumId w:val="22"/>
  </w:num>
  <w:num w:numId="19">
    <w:abstractNumId w:val="17"/>
  </w:num>
  <w:num w:numId="20">
    <w:abstractNumId w:val="30"/>
  </w:num>
  <w:num w:numId="21">
    <w:abstractNumId w:val="3"/>
  </w:num>
  <w:num w:numId="22">
    <w:abstractNumId w:val="31"/>
  </w:num>
  <w:num w:numId="23">
    <w:abstractNumId w:val="26"/>
  </w:num>
  <w:num w:numId="24">
    <w:abstractNumId w:val="28"/>
  </w:num>
  <w:num w:numId="25">
    <w:abstractNumId w:val="7"/>
  </w:num>
  <w:num w:numId="26">
    <w:abstractNumId w:val="33"/>
  </w:num>
  <w:num w:numId="27">
    <w:abstractNumId w:val="5"/>
  </w:num>
  <w:num w:numId="28">
    <w:abstractNumId w:val="11"/>
  </w:num>
  <w:num w:numId="29">
    <w:abstractNumId w:val="8"/>
  </w:num>
  <w:num w:numId="30">
    <w:abstractNumId w:val="12"/>
  </w:num>
  <w:num w:numId="31">
    <w:abstractNumId w:val="24"/>
  </w:num>
  <w:num w:numId="32">
    <w:abstractNumId w:val="1"/>
  </w:num>
  <w:num w:numId="33">
    <w:abstractNumId w:val="4"/>
  </w:num>
  <w:num w:numId="3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278B"/>
    <w:rsid w:val="00C7232A"/>
    <w:rsid w:val="00FA2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32A"/>
  </w:style>
  <w:style w:type="paragraph" w:styleId="Heading1">
    <w:name w:val="heading 1"/>
    <w:basedOn w:val="Normal"/>
    <w:link w:val="Heading1Char"/>
    <w:uiPriority w:val="9"/>
    <w:qFormat/>
    <w:rsid w:val="00FA27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7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7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A2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7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2478</Characters>
  <Application>Microsoft Office Word</Application>
  <DocSecurity>0</DocSecurity>
  <Lines>20</Lines>
  <Paragraphs>5</Paragraphs>
  <ScaleCrop>false</ScaleCrop>
  <Company>africa</Company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option</dc:creator>
  <cp:keywords/>
  <dc:description/>
  <cp:lastModifiedBy>career option</cp:lastModifiedBy>
  <cp:revision>1</cp:revision>
  <dcterms:created xsi:type="dcterms:W3CDTF">2012-03-12T23:04:00Z</dcterms:created>
  <dcterms:modified xsi:type="dcterms:W3CDTF">2012-03-12T23:06:00Z</dcterms:modified>
</cp:coreProperties>
</file>