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707" w:rsidRDefault="00C55707" w:rsidP="00C55707">
      <w:pPr>
        <w:jc w:val="center"/>
        <w:rPr>
          <w:b/>
          <w:sz w:val="32"/>
          <w:szCs w:val="32"/>
          <w:u w:val="single"/>
        </w:rPr>
      </w:pPr>
      <w:r>
        <w:rPr>
          <w:b/>
          <w:sz w:val="32"/>
          <w:szCs w:val="32"/>
          <w:u w:val="single"/>
        </w:rPr>
        <w:t>CASE BRIEF</w:t>
      </w:r>
    </w:p>
    <w:p w:rsidR="00C55707" w:rsidRDefault="00C55707" w:rsidP="00C55707">
      <w:pPr>
        <w:jc w:val="center"/>
        <w:rPr>
          <w:b/>
          <w:u w:val="single"/>
        </w:rPr>
      </w:pPr>
      <w:r>
        <w:rPr>
          <w:b/>
          <w:u w:val="single"/>
        </w:rPr>
        <w:t>THE HIGH COURT AT NAIROBI</w:t>
      </w:r>
    </w:p>
    <w:p w:rsidR="00C55707" w:rsidRDefault="00C55707" w:rsidP="00C55707">
      <w:pPr>
        <w:jc w:val="center"/>
        <w:rPr>
          <w:b/>
          <w:u w:val="single"/>
        </w:rPr>
      </w:pPr>
      <w:r>
        <w:rPr>
          <w:b/>
          <w:u w:val="single"/>
        </w:rPr>
        <w:t>MILIMANI LAW COURTS</w:t>
      </w:r>
    </w:p>
    <w:p w:rsidR="00C55707" w:rsidRDefault="00C55707" w:rsidP="00C55707">
      <w:pPr>
        <w:jc w:val="center"/>
        <w:rPr>
          <w:b/>
          <w:u w:val="single"/>
        </w:rPr>
      </w:pPr>
      <w:r>
        <w:rPr>
          <w:b/>
          <w:u w:val="single"/>
        </w:rPr>
        <w:t>CONSTITUTIONAL AND HUMAN RIGHTS DIVISION</w:t>
      </w:r>
    </w:p>
    <w:p w:rsidR="00C55707" w:rsidRDefault="00C55707" w:rsidP="00C55707">
      <w:pPr>
        <w:jc w:val="center"/>
        <w:rPr>
          <w:b/>
          <w:u w:val="single"/>
        </w:rPr>
      </w:pPr>
      <w:r>
        <w:rPr>
          <w:b/>
          <w:u w:val="single"/>
        </w:rPr>
        <w:t xml:space="preserve">PETITION NO. 628 AND 630 OF 2014 </w:t>
      </w:r>
    </w:p>
    <w:p w:rsidR="00C55707" w:rsidRDefault="00C55707" w:rsidP="00C55707">
      <w:pPr>
        <w:jc w:val="center"/>
        <w:rPr>
          <w:b/>
          <w:u w:val="single"/>
        </w:rPr>
      </w:pPr>
      <w:r>
        <w:rPr>
          <w:b/>
          <w:u w:val="single"/>
        </w:rPr>
        <w:t>COALITION FOR REFORM AND DEMOCRACY-CORD &amp; 2 OTHERS vs. THE</w:t>
      </w:r>
    </w:p>
    <w:p w:rsidR="00C55707" w:rsidRDefault="00C55707" w:rsidP="00C55707">
      <w:pPr>
        <w:jc w:val="center"/>
        <w:rPr>
          <w:b/>
          <w:u w:val="single"/>
        </w:rPr>
      </w:pPr>
      <w:r>
        <w:rPr>
          <w:b/>
          <w:u w:val="single"/>
        </w:rPr>
        <w:t>ATTORNEY GENERAL &amp; ANOTHER</w:t>
      </w:r>
    </w:p>
    <w:p w:rsidR="00C55707" w:rsidRPr="00C55707" w:rsidRDefault="00236130" w:rsidP="00C55707">
      <w:pPr>
        <w:jc w:val="center"/>
        <w:rPr>
          <w:b/>
          <w:u w:val="single"/>
        </w:rPr>
      </w:pPr>
      <w:r>
        <w:rPr>
          <w:b/>
          <w:u w:val="single"/>
        </w:rPr>
        <w:t>RULING</w:t>
      </w:r>
      <w:r w:rsidR="00C55707">
        <w:rPr>
          <w:b/>
          <w:u w:val="single"/>
        </w:rPr>
        <w:t xml:space="preserve"> DELIVERED ON 2ND JANUARY 2015 BY JUSTICE G V ODUNGA</w:t>
      </w:r>
    </w:p>
    <w:p w:rsidR="00C55707" w:rsidRDefault="00C55707" w:rsidP="00C55707">
      <w:pPr>
        <w:rPr>
          <w:b/>
          <w:u w:val="single"/>
        </w:rPr>
      </w:pPr>
    </w:p>
    <w:p w:rsidR="00BB128B" w:rsidRPr="001F6EB2" w:rsidRDefault="00B3181C" w:rsidP="001F6EB2">
      <w:pPr>
        <w:spacing w:line="360" w:lineRule="auto"/>
        <w:rPr>
          <w:rFonts w:ascii="Times New Roman" w:hAnsi="Times New Roman" w:cs="Times New Roman"/>
          <w:sz w:val="24"/>
          <w:szCs w:val="24"/>
        </w:rPr>
      </w:pPr>
      <w:r w:rsidRPr="001F6EB2">
        <w:rPr>
          <w:rFonts w:ascii="Times New Roman" w:hAnsi="Times New Roman" w:cs="Times New Roman"/>
          <w:sz w:val="24"/>
          <w:szCs w:val="24"/>
        </w:rPr>
        <w:t xml:space="preserve">Following the enactment and the final assent of the </w:t>
      </w:r>
      <w:r w:rsidRPr="001F6EB2">
        <w:rPr>
          <w:rFonts w:ascii="Times New Roman" w:hAnsi="Times New Roman" w:cs="Times New Roman"/>
          <w:b/>
          <w:sz w:val="24"/>
          <w:szCs w:val="24"/>
        </w:rPr>
        <w:t>Security Laws (Amendment) Act, No. 19 of 2014</w:t>
      </w:r>
      <w:r w:rsidRPr="001F6EB2">
        <w:rPr>
          <w:rFonts w:ascii="Times New Roman" w:hAnsi="Times New Roman" w:cs="Times New Roman"/>
          <w:sz w:val="24"/>
          <w:szCs w:val="24"/>
        </w:rPr>
        <w:t>(hereinafter referred to as the Act) by the President, the 1</w:t>
      </w:r>
      <w:r w:rsidRPr="001F6EB2">
        <w:rPr>
          <w:rFonts w:ascii="Times New Roman" w:hAnsi="Times New Roman" w:cs="Times New Roman"/>
          <w:sz w:val="24"/>
          <w:szCs w:val="24"/>
          <w:vertAlign w:val="superscript"/>
        </w:rPr>
        <w:t>st</w:t>
      </w:r>
      <w:r w:rsidRPr="001F6EB2">
        <w:rPr>
          <w:rFonts w:ascii="Times New Roman" w:hAnsi="Times New Roman" w:cs="Times New Roman"/>
          <w:sz w:val="24"/>
          <w:szCs w:val="24"/>
        </w:rPr>
        <w:t xml:space="preserve"> Petitioner (hereinafter referred to as </w:t>
      </w:r>
      <w:r w:rsidRPr="001F6EB2">
        <w:rPr>
          <w:rFonts w:ascii="Times New Roman" w:hAnsi="Times New Roman" w:cs="Times New Roman"/>
          <w:b/>
          <w:sz w:val="24"/>
          <w:szCs w:val="24"/>
        </w:rPr>
        <w:t>CORD</w:t>
      </w:r>
      <w:r w:rsidRPr="001F6EB2">
        <w:rPr>
          <w:rFonts w:ascii="Times New Roman" w:hAnsi="Times New Roman" w:cs="Times New Roman"/>
          <w:sz w:val="24"/>
          <w:szCs w:val="24"/>
        </w:rPr>
        <w:t>) filed a petition in seeking to challenge the constitutionality of the Act. In their submissions the reasons for the petition was that some of the provisions of the Act</w:t>
      </w:r>
      <w:r w:rsidR="007F6064" w:rsidRPr="001F6EB2">
        <w:rPr>
          <w:rFonts w:ascii="Times New Roman" w:hAnsi="Times New Roman" w:cs="Times New Roman"/>
          <w:sz w:val="24"/>
          <w:szCs w:val="24"/>
        </w:rPr>
        <w:t xml:space="preserve"> substantially</w:t>
      </w:r>
      <w:r w:rsidRPr="001F6EB2">
        <w:rPr>
          <w:rFonts w:ascii="Times New Roman" w:hAnsi="Times New Roman" w:cs="Times New Roman"/>
          <w:sz w:val="24"/>
          <w:szCs w:val="24"/>
        </w:rPr>
        <w:t xml:space="preserve"> </w:t>
      </w:r>
      <w:r w:rsidR="007F6064" w:rsidRPr="001F6EB2">
        <w:rPr>
          <w:rFonts w:ascii="Times New Roman" w:hAnsi="Times New Roman" w:cs="Times New Roman"/>
          <w:sz w:val="24"/>
          <w:szCs w:val="24"/>
        </w:rPr>
        <w:t>amended other legislations touching on matters of grave concern such as national security, public participation and the Bill of Rights.</w:t>
      </w:r>
    </w:p>
    <w:p w:rsidR="002A1B89" w:rsidRPr="001F6EB2" w:rsidRDefault="007F6064" w:rsidP="001F6EB2">
      <w:pPr>
        <w:spacing w:line="360" w:lineRule="auto"/>
        <w:rPr>
          <w:rFonts w:ascii="Times New Roman" w:hAnsi="Times New Roman" w:cs="Times New Roman"/>
          <w:sz w:val="24"/>
          <w:szCs w:val="24"/>
        </w:rPr>
      </w:pPr>
      <w:r w:rsidRPr="001F6EB2">
        <w:rPr>
          <w:rFonts w:ascii="Times New Roman" w:hAnsi="Times New Roman" w:cs="Times New Roman"/>
          <w:sz w:val="24"/>
          <w:szCs w:val="24"/>
        </w:rPr>
        <w:t xml:space="preserve">CORD was of the view that the procedure used in coming up with the Act was flawed and improperly followed. The petitioner stated that the Bill was rushed through before the house oblivious of the right to public participation. There was little time for the </w:t>
      </w:r>
      <w:r w:rsidR="0075063F" w:rsidRPr="001F6EB2">
        <w:rPr>
          <w:rFonts w:ascii="Times New Roman" w:hAnsi="Times New Roman" w:cs="Times New Roman"/>
          <w:sz w:val="24"/>
          <w:szCs w:val="24"/>
        </w:rPr>
        <w:t>period of publication of the Bill thus the public was not given an opportunity to raise their concerns. This also deprived the right to freedom of speech and debate in deliberations of the Act in the National Assembly. Furthermore, the petitioner alleged that the conduct of proceedings breached the customs and traditions of Parliament was wanting as it erupted to chaos and the Speaker of the National Assembly failed to use his legislative powers and was subject to the demands of the Executive.</w:t>
      </w:r>
    </w:p>
    <w:p w:rsidR="007B744E" w:rsidRPr="001F6EB2" w:rsidRDefault="007B744E" w:rsidP="001F6EB2">
      <w:pPr>
        <w:spacing w:line="360" w:lineRule="auto"/>
        <w:rPr>
          <w:rFonts w:ascii="Times New Roman" w:hAnsi="Times New Roman" w:cs="Times New Roman"/>
          <w:sz w:val="24"/>
          <w:szCs w:val="24"/>
        </w:rPr>
      </w:pPr>
      <w:r w:rsidRPr="001F6EB2">
        <w:rPr>
          <w:rFonts w:ascii="Times New Roman" w:hAnsi="Times New Roman" w:cs="Times New Roman"/>
          <w:sz w:val="24"/>
          <w:szCs w:val="24"/>
        </w:rPr>
        <w:t>The 2</w:t>
      </w:r>
      <w:r w:rsidRPr="001F6EB2">
        <w:rPr>
          <w:rFonts w:ascii="Times New Roman" w:hAnsi="Times New Roman" w:cs="Times New Roman"/>
          <w:sz w:val="24"/>
          <w:szCs w:val="24"/>
          <w:vertAlign w:val="superscript"/>
        </w:rPr>
        <w:t>nd</w:t>
      </w:r>
      <w:r w:rsidRPr="001F6EB2">
        <w:rPr>
          <w:rFonts w:ascii="Times New Roman" w:hAnsi="Times New Roman" w:cs="Times New Roman"/>
          <w:sz w:val="24"/>
          <w:szCs w:val="24"/>
        </w:rPr>
        <w:t xml:space="preserve"> petitioner, Kenya National Commission on Human </w:t>
      </w:r>
      <w:r w:rsidR="001F6EB2" w:rsidRPr="001F6EB2">
        <w:rPr>
          <w:rFonts w:ascii="Times New Roman" w:hAnsi="Times New Roman" w:cs="Times New Roman"/>
          <w:sz w:val="24"/>
          <w:szCs w:val="24"/>
        </w:rPr>
        <w:t>Rights (</w:t>
      </w:r>
      <w:r w:rsidRPr="001F6EB2">
        <w:rPr>
          <w:rFonts w:ascii="Times New Roman" w:hAnsi="Times New Roman" w:cs="Times New Roman"/>
          <w:sz w:val="24"/>
          <w:szCs w:val="24"/>
        </w:rPr>
        <w:t>KNCHR) stated that the process of legislation of the Act</w:t>
      </w:r>
      <w:r w:rsidR="001F6EB2" w:rsidRPr="001F6EB2">
        <w:rPr>
          <w:rFonts w:ascii="Times New Roman" w:hAnsi="Times New Roman" w:cs="Times New Roman"/>
          <w:sz w:val="24"/>
          <w:szCs w:val="24"/>
        </w:rPr>
        <w:t xml:space="preserve"> was unconstitutional as it lacked legality and legitimacy especially since there was no involvement of public participation. The Commission identified 38 clauses that were contrary to the Bill of Rights.</w:t>
      </w:r>
    </w:p>
    <w:p w:rsidR="00857974" w:rsidRDefault="001F6EB2" w:rsidP="001F6EB2">
      <w:pPr>
        <w:spacing w:line="360" w:lineRule="auto"/>
        <w:rPr>
          <w:rFonts w:ascii="Times New Roman" w:hAnsi="Times New Roman" w:cs="Times New Roman"/>
          <w:sz w:val="24"/>
          <w:szCs w:val="24"/>
        </w:rPr>
      </w:pPr>
      <w:r w:rsidRPr="001F6EB2">
        <w:rPr>
          <w:rFonts w:ascii="Times New Roman" w:hAnsi="Times New Roman" w:cs="Times New Roman"/>
          <w:sz w:val="24"/>
          <w:szCs w:val="24"/>
        </w:rPr>
        <w:lastRenderedPageBreak/>
        <w:t>The respondents</w:t>
      </w:r>
      <w:r>
        <w:rPr>
          <w:rFonts w:ascii="Times New Roman" w:hAnsi="Times New Roman" w:cs="Times New Roman"/>
          <w:sz w:val="24"/>
          <w:szCs w:val="24"/>
        </w:rPr>
        <w:t xml:space="preserve"> submitted that </w:t>
      </w:r>
      <w:r w:rsidR="00B10E89">
        <w:rPr>
          <w:rFonts w:ascii="Times New Roman" w:hAnsi="Times New Roman" w:cs="Times New Roman"/>
          <w:sz w:val="24"/>
          <w:szCs w:val="24"/>
        </w:rPr>
        <w:t xml:space="preserve">proper procedure was duly followed in the enacting of the Act. They admitted the fact that although the Bill contained amendments to various statutes they were not extensive thus it met the threshold of a Statute (Miscellaneous Amendments) Act. </w:t>
      </w:r>
      <w:r w:rsidR="00857974">
        <w:rPr>
          <w:rFonts w:ascii="Times New Roman" w:hAnsi="Times New Roman" w:cs="Times New Roman"/>
          <w:sz w:val="24"/>
          <w:szCs w:val="24"/>
        </w:rPr>
        <w:t>It was also of the view that the petitioners failed to show the exact breach of its freedoms and rights leading to an abuse of the court process.</w:t>
      </w:r>
    </w:p>
    <w:p w:rsidR="001F6EB2" w:rsidRPr="001F6EB2" w:rsidRDefault="004434BE" w:rsidP="001F6EB2">
      <w:pPr>
        <w:spacing w:line="360" w:lineRule="auto"/>
        <w:rPr>
          <w:rFonts w:ascii="Times New Roman" w:hAnsi="Times New Roman" w:cs="Times New Roman"/>
          <w:sz w:val="24"/>
          <w:szCs w:val="24"/>
        </w:rPr>
      </w:pPr>
      <w:r>
        <w:rPr>
          <w:rFonts w:ascii="Times New Roman" w:hAnsi="Times New Roman" w:cs="Times New Roman"/>
          <w:sz w:val="24"/>
          <w:szCs w:val="24"/>
        </w:rPr>
        <w:t xml:space="preserve">For the interested parties, the </w:t>
      </w:r>
      <w:r w:rsidRPr="005537EA">
        <w:rPr>
          <w:rFonts w:ascii="Times New Roman" w:hAnsi="Times New Roman" w:cs="Times New Roman"/>
          <w:b/>
          <w:sz w:val="24"/>
          <w:szCs w:val="24"/>
        </w:rPr>
        <w:t>Director of Public Prosecution</w:t>
      </w:r>
      <w:r>
        <w:rPr>
          <w:rFonts w:ascii="Times New Roman" w:hAnsi="Times New Roman" w:cs="Times New Roman"/>
          <w:sz w:val="24"/>
          <w:szCs w:val="24"/>
        </w:rPr>
        <w:t xml:space="preserve"> stated that the Act was legally valid and the burden was on the petitioners to prove actual instances </w:t>
      </w:r>
      <w:r w:rsidR="0004248B">
        <w:rPr>
          <w:rFonts w:ascii="Times New Roman" w:hAnsi="Times New Roman" w:cs="Times New Roman"/>
          <w:sz w:val="24"/>
          <w:szCs w:val="24"/>
        </w:rPr>
        <w:t xml:space="preserve">of abuse by the provisions of the Act. In light of the security situation in country, he was of the position that it would be wrong to suspend the implementation of the Act. Moreover, </w:t>
      </w:r>
      <w:r w:rsidR="0004248B" w:rsidRPr="005537EA">
        <w:rPr>
          <w:rFonts w:ascii="Times New Roman" w:hAnsi="Times New Roman" w:cs="Times New Roman"/>
          <w:b/>
          <w:sz w:val="24"/>
          <w:szCs w:val="24"/>
        </w:rPr>
        <w:t>Jubilee</w:t>
      </w:r>
      <w:r w:rsidR="0004248B">
        <w:rPr>
          <w:rFonts w:ascii="Times New Roman" w:hAnsi="Times New Roman" w:cs="Times New Roman"/>
          <w:sz w:val="24"/>
          <w:szCs w:val="24"/>
        </w:rPr>
        <w:t xml:space="preserve"> were of the same view and opposed the petition stating that the matter should be heard by a 3 judge bench and that the application was bad in law and lacked merit.</w:t>
      </w:r>
    </w:p>
    <w:p w:rsidR="00E06D03" w:rsidRPr="001F6EB2" w:rsidRDefault="00E06D03" w:rsidP="001F6EB2">
      <w:pPr>
        <w:spacing w:line="360" w:lineRule="auto"/>
        <w:rPr>
          <w:rFonts w:ascii="Times New Roman" w:hAnsi="Times New Roman" w:cs="Times New Roman"/>
          <w:b/>
          <w:sz w:val="24"/>
          <w:szCs w:val="24"/>
          <w:u w:val="single"/>
        </w:rPr>
      </w:pPr>
      <w:r w:rsidRPr="001F6EB2">
        <w:rPr>
          <w:rFonts w:ascii="Times New Roman" w:hAnsi="Times New Roman" w:cs="Times New Roman"/>
          <w:b/>
          <w:sz w:val="24"/>
          <w:szCs w:val="24"/>
          <w:u w:val="single"/>
        </w:rPr>
        <w:t>ISSUES FOR DETERMINATION</w:t>
      </w:r>
    </w:p>
    <w:p w:rsidR="00E06D03" w:rsidRPr="001F6EB2" w:rsidRDefault="00E06D03" w:rsidP="001F6EB2">
      <w:pPr>
        <w:pStyle w:val="ListParagraph"/>
        <w:numPr>
          <w:ilvl w:val="0"/>
          <w:numId w:val="2"/>
        </w:numPr>
        <w:spacing w:after="330" w:line="360" w:lineRule="auto"/>
        <w:ind w:right="41"/>
        <w:jc w:val="both"/>
        <w:rPr>
          <w:rFonts w:ascii="Times New Roman" w:hAnsi="Times New Roman" w:cs="Times New Roman"/>
          <w:b/>
          <w:sz w:val="24"/>
          <w:szCs w:val="24"/>
        </w:rPr>
      </w:pPr>
      <w:r w:rsidRPr="001F6EB2">
        <w:rPr>
          <w:rFonts w:ascii="Times New Roman" w:hAnsi="Times New Roman" w:cs="Times New Roman"/>
          <w:sz w:val="24"/>
          <w:szCs w:val="24"/>
        </w:rPr>
        <w:t>Whether the court has jurisdiction to grant Conservatory Orders?</w:t>
      </w:r>
    </w:p>
    <w:p w:rsidR="00E06D03" w:rsidRPr="001F6EB2" w:rsidRDefault="00E06D03" w:rsidP="001F6EB2">
      <w:pPr>
        <w:pStyle w:val="ListParagraph"/>
        <w:numPr>
          <w:ilvl w:val="0"/>
          <w:numId w:val="2"/>
        </w:numPr>
        <w:spacing w:after="330" w:line="360" w:lineRule="auto"/>
        <w:ind w:right="41"/>
        <w:jc w:val="both"/>
        <w:rPr>
          <w:rFonts w:ascii="Times New Roman" w:hAnsi="Times New Roman" w:cs="Times New Roman"/>
          <w:b/>
          <w:sz w:val="24"/>
          <w:szCs w:val="24"/>
        </w:rPr>
      </w:pPr>
      <w:r w:rsidRPr="001F6EB2">
        <w:rPr>
          <w:rFonts w:ascii="Times New Roman" w:hAnsi="Times New Roman" w:cs="Times New Roman"/>
          <w:sz w:val="24"/>
          <w:szCs w:val="24"/>
        </w:rPr>
        <w:t>Whether Hon. Orengo, Hon. Kalonzo Musyoka, Hon. Wetangula and Hon. Wako ought to have appeared as legal counsels in the proceedings based on their positions as public officers?</w:t>
      </w:r>
    </w:p>
    <w:p w:rsidR="00E06D03" w:rsidRPr="001F6EB2" w:rsidRDefault="00E06D03" w:rsidP="001F6EB2">
      <w:pPr>
        <w:pStyle w:val="ListParagraph"/>
        <w:numPr>
          <w:ilvl w:val="0"/>
          <w:numId w:val="2"/>
        </w:numPr>
        <w:spacing w:after="330" w:line="360" w:lineRule="auto"/>
        <w:ind w:right="41"/>
        <w:jc w:val="both"/>
        <w:rPr>
          <w:rFonts w:ascii="Times New Roman" w:hAnsi="Times New Roman" w:cs="Times New Roman"/>
          <w:b/>
          <w:sz w:val="24"/>
          <w:szCs w:val="24"/>
        </w:rPr>
      </w:pPr>
      <w:r w:rsidRPr="001F6EB2">
        <w:rPr>
          <w:rFonts w:ascii="Times New Roman" w:hAnsi="Times New Roman" w:cs="Times New Roman"/>
          <w:sz w:val="24"/>
          <w:szCs w:val="24"/>
        </w:rPr>
        <w:t>Whether the court ought to disallow the petition on the ground that the Petitioners have opened two fronts of their battles against the Security Law (Amendment) Act 2014?</w:t>
      </w:r>
    </w:p>
    <w:p w:rsidR="00E06D03" w:rsidRPr="009D5C7D" w:rsidRDefault="00E06D03" w:rsidP="001F6EB2">
      <w:pPr>
        <w:pStyle w:val="ListParagraph"/>
        <w:numPr>
          <w:ilvl w:val="0"/>
          <w:numId w:val="2"/>
        </w:numPr>
        <w:spacing w:after="330" w:line="360" w:lineRule="auto"/>
        <w:ind w:right="41"/>
        <w:jc w:val="both"/>
        <w:rPr>
          <w:rFonts w:ascii="Times New Roman" w:hAnsi="Times New Roman" w:cs="Times New Roman"/>
          <w:b/>
          <w:sz w:val="24"/>
          <w:szCs w:val="24"/>
        </w:rPr>
      </w:pPr>
      <w:r w:rsidRPr="001F6EB2">
        <w:rPr>
          <w:rFonts w:ascii="Times New Roman" w:hAnsi="Times New Roman" w:cs="Times New Roman"/>
          <w:sz w:val="24"/>
          <w:szCs w:val="24"/>
        </w:rPr>
        <w:t>Whether the petition ought to be heard and determined by a bench of more than one judge?</w:t>
      </w:r>
    </w:p>
    <w:p w:rsidR="009D5C7D" w:rsidRPr="001F6EB2" w:rsidRDefault="009D5C7D" w:rsidP="00C55707">
      <w:pPr>
        <w:pStyle w:val="ListParagraph"/>
        <w:spacing w:after="330" w:line="360" w:lineRule="auto"/>
        <w:ind w:right="41"/>
        <w:jc w:val="both"/>
        <w:rPr>
          <w:rFonts w:ascii="Times New Roman" w:hAnsi="Times New Roman" w:cs="Times New Roman"/>
          <w:b/>
          <w:sz w:val="24"/>
          <w:szCs w:val="24"/>
        </w:rPr>
      </w:pPr>
    </w:p>
    <w:p w:rsidR="00555A78" w:rsidRPr="001F6EB2" w:rsidRDefault="00555A78" w:rsidP="001F6EB2">
      <w:pPr>
        <w:spacing w:line="360" w:lineRule="auto"/>
        <w:rPr>
          <w:rFonts w:ascii="Times New Roman" w:hAnsi="Times New Roman" w:cs="Times New Roman"/>
          <w:sz w:val="24"/>
          <w:szCs w:val="24"/>
        </w:rPr>
      </w:pPr>
      <w:r w:rsidRPr="001F6EB2">
        <w:rPr>
          <w:rFonts w:ascii="Times New Roman" w:hAnsi="Times New Roman" w:cs="Times New Roman"/>
          <w:sz w:val="24"/>
          <w:szCs w:val="24"/>
        </w:rPr>
        <w:t xml:space="preserve">In light of the above issues the court made the </w:t>
      </w:r>
      <w:r w:rsidRPr="001F6EB2">
        <w:rPr>
          <w:rFonts w:ascii="Times New Roman" w:hAnsi="Times New Roman" w:cs="Times New Roman"/>
          <w:b/>
          <w:sz w:val="24"/>
          <w:szCs w:val="24"/>
        </w:rPr>
        <w:t>following findings</w:t>
      </w:r>
      <w:r w:rsidRPr="001F6EB2">
        <w:rPr>
          <w:rFonts w:ascii="Times New Roman" w:hAnsi="Times New Roman" w:cs="Times New Roman"/>
          <w:sz w:val="24"/>
          <w:szCs w:val="24"/>
        </w:rPr>
        <w:t>: as follows;</w:t>
      </w:r>
    </w:p>
    <w:p w:rsidR="00555A78" w:rsidRPr="001F6EB2" w:rsidRDefault="00555A78" w:rsidP="001F6EB2">
      <w:pPr>
        <w:pStyle w:val="ListParagraph"/>
        <w:numPr>
          <w:ilvl w:val="0"/>
          <w:numId w:val="1"/>
        </w:numPr>
        <w:spacing w:line="360" w:lineRule="auto"/>
        <w:rPr>
          <w:rFonts w:ascii="Times New Roman" w:hAnsi="Times New Roman" w:cs="Times New Roman"/>
          <w:b/>
          <w:i/>
          <w:sz w:val="24"/>
          <w:szCs w:val="24"/>
        </w:rPr>
      </w:pPr>
      <w:r w:rsidRPr="001F6EB2">
        <w:rPr>
          <w:rFonts w:ascii="Times New Roman" w:hAnsi="Times New Roman" w:cs="Times New Roman"/>
          <w:b/>
          <w:i/>
          <w:sz w:val="24"/>
          <w:szCs w:val="24"/>
        </w:rPr>
        <w:t>On the question whether the Court has jurisdiction t</w:t>
      </w:r>
      <w:r w:rsidR="007B24D7" w:rsidRPr="001F6EB2">
        <w:rPr>
          <w:rFonts w:ascii="Times New Roman" w:hAnsi="Times New Roman" w:cs="Times New Roman"/>
          <w:b/>
          <w:i/>
          <w:sz w:val="24"/>
          <w:szCs w:val="24"/>
        </w:rPr>
        <w:t>o grant conservatory order</w:t>
      </w:r>
      <w:r w:rsidRPr="001F6EB2">
        <w:rPr>
          <w:rFonts w:ascii="Times New Roman" w:hAnsi="Times New Roman" w:cs="Times New Roman"/>
          <w:b/>
          <w:i/>
          <w:sz w:val="24"/>
          <w:szCs w:val="24"/>
        </w:rPr>
        <w:t>s, the Court found that:</w:t>
      </w:r>
    </w:p>
    <w:p w:rsidR="007B24D7" w:rsidRPr="001F6EB2" w:rsidRDefault="002A1B89" w:rsidP="001F6EB2">
      <w:pPr>
        <w:spacing w:line="360" w:lineRule="auto"/>
        <w:rPr>
          <w:rFonts w:ascii="Times New Roman" w:hAnsi="Times New Roman" w:cs="Times New Roman"/>
          <w:sz w:val="24"/>
          <w:szCs w:val="24"/>
        </w:rPr>
      </w:pPr>
      <w:r w:rsidRPr="001F6EB2">
        <w:rPr>
          <w:rFonts w:ascii="Times New Roman" w:hAnsi="Times New Roman" w:cs="Times New Roman"/>
          <w:sz w:val="24"/>
          <w:szCs w:val="24"/>
        </w:rPr>
        <w:t>The petition raised an issue of jurisdiction though not specifically. The issue was brought out by the effect that the court had no power to make conservatory orders where the constitutionality of legislation is under challenge. The learned judge</w:t>
      </w:r>
      <w:r w:rsidR="007B24D7" w:rsidRPr="001F6EB2">
        <w:rPr>
          <w:rFonts w:ascii="Times New Roman" w:hAnsi="Times New Roman" w:cs="Times New Roman"/>
          <w:sz w:val="24"/>
          <w:szCs w:val="24"/>
        </w:rPr>
        <w:t xml:space="preserve"> stated</w:t>
      </w:r>
      <w:r w:rsidRPr="001F6EB2">
        <w:rPr>
          <w:rFonts w:ascii="Times New Roman" w:hAnsi="Times New Roman" w:cs="Times New Roman"/>
          <w:sz w:val="24"/>
          <w:szCs w:val="24"/>
        </w:rPr>
        <w:t xml:space="preserve"> that the Court had jurisdiction to </w:t>
      </w:r>
      <w:r w:rsidR="007B24D7" w:rsidRPr="001F6EB2">
        <w:rPr>
          <w:rFonts w:ascii="Times New Roman" w:hAnsi="Times New Roman" w:cs="Times New Roman"/>
          <w:sz w:val="24"/>
          <w:szCs w:val="24"/>
        </w:rPr>
        <w:t xml:space="preserve">grant </w:t>
      </w:r>
      <w:r w:rsidR="007B24D7" w:rsidRPr="001F6EB2">
        <w:rPr>
          <w:rFonts w:ascii="Times New Roman" w:hAnsi="Times New Roman" w:cs="Times New Roman"/>
          <w:sz w:val="24"/>
          <w:szCs w:val="24"/>
        </w:rPr>
        <w:lastRenderedPageBreak/>
        <w:t xml:space="preserve">conservatory orders, as he relied on the case of </w:t>
      </w:r>
      <w:r w:rsidR="007B24D7" w:rsidRPr="001F6EB2">
        <w:rPr>
          <w:rFonts w:ascii="Times New Roman" w:hAnsi="Times New Roman" w:cs="Times New Roman"/>
          <w:b/>
          <w:sz w:val="24"/>
          <w:szCs w:val="24"/>
        </w:rPr>
        <w:t>Bishop Joseph Kimani &amp; Others vs Attorney General &amp; Others No. 669 of 2009</w:t>
      </w:r>
      <w:r w:rsidR="007B24D7" w:rsidRPr="001F6EB2">
        <w:rPr>
          <w:rFonts w:ascii="Times New Roman" w:hAnsi="Times New Roman" w:cs="Times New Roman"/>
          <w:sz w:val="24"/>
          <w:szCs w:val="24"/>
        </w:rPr>
        <w:t xml:space="preserve"> in which Ibrahim J pronounced himself as follows:</w:t>
      </w:r>
    </w:p>
    <w:p w:rsidR="002A1B89" w:rsidRPr="001F6EB2" w:rsidRDefault="007B24D7" w:rsidP="001F6EB2">
      <w:pPr>
        <w:spacing w:after="0" w:line="360" w:lineRule="auto"/>
        <w:rPr>
          <w:rFonts w:ascii="Times New Roman" w:hAnsi="Times New Roman" w:cs="Times New Roman"/>
          <w:b/>
          <w:i/>
          <w:sz w:val="24"/>
          <w:szCs w:val="24"/>
        </w:rPr>
      </w:pPr>
      <w:r w:rsidRPr="001F6EB2">
        <w:rPr>
          <w:rFonts w:ascii="Times New Roman" w:hAnsi="Times New Roman" w:cs="Times New Roman"/>
          <w:b/>
          <w:i/>
          <w:sz w:val="24"/>
          <w:szCs w:val="24"/>
        </w:rPr>
        <w:t xml:space="preserve">“It is a very serious legal and Constitutional step to suspend the operation of statutes and statutory provisions. The courts must wade with care, prudence and judicious wisdom. For the High Court to grant interim orders in this regard, I think one must at the interlocutory stage actually show that the operation of the legislative provision are a danger to life and limb at that very moment… Conservancy orders to suspend operation of statutes, statutory provisions or even Regulations should be wholly avoided except where the national interest demand and the situation is certain…I am still of the view that </w:t>
      </w:r>
      <w:r w:rsidRPr="001F6EB2">
        <w:rPr>
          <w:rFonts w:ascii="Times New Roman" w:hAnsi="Times New Roman" w:cs="Times New Roman"/>
          <w:b/>
          <w:i/>
          <w:sz w:val="24"/>
          <w:szCs w:val="24"/>
          <w:u w:val="single" w:color="000000"/>
        </w:rPr>
        <w:t>“there is no place for conservatory or interim order in petitions, which seek to nullify or declare legislation/statutes unconstitutional, null and void.</w:t>
      </w:r>
      <w:r w:rsidRPr="001F6EB2">
        <w:rPr>
          <w:rFonts w:ascii="Times New Roman" w:hAnsi="Times New Roman" w:cs="Times New Roman"/>
          <w:b/>
          <w:i/>
          <w:sz w:val="24"/>
          <w:szCs w:val="24"/>
        </w:rPr>
        <w:t>” It is even more premature at this stage where the application has not been heard or is not being heard to seek such conservatory orders. The applications must be heard first.”</w:t>
      </w:r>
    </w:p>
    <w:p w:rsidR="000975CC" w:rsidRPr="001F6EB2" w:rsidRDefault="0075063F" w:rsidP="001F6EB2">
      <w:pPr>
        <w:spacing w:line="360" w:lineRule="auto"/>
        <w:rPr>
          <w:rFonts w:ascii="Times New Roman" w:hAnsi="Times New Roman" w:cs="Times New Roman"/>
          <w:sz w:val="24"/>
          <w:szCs w:val="24"/>
        </w:rPr>
      </w:pPr>
      <w:r w:rsidRPr="001F6EB2">
        <w:rPr>
          <w:rFonts w:ascii="Times New Roman" w:hAnsi="Times New Roman" w:cs="Times New Roman"/>
          <w:sz w:val="24"/>
          <w:szCs w:val="24"/>
        </w:rPr>
        <w:t xml:space="preserve"> </w:t>
      </w:r>
      <w:r w:rsidR="000975CC" w:rsidRPr="001F6EB2">
        <w:rPr>
          <w:rFonts w:ascii="Times New Roman" w:hAnsi="Times New Roman" w:cs="Times New Roman"/>
          <w:sz w:val="24"/>
          <w:szCs w:val="24"/>
        </w:rPr>
        <w:t xml:space="preserve">Having established that the Court has jurisdiction to grant Conservatory Orders, G.V Odunga J. before issuing conservatory orders on various provisions of the Act took it upon him to investigate and establish the circumstances upon which a court can grant conservatory orders. Therefore, the first condition the applicants are required to establish is a </w:t>
      </w:r>
      <w:r w:rsidR="000975CC" w:rsidRPr="001F6EB2">
        <w:rPr>
          <w:rFonts w:ascii="Times New Roman" w:hAnsi="Times New Roman" w:cs="Times New Roman"/>
          <w:i/>
          <w:sz w:val="24"/>
          <w:szCs w:val="24"/>
        </w:rPr>
        <w:t>prima facie</w:t>
      </w:r>
      <w:r w:rsidR="000975CC" w:rsidRPr="001F6EB2">
        <w:rPr>
          <w:rFonts w:ascii="Times New Roman" w:hAnsi="Times New Roman" w:cs="Times New Roman"/>
          <w:sz w:val="24"/>
          <w:szCs w:val="24"/>
        </w:rPr>
        <w:t xml:space="preserve"> case with a likelihood of success. Accordingly, he listed the issues which the Appellants intent to canvass at the hearing which include: the process of enactment of the Bill; the issue whether or not a Bill concerns County Governments; the chaotic manner in which the bill was passed; whether the bill concerned county governments; absence of public participation before the passing of the bill and the effect of the enacted Bill.</w:t>
      </w:r>
    </w:p>
    <w:p w:rsidR="000975CC" w:rsidRPr="001F6EB2" w:rsidRDefault="000975CC" w:rsidP="001F6EB2">
      <w:pPr>
        <w:spacing w:line="360" w:lineRule="auto"/>
        <w:rPr>
          <w:rFonts w:ascii="Times New Roman" w:hAnsi="Times New Roman" w:cs="Times New Roman"/>
          <w:sz w:val="24"/>
          <w:szCs w:val="24"/>
        </w:rPr>
      </w:pPr>
      <w:r w:rsidRPr="001F6EB2">
        <w:rPr>
          <w:rFonts w:ascii="Times New Roman" w:hAnsi="Times New Roman" w:cs="Times New Roman"/>
          <w:sz w:val="24"/>
          <w:szCs w:val="24"/>
        </w:rPr>
        <w:t xml:space="preserve">The second limb for granting conservatory orders that; unless conservatory orders are granted, there is real danger which may be prejudicial to the parties. The learned analyzed the clauses of the Act on which conservatory orders were being sought. He established that Clauses </w:t>
      </w:r>
      <w:r w:rsidRPr="001F6EB2">
        <w:rPr>
          <w:rFonts w:ascii="Times New Roman" w:hAnsi="Times New Roman" w:cs="Times New Roman"/>
          <w:b/>
          <w:sz w:val="24"/>
          <w:szCs w:val="24"/>
        </w:rPr>
        <w:t>4, 5, 15, 25, 35 (a) &amp; (b) and 58</w:t>
      </w:r>
      <w:r w:rsidRPr="001F6EB2">
        <w:rPr>
          <w:rFonts w:ascii="Times New Roman" w:hAnsi="Times New Roman" w:cs="Times New Roman"/>
          <w:sz w:val="24"/>
          <w:szCs w:val="24"/>
        </w:rPr>
        <w:t xml:space="preserve"> of the Act show no imminent threat that could not await the hearing of the petition. Clauses </w:t>
      </w:r>
      <w:r w:rsidRPr="001F6EB2">
        <w:rPr>
          <w:rFonts w:ascii="Times New Roman" w:hAnsi="Times New Roman" w:cs="Times New Roman"/>
          <w:b/>
          <w:sz w:val="24"/>
          <w:szCs w:val="24"/>
        </w:rPr>
        <w:t>12, 16, 26, 29, 48, 56 and 64</w:t>
      </w:r>
      <w:r w:rsidRPr="001F6EB2">
        <w:rPr>
          <w:rFonts w:ascii="Times New Roman" w:hAnsi="Times New Roman" w:cs="Times New Roman"/>
          <w:sz w:val="24"/>
          <w:szCs w:val="24"/>
        </w:rPr>
        <w:t xml:space="preserve"> of the Act show an imminent danger that could be prejudicial to parties, thus, Conservatory orders on the same would be more probable.</w:t>
      </w:r>
    </w:p>
    <w:p w:rsidR="003708C5" w:rsidRPr="001F6EB2" w:rsidRDefault="000975CC" w:rsidP="001F6EB2">
      <w:pPr>
        <w:pStyle w:val="ListParagraph"/>
        <w:numPr>
          <w:ilvl w:val="0"/>
          <w:numId w:val="1"/>
        </w:numPr>
        <w:spacing w:line="360" w:lineRule="auto"/>
        <w:rPr>
          <w:rFonts w:ascii="Times New Roman" w:hAnsi="Times New Roman" w:cs="Times New Roman"/>
          <w:b/>
          <w:i/>
          <w:sz w:val="24"/>
          <w:szCs w:val="24"/>
        </w:rPr>
      </w:pPr>
      <w:r w:rsidRPr="001F6EB2">
        <w:rPr>
          <w:rFonts w:ascii="Times New Roman" w:hAnsi="Times New Roman" w:cs="Times New Roman"/>
          <w:b/>
          <w:i/>
          <w:sz w:val="24"/>
          <w:szCs w:val="24"/>
        </w:rPr>
        <w:lastRenderedPageBreak/>
        <w:t>On the q</w:t>
      </w:r>
      <w:r w:rsidR="003708C5" w:rsidRPr="001F6EB2">
        <w:rPr>
          <w:rFonts w:ascii="Times New Roman" w:hAnsi="Times New Roman" w:cs="Times New Roman"/>
          <w:b/>
          <w:sz w:val="24"/>
          <w:szCs w:val="24"/>
        </w:rPr>
        <w:t xml:space="preserve">uestion </w:t>
      </w:r>
      <w:r w:rsidR="003708C5" w:rsidRPr="001F6EB2">
        <w:rPr>
          <w:rFonts w:ascii="Times New Roman" w:hAnsi="Times New Roman" w:cs="Times New Roman"/>
          <w:b/>
          <w:i/>
          <w:sz w:val="24"/>
          <w:szCs w:val="24"/>
        </w:rPr>
        <w:t>whether Hon. Orengo, Hon. Kalonzo Musyoka, Hon. Wetangula and Hon. Wako ought to have appeared as legal counsels in the proceedings based on their positions as public officers</w:t>
      </w:r>
    </w:p>
    <w:p w:rsidR="003708C5" w:rsidRPr="001F6EB2" w:rsidRDefault="003708C5" w:rsidP="001F6EB2">
      <w:pPr>
        <w:spacing w:line="360" w:lineRule="auto"/>
        <w:rPr>
          <w:rFonts w:ascii="Times New Roman" w:hAnsi="Times New Roman" w:cs="Times New Roman"/>
          <w:sz w:val="24"/>
          <w:szCs w:val="24"/>
        </w:rPr>
      </w:pPr>
      <w:r w:rsidRPr="001F6EB2">
        <w:rPr>
          <w:rFonts w:ascii="Times New Roman" w:hAnsi="Times New Roman" w:cs="Times New Roman"/>
          <w:sz w:val="24"/>
          <w:szCs w:val="24"/>
        </w:rPr>
        <w:t>G.V Odunga J. declined to strike out the petition on the score that the said Members of Parliament had appeared as legal counsels in the proceedings. He argued that in the case, the petition was not drawn by any of the said Members of Parliament but by the firm of A T Oluoch &amp; Co. Advocates and the much the Court could do if the objection was valid would only be to bar the said Hon. Members of Parliament from participating in the proceedings but not to strike out the petition on grounds of incompetency.</w:t>
      </w:r>
    </w:p>
    <w:p w:rsidR="003708C5" w:rsidRPr="001F6EB2" w:rsidRDefault="003708C5" w:rsidP="001F6EB2">
      <w:pPr>
        <w:spacing w:after="0" w:line="360" w:lineRule="auto"/>
        <w:rPr>
          <w:rFonts w:ascii="Times New Roman" w:hAnsi="Times New Roman" w:cs="Times New Roman"/>
          <w:sz w:val="24"/>
          <w:szCs w:val="24"/>
        </w:rPr>
      </w:pPr>
      <w:r w:rsidRPr="001F6EB2">
        <w:rPr>
          <w:rFonts w:ascii="Times New Roman" w:hAnsi="Times New Roman" w:cs="Times New Roman"/>
          <w:sz w:val="24"/>
          <w:szCs w:val="24"/>
        </w:rPr>
        <w:t xml:space="preserve">He relied on the case of </w:t>
      </w:r>
      <w:r w:rsidRPr="001F6EB2">
        <w:rPr>
          <w:rFonts w:ascii="Times New Roman" w:hAnsi="Times New Roman" w:cs="Times New Roman"/>
          <w:b/>
          <w:sz w:val="24"/>
          <w:szCs w:val="24"/>
        </w:rPr>
        <w:t xml:space="preserve">John Okelo Nagafwa vs. The Independent Electorial &amp; Bounderies Commission &amp; 2 </w:t>
      </w:r>
      <w:r w:rsidR="00A2565A" w:rsidRPr="001F6EB2">
        <w:rPr>
          <w:rFonts w:ascii="Times New Roman" w:hAnsi="Times New Roman" w:cs="Times New Roman"/>
          <w:b/>
          <w:sz w:val="24"/>
          <w:szCs w:val="24"/>
        </w:rPr>
        <w:t>Others [</w:t>
      </w:r>
      <w:r w:rsidRPr="001F6EB2">
        <w:rPr>
          <w:rFonts w:ascii="Times New Roman" w:hAnsi="Times New Roman" w:cs="Times New Roman"/>
          <w:b/>
          <w:sz w:val="24"/>
          <w:szCs w:val="24"/>
        </w:rPr>
        <w:t>2013] eKLR</w:t>
      </w:r>
      <w:r w:rsidRPr="001F6EB2">
        <w:rPr>
          <w:rFonts w:ascii="Times New Roman" w:hAnsi="Times New Roman" w:cs="Times New Roman"/>
          <w:sz w:val="24"/>
          <w:szCs w:val="24"/>
        </w:rPr>
        <w:t xml:space="preserve"> </w:t>
      </w:r>
      <w:r w:rsidR="00A2565A" w:rsidRPr="001F6EB2">
        <w:rPr>
          <w:rFonts w:ascii="Times New Roman" w:hAnsi="Times New Roman" w:cs="Times New Roman"/>
          <w:sz w:val="24"/>
          <w:szCs w:val="24"/>
        </w:rPr>
        <w:t>where Tuiyott</w:t>
      </w:r>
      <w:r w:rsidRPr="001F6EB2">
        <w:rPr>
          <w:rFonts w:ascii="Times New Roman" w:hAnsi="Times New Roman" w:cs="Times New Roman"/>
          <w:sz w:val="24"/>
          <w:szCs w:val="24"/>
        </w:rPr>
        <w:t xml:space="preserve"> </w:t>
      </w:r>
      <w:r w:rsidR="00A2565A" w:rsidRPr="001F6EB2">
        <w:rPr>
          <w:rFonts w:ascii="Times New Roman" w:hAnsi="Times New Roman" w:cs="Times New Roman"/>
          <w:sz w:val="24"/>
          <w:szCs w:val="24"/>
        </w:rPr>
        <w:t>J pronounced</w:t>
      </w:r>
      <w:r w:rsidRPr="001F6EB2">
        <w:rPr>
          <w:rFonts w:ascii="Times New Roman" w:hAnsi="Times New Roman" w:cs="Times New Roman"/>
          <w:sz w:val="24"/>
          <w:szCs w:val="24"/>
        </w:rPr>
        <w:t xml:space="preserve"> himself as follows:</w:t>
      </w:r>
    </w:p>
    <w:p w:rsidR="003708C5" w:rsidRPr="001F6EB2" w:rsidRDefault="003708C5" w:rsidP="001F6EB2">
      <w:pPr>
        <w:spacing w:after="0" w:line="360" w:lineRule="auto"/>
        <w:rPr>
          <w:rFonts w:ascii="Times New Roman" w:hAnsi="Times New Roman" w:cs="Times New Roman"/>
          <w:b/>
          <w:i/>
          <w:sz w:val="24"/>
          <w:szCs w:val="24"/>
        </w:rPr>
      </w:pPr>
      <w:r w:rsidRPr="001F6EB2">
        <w:rPr>
          <w:rFonts w:ascii="Times New Roman" w:hAnsi="Times New Roman" w:cs="Times New Roman"/>
          <w:b/>
          <w:i/>
          <w:sz w:val="24"/>
          <w:szCs w:val="24"/>
        </w:rPr>
        <w:t xml:space="preserve">“…Evidently, the work of a Member of the Senate involves both Parliamentary and non-Parliamentary business. The work-hours for Parliamentary business are regulated by the Standing Orders of the House. This Court has looked up those Standing Orders and in particular Standing Order 30…It seems that even if a Member of Senate was to be involved in other business of the House (e.g. Committees), Parliamentary business may not engage a Member fully from Monday to Friday, 8.00a.m to 5.00p.m. In respect to non-Parliamentary business, this Court was unable to find any regulation governing the work-hours. The Petitioner has not persuaded this Court that Hon. Orengo has used up public time in preparing for and participating in this Election Petition. No evidence has been shown to this Court to demonstrate that Counsel’s conduct </w:t>
      </w:r>
      <w:r w:rsidRPr="001F6EB2">
        <w:rPr>
          <w:rFonts w:ascii="Times New Roman" w:hAnsi="Times New Roman" w:cs="Times New Roman"/>
          <w:b/>
          <w:i/>
          <w:sz w:val="24"/>
          <w:szCs w:val="24"/>
          <w:u w:val="single" w:color="000000"/>
        </w:rPr>
        <w:t>this far</w:t>
      </w:r>
      <w:r w:rsidRPr="001F6EB2">
        <w:rPr>
          <w:rFonts w:ascii="Times New Roman" w:hAnsi="Times New Roman" w:cs="Times New Roman"/>
          <w:b/>
          <w:i/>
          <w:sz w:val="24"/>
          <w:szCs w:val="24"/>
        </w:rPr>
        <w:t xml:space="preserve"> is inherently incompatible or fundamentally in conflict with his role as a Member of The Senate.”</w:t>
      </w:r>
    </w:p>
    <w:p w:rsidR="003708C5" w:rsidRPr="001F6EB2" w:rsidRDefault="003708C5" w:rsidP="001F6EB2">
      <w:pPr>
        <w:spacing w:after="0" w:line="360" w:lineRule="auto"/>
        <w:rPr>
          <w:rFonts w:ascii="Times New Roman" w:hAnsi="Times New Roman" w:cs="Times New Roman"/>
          <w:sz w:val="24"/>
          <w:szCs w:val="24"/>
        </w:rPr>
      </w:pPr>
      <w:r w:rsidRPr="001F6EB2">
        <w:rPr>
          <w:rFonts w:ascii="Times New Roman" w:hAnsi="Times New Roman" w:cs="Times New Roman"/>
          <w:sz w:val="24"/>
          <w:szCs w:val="24"/>
        </w:rPr>
        <w:t>The same position was applied to Hon. Sijeny and also the court determine</w:t>
      </w:r>
      <w:r w:rsidR="009B0185">
        <w:rPr>
          <w:rFonts w:ascii="Times New Roman" w:hAnsi="Times New Roman" w:cs="Times New Roman"/>
          <w:sz w:val="24"/>
          <w:szCs w:val="24"/>
        </w:rPr>
        <w:t>d</w:t>
      </w:r>
      <w:r w:rsidRPr="001F6EB2">
        <w:rPr>
          <w:rFonts w:ascii="Times New Roman" w:hAnsi="Times New Roman" w:cs="Times New Roman"/>
          <w:sz w:val="24"/>
          <w:szCs w:val="24"/>
        </w:rPr>
        <w:t xml:space="preserve"> that it was not aware of any public office held by Hon. Kalonzo Musyoka</w:t>
      </w:r>
      <w:r w:rsidR="00DD693B" w:rsidRPr="001F6EB2">
        <w:rPr>
          <w:rFonts w:ascii="Times New Roman" w:hAnsi="Times New Roman" w:cs="Times New Roman"/>
          <w:sz w:val="24"/>
          <w:szCs w:val="24"/>
        </w:rPr>
        <w:t>.</w:t>
      </w:r>
    </w:p>
    <w:p w:rsidR="00DD693B" w:rsidRPr="001F6EB2" w:rsidRDefault="00DD693B" w:rsidP="001F6EB2">
      <w:pPr>
        <w:spacing w:after="0" w:line="360" w:lineRule="auto"/>
        <w:rPr>
          <w:rFonts w:ascii="Times New Roman" w:hAnsi="Times New Roman" w:cs="Times New Roman"/>
          <w:sz w:val="24"/>
          <w:szCs w:val="24"/>
        </w:rPr>
      </w:pPr>
    </w:p>
    <w:p w:rsidR="00DD693B" w:rsidRPr="001F6EB2" w:rsidRDefault="00DD693B" w:rsidP="001F6EB2">
      <w:pPr>
        <w:pStyle w:val="ListParagraph"/>
        <w:numPr>
          <w:ilvl w:val="0"/>
          <w:numId w:val="1"/>
        </w:numPr>
        <w:spacing w:line="360" w:lineRule="auto"/>
        <w:rPr>
          <w:rFonts w:ascii="Times New Roman" w:hAnsi="Times New Roman" w:cs="Times New Roman"/>
          <w:b/>
          <w:sz w:val="24"/>
          <w:szCs w:val="24"/>
        </w:rPr>
      </w:pPr>
      <w:r w:rsidRPr="001F6EB2">
        <w:rPr>
          <w:rFonts w:ascii="Times New Roman" w:hAnsi="Times New Roman" w:cs="Times New Roman"/>
          <w:b/>
          <w:sz w:val="24"/>
          <w:szCs w:val="24"/>
        </w:rPr>
        <w:t>On the question whether the court ought to disallow the petition on the ground that the petitioners have opened two fronts of their battles against the Act</w:t>
      </w:r>
    </w:p>
    <w:p w:rsidR="00DD693B" w:rsidRPr="001F6EB2" w:rsidRDefault="00DD693B" w:rsidP="001F6EB2">
      <w:pPr>
        <w:pStyle w:val="ListParagraph"/>
        <w:spacing w:after="0" w:line="360" w:lineRule="auto"/>
        <w:rPr>
          <w:rFonts w:ascii="Times New Roman" w:hAnsi="Times New Roman" w:cs="Times New Roman"/>
          <w:b/>
          <w:sz w:val="24"/>
          <w:szCs w:val="24"/>
        </w:rPr>
      </w:pPr>
    </w:p>
    <w:p w:rsidR="00DD693B" w:rsidRPr="001F6EB2" w:rsidRDefault="00DD693B" w:rsidP="001F6EB2">
      <w:pPr>
        <w:spacing w:line="360" w:lineRule="auto"/>
        <w:rPr>
          <w:rFonts w:ascii="Times New Roman" w:hAnsi="Times New Roman" w:cs="Times New Roman"/>
          <w:sz w:val="24"/>
          <w:szCs w:val="24"/>
        </w:rPr>
      </w:pPr>
      <w:r w:rsidRPr="001F6EB2">
        <w:rPr>
          <w:rFonts w:ascii="Times New Roman" w:hAnsi="Times New Roman" w:cs="Times New Roman"/>
          <w:sz w:val="24"/>
          <w:szCs w:val="24"/>
        </w:rPr>
        <w:t>G.V Odunga J. observed that it would be unjust to throw out the whole case on the basis of an alleged abuse of the legal process by the 1</w:t>
      </w:r>
      <w:r w:rsidRPr="001F6EB2">
        <w:rPr>
          <w:rFonts w:ascii="Times New Roman" w:hAnsi="Times New Roman" w:cs="Times New Roman"/>
          <w:sz w:val="24"/>
          <w:szCs w:val="24"/>
          <w:vertAlign w:val="superscript"/>
        </w:rPr>
        <w:t>st</w:t>
      </w:r>
      <w:r w:rsidRPr="001F6EB2">
        <w:rPr>
          <w:rFonts w:ascii="Times New Roman" w:hAnsi="Times New Roman" w:cs="Times New Roman"/>
          <w:sz w:val="24"/>
          <w:szCs w:val="24"/>
        </w:rPr>
        <w:t xml:space="preserve"> Petitioner. He stated that by the fact that the Act was </w:t>
      </w:r>
      <w:r w:rsidRPr="001F6EB2">
        <w:rPr>
          <w:rFonts w:ascii="Times New Roman" w:hAnsi="Times New Roman" w:cs="Times New Roman"/>
          <w:sz w:val="24"/>
          <w:szCs w:val="24"/>
        </w:rPr>
        <w:lastRenderedPageBreak/>
        <w:t>being challenged before the Court and before the Senate, it was not shown that the 2</w:t>
      </w:r>
      <w:r w:rsidRPr="001F6EB2">
        <w:rPr>
          <w:rFonts w:ascii="Times New Roman" w:hAnsi="Times New Roman" w:cs="Times New Roman"/>
          <w:sz w:val="24"/>
          <w:szCs w:val="24"/>
          <w:vertAlign w:val="superscript"/>
        </w:rPr>
        <w:t>nd</w:t>
      </w:r>
      <w:r w:rsidRPr="001F6EB2">
        <w:rPr>
          <w:rFonts w:ascii="Times New Roman" w:hAnsi="Times New Roman" w:cs="Times New Roman"/>
          <w:sz w:val="24"/>
          <w:szCs w:val="24"/>
        </w:rPr>
        <w:t xml:space="preserve"> Petitioner had challenged the Act before the Senate.</w:t>
      </w:r>
    </w:p>
    <w:p w:rsidR="00DD693B" w:rsidRPr="001F6EB2" w:rsidRDefault="00DD693B" w:rsidP="001F6EB2">
      <w:pPr>
        <w:spacing w:line="360" w:lineRule="auto"/>
        <w:rPr>
          <w:rFonts w:ascii="Times New Roman" w:hAnsi="Times New Roman" w:cs="Times New Roman"/>
          <w:sz w:val="24"/>
          <w:szCs w:val="24"/>
        </w:rPr>
      </w:pPr>
      <w:r w:rsidRPr="001F6EB2">
        <w:rPr>
          <w:rFonts w:ascii="Times New Roman" w:hAnsi="Times New Roman" w:cs="Times New Roman"/>
          <w:sz w:val="24"/>
          <w:szCs w:val="24"/>
        </w:rPr>
        <w:t>The Judge relied on Article 165(3</w:t>
      </w:r>
      <w:r w:rsidR="00A2565A" w:rsidRPr="001F6EB2">
        <w:rPr>
          <w:rFonts w:ascii="Times New Roman" w:hAnsi="Times New Roman" w:cs="Times New Roman"/>
          <w:sz w:val="24"/>
          <w:szCs w:val="24"/>
        </w:rPr>
        <w:t>) (</w:t>
      </w:r>
      <w:r w:rsidRPr="001F6EB2">
        <w:rPr>
          <w:rFonts w:ascii="Times New Roman" w:hAnsi="Times New Roman" w:cs="Times New Roman"/>
          <w:sz w:val="24"/>
          <w:szCs w:val="24"/>
        </w:rPr>
        <w:t>d</w:t>
      </w:r>
      <w:r w:rsidR="00A2565A" w:rsidRPr="001F6EB2">
        <w:rPr>
          <w:rFonts w:ascii="Times New Roman" w:hAnsi="Times New Roman" w:cs="Times New Roman"/>
          <w:sz w:val="24"/>
          <w:szCs w:val="24"/>
        </w:rPr>
        <w:t>) (</w:t>
      </w:r>
      <w:r w:rsidRPr="001F6EB2">
        <w:rPr>
          <w:rFonts w:ascii="Times New Roman" w:hAnsi="Times New Roman" w:cs="Times New Roman"/>
          <w:sz w:val="24"/>
          <w:szCs w:val="24"/>
        </w:rPr>
        <w:t xml:space="preserve">ii) of the Constitution which donates to </w:t>
      </w:r>
      <w:r w:rsidR="00A2565A" w:rsidRPr="001F6EB2">
        <w:rPr>
          <w:rFonts w:ascii="Times New Roman" w:hAnsi="Times New Roman" w:cs="Times New Roman"/>
          <w:sz w:val="24"/>
          <w:szCs w:val="24"/>
        </w:rPr>
        <w:t>the High</w:t>
      </w:r>
      <w:r w:rsidRPr="001F6EB2">
        <w:rPr>
          <w:rFonts w:ascii="Times New Roman" w:hAnsi="Times New Roman" w:cs="Times New Roman"/>
          <w:sz w:val="24"/>
          <w:szCs w:val="24"/>
        </w:rPr>
        <w:t xml:space="preserve"> Court the jurisdiction to hear any question respecting the interpretation of the Constitution including the determination of the question whether anything said to be done under the authority of the Constitution or of any law is inconsistent with, or in contravention of, the Constitution. He reiterated that whereas the court is mindful of the principle that the Legislature has the power to legislate and judges shall give deference to those words by keeping the balances and proportionality, in the context of fast progressing issues of human rights which have given birth to the enshrinement of fundamental rights in the Constitution, the Constitution should not represent a mere body or skeleton without a soul or spirit of its own.</w:t>
      </w:r>
    </w:p>
    <w:p w:rsidR="00E06D03" w:rsidRPr="001F6EB2" w:rsidRDefault="00E06D03" w:rsidP="001F6EB2">
      <w:pPr>
        <w:pStyle w:val="ListParagraph"/>
        <w:numPr>
          <w:ilvl w:val="0"/>
          <w:numId w:val="1"/>
        </w:numPr>
        <w:spacing w:line="360" w:lineRule="auto"/>
        <w:rPr>
          <w:rFonts w:ascii="Times New Roman" w:hAnsi="Times New Roman" w:cs="Times New Roman"/>
          <w:b/>
          <w:sz w:val="24"/>
          <w:szCs w:val="24"/>
        </w:rPr>
      </w:pPr>
      <w:r w:rsidRPr="001F6EB2">
        <w:rPr>
          <w:rFonts w:ascii="Times New Roman" w:hAnsi="Times New Roman" w:cs="Times New Roman"/>
          <w:b/>
          <w:sz w:val="24"/>
          <w:szCs w:val="24"/>
        </w:rPr>
        <w:t>On the question whether the petition ought to be heard and determined by a bench of more than one judge</w:t>
      </w:r>
    </w:p>
    <w:p w:rsidR="00E06D03" w:rsidRPr="001F6EB2" w:rsidRDefault="00E06D03" w:rsidP="001F6EB2">
      <w:pPr>
        <w:spacing w:line="360" w:lineRule="auto"/>
        <w:rPr>
          <w:rFonts w:ascii="Times New Roman" w:hAnsi="Times New Roman" w:cs="Times New Roman"/>
          <w:b/>
          <w:sz w:val="24"/>
          <w:szCs w:val="24"/>
        </w:rPr>
      </w:pPr>
      <w:r w:rsidRPr="001F6EB2">
        <w:rPr>
          <w:rFonts w:ascii="Times New Roman" w:hAnsi="Times New Roman" w:cs="Times New Roman"/>
          <w:sz w:val="24"/>
          <w:szCs w:val="24"/>
        </w:rPr>
        <w:t xml:space="preserve">G.V Odunga J. directed that the Petition be transmitted to the Chief Justice for purposes of empanelling an uneven bench of not less than three judges to hear the Petition having established that the Petition raises substantial questions of law. </w:t>
      </w:r>
    </w:p>
    <w:p w:rsidR="00E06D03" w:rsidRPr="001F6EB2" w:rsidRDefault="00E06D03" w:rsidP="001F6EB2">
      <w:pPr>
        <w:spacing w:after="0" w:line="360" w:lineRule="auto"/>
        <w:rPr>
          <w:rFonts w:ascii="Times New Roman" w:hAnsi="Times New Roman" w:cs="Times New Roman"/>
          <w:sz w:val="24"/>
          <w:szCs w:val="24"/>
        </w:rPr>
      </w:pPr>
      <w:r w:rsidRPr="001F6EB2">
        <w:rPr>
          <w:rFonts w:ascii="Times New Roman" w:hAnsi="Times New Roman" w:cs="Times New Roman"/>
          <w:sz w:val="24"/>
          <w:szCs w:val="24"/>
        </w:rPr>
        <w:t xml:space="preserve">The Judge was guided by the provisions of Article 165(4) of the Constitution which provides that any matter certified by the court as raising a substantial question of law shall be heard by an uneven number of judges, being not less than three, assigned by the Chief Justice. He further relied on the case of </w:t>
      </w:r>
      <w:r w:rsidRPr="001F6EB2">
        <w:rPr>
          <w:rFonts w:ascii="Times New Roman" w:hAnsi="Times New Roman" w:cs="Times New Roman"/>
          <w:b/>
          <w:sz w:val="24"/>
          <w:szCs w:val="24"/>
        </w:rPr>
        <w:t xml:space="preserve">Chunilal V. Mehta vs Century Spinning and Manufacturing Co. AIR 1962 SC 1314 </w:t>
      </w:r>
      <w:r w:rsidRPr="001F6EB2">
        <w:rPr>
          <w:rFonts w:ascii="Times New Roman" w:hAnsi="Times New Roman" w:cs="Times New Roman"/>
          <w:sz w:val="24"/>
          <w:szCs w:val="24"/>
        </w:rPr>
        <w:t>where the court held:</w:t>
      </w:r>
    </w:p>
    <w:p w:rsidR="00E06D03" w:rsidRPr="001F6EB2" w:rsidRDefault="00E06D03" w:rsidP="001F6EB2">
      <w:pPr>
        <w:spacing w:after="0" w:line="360" w:lineRule="auto"/>
        <w:rPr>
          <w:rFonts w:ascii="Times New Roman" w:hAnsi="Times New Roman" w:cs="Times New Roman"/>
          <w:sz w:val="24"/>
          <w:szCs w:val="24"/>
        </w:rPr>
      </w:pPr>
      <w:r w:rsidRPr="001F6EB2">
        <w:rPr>
          <w:rFonts w:ascii="Times New Roman" w:hAnsi="Times New Roman" w:cs="Times New Roman"/>
          <w:b/>
          <w:sz w:val="24"/>
          <w:szCs w:val="24"/>
        </w:rPr>
        <w:t xml:space="preserve">“a substantial question of law is one which is of general public importance or which directly and substantially affects the rights of the parties and which have not been finally settled by the Supreme Court, the Privy Council or the Federal Court or which is not free from difficulty or which calls for discussion of alternative views. </w:t>
      </w:r>
    </w:p>
    <w:p w:rsidR="008A597F" w:rsidRDefault="008A597F" w:rsidP="001F6EB2">
      <w:pPr>
        <w:spacing w:line="360" w:lineRule="auto"/>
        <w:rPr>
          <w:rFonts w:ascii="Times New Roman" w:hAnsi="Times New Roman" w:cs="Times New Roman"/>
          <w:b/>
          <w:sz w:val="24"/>
          <w:szCs w:val="24"/>
        </w:rPr>
      </w:pPr>
    </w:p>
    <w:p w:rsidR="00A2565A" w:rsidRDefault="00A2565A" w:rsidP="001F6EB2">
      <w:pPr>
        <w:spacing w:line="360" w:lineRule="auto"/>
        <w:rPr>
          <w:rFonts w:ascii="Times New Roman" w:hAnsi="Times New Roman" w:cs="Times New Roman"/>
          <w:b/>
          <w:sz w:val="24"/>
          <w:szCs w:val="24"/>
          <w:u w:val="single"/>
        </w:rPr>
      </w:pPr>
    </w:p>
    <w:p w:rsidR="00A2565A" w:rsidRDefault="00A2565A" w:rsidP="001F6EB2">
      <w:pPr>
        <w:spacing w:line="360" w:lineRule="auto"/>
        <w:rPr>
          <w:rFonts w:ascii="Times New Roman" w:hAnsi="Times New Roman" w:cs="Times New Roman"/>
          <w:b/>
          <w:sz w:val="24"/>
          <w:szCs w:val="24"/>
          <w:u w:val="single"/>
        </w:rPr>
      </w:pPr>
    </w:p>
    <w:p w:rsidR="008A597F" w:rsidRDefault="008A597F" w:rsidP="001F6EB2">
      <w:pPr>
        <w:spacing w:line="360" w:lineRule="auto"/>
        <w:rPr>
          <w:rFonts w:ascii="Times New Roman" w:hAnsi="Times New Roman" w:cs="Times New Roman"/>
          <w:b/>
          <w:sz w:val="24"/>
          <w:szCs w:val="24"/>
          <w:u w:val="single"/>
        </w:rPr>
      </w:pPr>
      <w:r w:rsidRPr="008A597F">
        <w:rPr>
          <w:rFonts w:ascii="Times New Roman" w:hAnsi="Times New Roman" w:cs="Times New Roman"/>
          <w:b/>
          <w:sz w:val="24"/>
          <w:szCs w:val="24"/>
          <w:u w:val="single"/>
        </w:rPr>
        <w:lastRenderedPageBreak/>
        <w:t>CONCLUSION</w:t>
      </w:r>
    </w:p>
    <w:p w:rsidR="008A597F" w:rsidRDefault="008A597F" w:rsidP="001F6EB2">
      <w:pPr>
        <w:spacing w:line="360" w:lineRule="auto"/>
        <w:rPr>
          <w:rFonts w:ascii="Times New Roman" w:hAnsi="Times New Roman" w:cs="Times New Roman"/>
          <w:sz w:val="24"/>
          <w:szCs w:val="24"/>
        </w:rPr>
      </w:pPr>
      <w:r>
        <w:rPr>
          <w:rFonts w:ascii="Times New Roman" w:hAnsi="Times New Roman" w:cs="Times New Roman"/>
          <w:sz w:val="24"/>
          <w:szCs w:val="24"/>
        </w:rPr>
        <w:t>On the matter of jurisdiction, the court</w:t>
      </w:r>
      <w:r w:rsidR="00C72531">
        <w:rPr>
          <w:rFonts w:ascii="Times New Roman" w:hAnsi="Times New Roman" w:cs="Times New Roman"/>
          <w:sz w:val="24"/>
          <w:szCs w:val="24"/>
        </w:rPr>
        <w:t xml:space="preserve"> was correct in concisely stating</w:t>
      </w:r>
      <w:r>
        <w:rPr>
          <w:rFonts w:ascii="Times New Roman" w:hAnsi="Times New Roman" w:cs="Times New Roman"/>
          <w:sz w:val="24"/>
          <w:szCs w:val="24"/>
        </w:rPr>
        <w:t xml:space="preserve"> that it had jurisdiction to hear and determine the petition. Though it had not been alluded to by any of the parties, the court had the duty of defining jurisdiction as without it had no </w:t>
      </w:r>
      <w:r w:rsidR="00C72531">
        <w:rPr>
          <w:rFonts w:ascii="Times New Roman" w:hAnsi="Times New Roman" w:cs="Times New Roman"/>
          <w:sz w:val="24"/>
          <w:szCs w:val="24"/>
        </w:rPr>
        <w:t>option but to lay down its tools. By doing so it showed the transparency of the judicial system by protecting the interests of the parties and the general public in providing access to justice.</w:t>
      </w:r>
    </w:p>
    <w:p w:rsidR="00C72531" w:rsidRDefault="00C72531" w:rsidP="001F6EB2">
      <w:pPr>
        <w:spacing w:line="360" w:lineRule="auto"/>
        <w:rPr>
          <w:rFonts w:ascii="Times New Roman" w:hAnsi="Times New Roman" w:cs="Times New Roman"/>
          <w:sz w:val="24"/>
          <w:szCs w:val="24"/>
        </w:rPr>
      </w:pPr>
      <w:r>
        <w:rPr>
          <w:rFonts w:ascii="Times New Roman" w:hAnsi="Times New Roman" w:cs="Times New Roman"/>
          <w:sz w:val="24"/>
          <w:szCs w:val="24"/>
        </w:rPr>
        <w:t xml:space="preserve">In enacting the Act, the time allocated for public participation during the publication of the law was short and inadequate as it prevented effective response from the public. There was also little time accorded to the various departmental committees tasked with harmonizing the proposals </w:t>
      </w:r>
      <w:r w:rsidR="00223FBD">
        <w:rPr>
          <w:rFonts w:ascii="Times New Roman" w:hAnsi="Times New Roman" w:cs="Times New Roman"/>
          <w:sz w:val="24"/>
          <w:szCs w:val="24"/>
        </w:rPr>
        <w:t>on amendments of various clauses.</w:t>
      </w:r>
      <w:r w:rsidR="00FB0FBD">
        <w:rPr>
          <w:rFonts w:ascii="Times New Roman" w:hAnsi="Times New Roman" w:cs="Times New Roman"/>
          <w:sz w:val="24"/>
          <w:szCs w:val="24"/>
        </w:rPr>
        <w:t xml:space="preserve"> In determination of the Bill in Parliament the proceedings were held into late hours of the night so it failed to uphold the right of public participation.</w:t>
      </w:r>
    </w:p>
    <w:p w:rsidR="009B0185" w:rsidRDefault="00223FBD" w:rsidP="001F6EB2">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provisions of the Act made substantive amendments to other legislations and as such infringed on various fundamental rights contained in the Bill of Rights. Furthermore a referendum should have been conducted as is prescribed by the Constitution. It was stated that the amendments were minor in nature thus it was limited to public scrutiny and lengthy procedures  as per Article 104 of the Constitution read together with </w:t>
      </w:r>
      <w:r w:rsidR="009B0185">
        <w:rPr>
          <w:rFonts w:ascii="Times New Roman" w:hAnsi="Times New Roman" w:cs="Times New Roman"/>
          <w:sz w:val="24"/>
          <w:szCs w:val="24"/>
        </w:rPr>
        <w:t>Standing Order 122 of</w:t>
      </w:r>
      <w:r w:rsidR="00FB0FBD">
        <w:rPr>
          <w:rFonts w:ascii="Times New Roman" w:hAnsi="Times New Roman" w:cs="Times New Roman"/>
          <w:sz w:val="24"/>
          <w:szCs w:val="24"/>
        </w:rPr>
        <w:t xml:space="preserve"> the National Assembly.</w:t>
      </w:r>
    </w:p>
    <w:p w:rsidR="00223FBD" w:rsidRPr="008A597F" w:rsidRDefault="009B0185" w:rsidP="001F6EB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7F6064" w:rsidRPr="001F6EB2" w:rsidRDefault="007F6064" w:rsidP="001F6EB2">
      <w:pPr>
        <w:pStyle w:val="ListParagraph"/>
        <w:spacing w:line="360" w:lineRule="auto"/>
        <w:rPr>
          <w:rFonts w:ascii="Times New Roman" w:hAnsi="Times New Roman" w:cs="Times New Roman"/>
          <w:b/>
          <w:i/>
          <w:sz w:val="24"/>
          <w:szCs w:val="24"/>
        </w:rPr>
      </w:pPr>
    </w:p>
    <w:sectPr w:rsidR="007F6064" w:rsidRPr="001F6EB2" w:rsidSect="00BB128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39333C"/>
    <w:multiLevelType w:val="hybridMultilevel"/>
    <w:tmpl w:val="0B981496"/>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2FEA5132"/>
    <w:multiLevelType w:val="hybridMultilevel"/>
    <w:tmpl w:val="02B4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3181C"/>
    <w:rsid w:val="0004248B"/>
    <w:rsid w:val="000975CC"/>
    <w:rsid w:val="001F6EB2"/>
    <w:rsid w:val="00223FBD"/>
    <w:rsid w:val="00236130"/>
    <w:rsid w:val="002A1B89"/>
    <w:rsid w:val="003708C5"/>
    <w:rsid w:val="004434BE"/>
    <w:rsid w:val="005537EA"/>
    <w:rsid w:val="00555A78"/>
    <w:rsid w:val="0075063F"/>
    <w:rsid w:val="007A62CC"/>
    <w:rsid w:val="007B24D7"/>
    <w:rsid w:val="007B744E"/>
    <w:rsid w:val="007F6064"/>
    <w:rsid w:val="00857974"/>
    <w:rsid w:val="008A597F"/>
    <w:rsid w:val="009A6D7E"/>
    <w:rsid w:val="009B0185"/>
    <w:rsid w:val="009D5C7D"/>
    <w:rsid w:val="00A2565A"/>
    <w:rsid w:val="00B10E89"/>
    <w:rsid w:val="00B3181C"/>
    <w:rsid w:val="00BB128B"/>
    <w:rsid w:val="00C55707"/>
    <w:rsid w:val="00C72531"/>
    <w:rsid w:val="00DD693B"/>
    <w:rsid w:val="00E06D03"/>
    <w:rsid w:val="00EB1F15"/>
    <w:rsid w:val="00FB0F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128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5A78"/>
    <w:pPr>
      <w:spacing w:after="160" w:line="256" w:lineRule="auto"/>
      <w:ind w:left="720"/>
      <w:contextualSpacing/>
    </w:pPr>
  </w:style>
</w:styles>
</file>

<file path=word/webSettings.xml><?xml version="1.0" encoding="utf-8"?>
<w:webSettings xmlns:r="http://schemas.openxmlformats.org/officeDocument/2006/relationships" xmlns:w="http://schemas.openxmlformats.org/wordprocessingml/2006/main">
  <w:divs>
    <w:div w:id="225536997">
      <w:bodyDiv w:val="1"/>
      <w:marLeft w:val="0"/>
      <w:marRight w:val="0"/>
      <w:marTop w:val="0"/>
      <w:marBottom w:val="0"/>
      <w:divBdr>
        <w:top w:val="none" w:sz="0" w:space="0" w:color="auto"/>
        <w:left w:val="none" w:sz="0" w:space="0" w:color="auto"/>
        <w:bottom w:val="none" w:sz="0" w:space="0" w:color="auto"/>
        <w:right w:val="none" w:sz="0" w:space="0" w:color="auto"/>
      </w:divBdr>
    </w:div>
    <w:div w:id="107369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1807</Words>
  <Characters>10302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Muturi</dc:creator>
  <cp:lastModifiedBy>Muturi</cp:lastModifiedBy>
  <cp:revision>2</cp:revision>
  <dcterms:created xsi:type="dcterms:W3CDTF">2016-06-27T13:36:00Z</dcterms:created>
  <dcterms:modified xsi:type="dcterms:W3CDTF">2016-06-27T13:36:00Z</dcterms:modified>
</cp:coreProperties>
</file>