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18F9C" w14:textId="77777777" w:rsidR="002C5628" w:rsidRDefault="008D470C" w:rsidP="00B76CF6">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STA</w:t>
      </w:r>
      <w:r w:rsidR="00891C22">
        <w:rPr>
          <w:rFonts w:ascii="Times New Roman" w:hAnsi="Times New Roman" w:cs="Times New Roman"/>
          <w:b/>
          <w:sz w:val="24"/>
          <w:szCs w:val="24"/>
          <w:u w:val="single"/>
        </w:rPr>
        <w:t>TE AND EXPLAIN THE CONSTITUTIONAL CLAUSES THAT DEAL WITH PUBLIC PARTICIPATION</w:t>
      </w:r>
    </w:p>
    <w:p w14:paraId="21BF25A5" w14:textId="77777777" w:rsidR="00F25A0E" w:rsidRPr="00B76CF6" w:rsidRDefault="00F25A0E"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 xml:space="preserve">Article 1(1-2) </w:t>
      </w:r>
    </w:p>
    <w:p w14:paraId="3D13F9D7"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The Constitution of Kenya 2010 under Article 1(1-2) vests all sovereign power to the people of Kenya. This power can be expressed through direct participation or indirectly through democratically elected representatives. </w:t>
      </w:r>
    </w:p>
    <w:p w14:paraId="42649136"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In light of this, the government is tasked with ensuring that citizens have the necessary information and effective opportunity to exercise the right to public participation. In the </w:t>
      </w:r>
      <w:r w:rsidRPr="00B76CF6">
        <w:rPr>
          <w:rFonts w:ascii="Times New Roman" w:hAnsi="Times New Roman" w:cs="Times New Roman"/>
          <w:b/>
          <w:i/>
          <w:sz w:val="24"/>
          <w:szCs w:val="24"/>
        </w:rPr>
        <w:t>Al Ghurair case</w:t>
      </w:r>
      <w:r w:rsidRPr="00B76CF6">
        <w:rPr>
          <w:rFonts w:ascii="Times New Roman" w:hAnsi="Times New Roman" w:cs="Times New Roman"/>
          <w:sz w:val="24"/>
          <w:szCs w:val="24"/>
        </w:rPr>
        <w:t xml:space="preserve">, the High Court quashed the decision of the IEBC to grant the tender to print election ballot papers to Al Ghurair Printing and Publishing Company due to lack of public participation. The court stated that </w:t>
      </w:r>
      <w:r w:rsidRPr="00B76CF6">
        <w:rPr>
          <w:rFonts w:ascii="Times New Roman" w:hAnsi="Times New Roman" w:cs="Times New Roman"/>
          <w:i/>
          <w:sz w:val="24"/>
          <w:szCs w:val="24"/>
        </w:rPr>
        <w:t>“………..The people of Kenya did not intent that these provisions be merely suggestions, superfluous or ornamental; they did not include these provisions a lofty aspirations. Kenyans intended that the said provisions should have substantive bite and that they will be enforced and implemented.”</w:t>
      </w:r>
    </w:p>
    <w:p w14:paraId="272391DF"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Further, in the same case, the court cited the case of the </w:t>
      </w:r>
      <w:r w:rsidRPr="00B76CF6">
        <w:rPr>
          <w:rFonts w:ascii="Times New Roman" w:hAnsi="Times New Roman" w:cs="Times New Roman"/>
          <w:b/>
          <w:sz w:val="24"/>
          <w:szCs w:val="24"/>
        </w:rPr>
        <w:t xml:space="preserve">Minister of Health v New Clicks South Africa (PTY) Limited </w:t>
      </w:r>
      <w:r w:rsidRPr="00B76CF6">
        <w:rPr>
          <w:rFonts w:ascii="Times New Roman" w:hAnsi="Times New Roman" w:cs="Times New Roman"/>
          <w:sz w:val="24"/>
          <w:szCs w:val="24"/>
        </w:rPr>
        <w:t>in which the South African Constitutional Court held that members of the public and all interested parties should be offered a reasonable opportunity to know about the issue and to have adequate say about it.</w:t>
      </w:r>
    </w:p>
    <w:p w14:paraId="1A9FD5E8" w14:textId="77777777" w:rsidR="00F25A0E" w:rsidRPr="00B76CF6" w:rsidRDefault="00F25A0E" w:rsidP="00B76CF6">
      <w:pPr>
        <w:spacing w:line="360" w:lineRule="auto"/>
        <w:jc w:val="both"/>
        <w:rPr>
          <w:rFonts w:ascii="Times New Roman" w:hAnsi="Times New Roman" w:cs="Times New Roman"/>
          <w:b/>
          <w:sz w:val="24"/>
          <w:szCs w:val="24"/>
          <w:u w:val="single"/>
        </w:rPr>
      </w:pPr>
    </w:p>
    <w:p w14:paraId="00DDDA1C" w14:textId="77777777" w:rsidR="00F25A0E" w:rsidRPr="00B76CF6" w:rsidRDefault="00F25A0E"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ARTICLE 10 (2)</w:t>
      </w:r>
    </w:p>
    <w:p w14:paraId="5A0519D2"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Article 10 is found under Chapter 2 of the Constitution of Kenya 2010, which Chapter deals with the sovereignty of the Republic of Kenya, its territory, devolved units (counties), languages, religion, national symbols and national holidays.</w:t>
      </w:r>
    </w:p>
    <w:p w14:paraId="10BC693B" w14:textId="77777777" w:rsidR="00F25A0E" w:rsidRPr="00B76CF6" w:rsidRDefault="00F25A0E" w:rsidP="00B76CF6">
      <w:pPr>
        <w:spacing w:line="360" w:lineRule="auto"/>
        <w:jc w:val="both"/>
        <w:rPr>
          <w:rFonts w:ascii="Times New Roman" w:hAnsi="Times New Roman" w:cs="Times New Roman"/>
          <w:b/>
          <w:sz w:val="24"/>
          <w:szCs w:val="24"/>
        </w:rPr>
      </w:pPr>
      <w:r w:rsidRPr="00B76CF6">
        <w:rPr>
          <w:rFonts w:ascii="Times New Roman" w:hAnsi="Times New Roman" w:cs="Times New Roman"/>
          <w:sz w:val="24"/>
          <w:szCs w:val="24"/>
        </w:rPr>
        <w:t xml:space="preserve">Article 10 of the Constitution deals with </w:t>
      </w:r>
      <w:r w:rsidRPr="00B76CF6">
        <w:rPr>
          <w:rFonts w:ascii="Times New Roman" w:hAnsi="Times New Roman" w:cs="Times New Roman"/>
          <w:b/>
          <w:sz w:val="24"/>
          <w:szCs w:val="24"/>
        </w:rPr>
        <w:t xml:space="preserve">National values and principle of governance. </w:t>
      </w:r>
    </w:p>
    <w:p w14:paraId="271DB681"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Article 10 (2) (a) provides that the national values and principles of governance include:-</w:t>
      </w:r>
    </w:p>
    <w:p w14:paraId="39EF43F0"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“Patriotism, national unity, sharing and devolution of power, the rule of law, democracy and </w:t>
      </w:r>
      <w:r w:rsidRPr="00B76CF6">
        <w:rPr>
          <w:rFonts w:ascii="Times New Roman" w:hAnsi="Times New Roman" w:cs="Times New Roman"/>
          <w:b/>
          <w:sz w:val="24"/>
          <w:szCs w:val="24"/>
        </w:rPr>
        <w:t>participation of the people.</w:t>
      </w:r>
      <w:r w:rsidRPr="00B76CF6">
        <w:rPr>
          <w:rFonts w:ascii="Times New Roman" w:hAnsi="Times New Roman" w:cs="Times New Roman"/>
          <w:sz w:val="24"/>
          <w:szCs w:val="24"/>
        </w:rPr>
        <w:t>”</w:t>
      </w:r>
    </w:p>
    <w:p w14:paraId="2B0E1632" w14:textId="77777777" w:rsidR="00F25A0E" w:rsidRPr="00B76CF6" w:rsidRDefault="00F25A0E" w:rsidP="00B76CF6">
      <w:pPr>
        <w:spacing w:line="360" w:lineRule="auto"/>
        <w:jc w:val="both"/>
        <w:rPr>
          <w:rFonts w:ascii="Times New Roman" w:hAnsi="Times New Roman" w:cs="Times New Roman"/>
          <w:sz w:val="24"/>
          <w:szCs w:val="24"/>
        </w:rPr>
      </w:pPr>
    </w:p>
    <w:p w14:paraId="567644FE"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lastRenderedPageBreak/>
        <w:t>Expounding on Article 10 of the Constitution, the Court of Appeal in </w:t>
      </w:r>
      <w:r w:rsidRPr="00B76CF6">
        <w:rPr>
          <w:rFonts w:ascii="Times New Roman" w:hAnsi="Times New Roman" w:cs="Times New Roman"/>
          <w:b/>
          <w:bCs/>
          <w:i/>
          <w:iCs/>
          <w:sz w:val="24"/>
          <w:szCs w:val="24"/>
        </w:rPr>
        <w:t xml:space="preserve">Independent Electoral and Boundaries Commission (IEBC) v National Super Alliance (NASA) Kenya &amp; 6 Others, Civil Appeal No. 224 of 2017; [2017] </w:t>
      </w:r>
      <w:proofErr w:type="spellStart"/>
      <w:r w:rsidRPr="00B76CF6">
        <w:rPr>
          <w:rFonts w:ascii="Times New Roman" w:hAnsi="Times New Roman" w:cs="Times New Roman"/>
          <w:b/>
          <w:bCs/>
          <w:i/>
          <w:iCs/>
          <w:sz w:val="24"/>
          <w:szCs w:val="24"/>
        </w:rPr>
        <w:t>eKLR</w:t>
      </w:r>
      <w:proofErr w:type="spellEnd"/>
      <w:r w:rsidRPr="00B76CF6">
        <w:rPr>
          <w:rFonts w:ascii="Times New Roman" w:hAnsi="Times New Roman" w:cs="Times New Roman"/>
          <w:b/>
          <w:bCs/>
          <w:sz w:val="24"/>
          <w:szCs w:val="24"/>
        </w:rPr>
        <w:t> </w:t>
      </w:r>
      <w:r w:rsidRPr="00B76CF6">
        <w:rPr>
          <w:rFonts w:ascii="Times New Roman" w:hAnsi="Times New Roman" w:cs="Times New Roman"/>
          <w:sz w:val="24"/>
          <w:szCs w:val="24"/>
        </w:rPr>
        <w:t>held that:</w:t>
      </w:r>
    </w:p>
    <w:p w14:paraId="1241B365"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i/>
          <w:iCs/>
          <w:sz w:val="24"/>
          <w:szCs w:val="24"/>
        </w:rPr>
        <w:t xml:space="preserve">In our view, analysis of the jurisprudence from the Supreme Court leads us to the clear conclusion that </w:t>
      </w:r>
      <w:r w:rsidRPr="00B76CF6">
        <w:rPr>
          <w:rFonts w:ascii="Times New Roman" w:hAnsi="Times New Roman" w:cs="Times New Roman"/>
          <w:b/>
          <w:i/>
          <w:iCs/>
          <w:sz w:val="24"/>
          <w:szCs w:val="24"/>
        </w:rPr>
        <w:t>Article 10 (2) of the Constitution is justiciable and enforceable immediately.</w:t>
      </w:r>
      <w:r w:rsidRPr="00B76CF6">
        <w:rPr>
          <w:rFonts w:ascii="Times New Roman" w:hAnsi="Times New Roman" w:cs="Times New Roman"/>
          <w:i/>
          <w:iCs/>
          <w:sz w:val="24"/>
          <w:szCs w:val="24"/>
        </w:rPr>
        <w:t xml:space="preserve"> For avoidance of doubt, we find and hold that the values espoused in Article 10 (2) are neither aspirational nor progressive; they are immediate, enforceable and justiciable. The values are not directive principles. Kenyans did not promulgate the 2010 Constitution in order to have devolution, good governance, democracy, rule of law and participation of the people to be realized in a progressive manner in some time in the future; it could never have been the intention of Kenyans to have good governance, transparency and accountability to be realized and enforced gradually.  Likewise, the values of human dignity, equity, social justice, inclusiveness and non-discrimination cannot be aspirational and incremental, but are justiciable and immediately enforceable. Our view on this matter is reinforced by Article 259(1) (a) which enjoins all persons to interpret the Constitution in a manner that promotes its values and principles.</w:t>
      </w:r>
    </w:p>
    <w:p w14:paraId="7D8BEB7A"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i/>
          <w:iCs/>
          <w:sz w:val="24"/>
          <w:szCs w:val="24"/>
        </w:rPr>
        <w:t>Consequently, in this appeal, we make a firm determination that Article 10 (2) of the Constitution is justiciable and enforceable and violation of the Article can found a cause of action either on its own or in conjunction with other Constitutional Articles or Statutes as appropriate.</w:t>
      </w:r>
    </w:p>
    <w:p w14:paraId="7BD59397" w14:textId="77777777" w:rsidR="00F25A0E" w:rsidRPr="00B76CF6" w:rsidRDefault="00F25A0E" w:rsidP="00B76CF6">
      <w:pPr>
        <w:spacing w:line="360" w:lineRule="auto"/>
        <w:jc w:val="both"/>
        <w:rPr>
          <w:rFonts w:ascii="Times New Roman" w:hAnsi="Times New Roman" w:cs="Times New Roman"/>
          <w:sz w:val="24"/>
          <w:szCs w:val="24"/>
        </w:rPr>
      </w:pPr>
    </w:p>
    <w:p w14:paraId="4B8BF3D4"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The national values and principles of governance espoused under Article 10 of the Constitution are enforceable and justiciable and a violation of the same can lead to a cause of action.</w:t>
      </w:r>
    </w:p>
    <w:p w14:paraId="5315DC1D" w14:textId="77777777" w:rsidR="00F25A0E" w:rsidRDefault="00F25A0E" w:rsidP="00B76CF6">
      <w:pPr>
        <w:spacing w:line="360" w:lineRule="auto"/>
        <w:jc w:val="both"/>
        <w:rPr>
          <w:rFonts w:ascii="Times New Roman" w:hAnsi="Times New Roman" w:cs="Times New Roman"/>
          <w:sz w:val="24"/>
          <w:szCs w:val="24"/>
        </w:rPr>
      </w:pPr>
    </w:p>
    <w:p w14:paraId="08AA250C" w14:textId="77777777" w:rsidR="00B76CF6" w:rsidRPr="00B76CF6" w:rsidRDefault="00B76CF6"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Article 27</w:t>
      </w:r>
    </w:p>
    <w:p w14:paraId="025BEF0A" w14:textId="77777777" w:rsidR="00F25A0E" w:rsidRDefault="001C02EB"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Article 27</w:t>
      </w:r>
      <w:r w:rsidRPr="00B76CF6">
        <w:rPr>
          <w:rFonts w:ascii="Times New Roman" w:hAnsi="Times New Roman" w:cs="Times New Roman"/>
          <w:sz w:val="24"/>
          <w:szCs w:val="24"/>
        </w:rPr>
        <w:t>: The Constitution guarantees equality and non-discrimination. Hence, public participation should ensure equality and non-discrimination.</w:t>
      </w:r>
    </w:p>
    <w:p w14:paraId="1BEE1685" w14:textId="77777777" w:rsidR="00B76CF6" w:rsidRPr="00B76CF6" w:rsidRDefault="00B76CF6" w:rsidP="00B76CF6">
      <w:pPr>
        <w:spacing w:line="360" w:lineRule="auto"/>
        <w:jc w:val="both"/>
        <w:rPr>
          <w:rFonts w:ascii="Times New Roman" w:hAnsi="Times New Roman" w:cs="Times New Roman"/>
          <w:sz w:val="24"/>
          <w:szCs w:val="24"/>
          <w:u w:val="single"/>
        </w:rPr>
      </w:pPr>
      <w:r w:rsidRPr="00B76CF6">
        <w:rPr>
          <w:rFonts w:ascii="Times New Roman" w:hAnsi="Times New Roman" w:cs="Times New Roman"/>
          <w:b/>
          <w:sz w:val="24"/>
          <w:szCs w:val="24"/>
          <w:u w:val="single"/>
        </w:rPr>
        <w:t>Article 33</w:t>
      </w:r>
    </w:p>
    <w:p w14:paraId="17E2B587" w14:textId="77777777" w:rsidR="001C02EB" w:rsidRDefault="001C02EB"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Article 33</w:t>
      </w:r>
      <w:r w:rsidRPr="00B76CF6">
        <w:rPr>
          <w:rFonts w:ascii="Times New Roman" w:hAnsi="Times New Roman" w:cs="Times New Roman"/>
          <w:sz w:val="24"/>
          <w:szCs w:val="24"/>
        </w:rPr>
        <w:t>: Public participation should respect the freedom of expression of all participants.</w:t>
      </w:r>
    </w:p>
    <w:p w14:paraId="6F5AB1EA" w14:textId="77777777" w:rsidR="00B76CF6" w:rsidRPr="00B76CF6" w:rsidRDefault="00B76CF6" w:rsidP="00B76CF6">
      <w:pPr>
        <w:spacing w:line="360" w:lineRule="auto"/>
        <w:jc w:val="both"/>
        <w:rPr>
          <w:rFonts w:ascii="Times New Roman" w:hAnsi="Times New Roman" w:cs="Times New Roman"/>
          <w:sz w:val="24"/>
          <w:szCs w:val="24"/>
        </w:rPr>
      </w:pPr>
    </w:p>
    <w:p w14:paraId="05684EDB" w14:textId="77777777" w:rsidR="00B76CF6" w:rsidRDefault="00B76CF6" w:rsidP="00B76CF6">
      <w:pPr>
        <w:spacing w:line="360" w:lineRule="auto"/>
        <w:jc w:val="both"/>
        <w:rPr>
          <w:rFonts w:ascii="Times New Roman" w:hAnsi="Times New Roman" w:cs="Times New Roman"/>
          <w:b/>
          <w:sz w:val="24"/>
          <w:szCs w:val="24"/>
        </w:rPr>
      </w:pPr>
    </w:p>
    <w:p w14:paraId="0DA5C9F4" w14:textId="77777777" w:rsidR="00B76CF6" w:rsidRPr="00B76CF6" w:rsidRDefault="00B76CF6"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Article 35</w:t>
      </w:r>
    </w:p>
    <w:p w14:paraId="2C41576E"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Article 35</w:t>
      </w:r>
      <w:r w:rsidRPr="00B76CF6">
        <w:rPr>
          <w:rFonts w:ascii="Times New Roman" w:hAnsi="Times New Roman" w:cs="Times New Roman"/>
          <w:sz w:val="24"/>
          <w:szCs w:val="24"/>
        </w:rPr>
        <w:t xml:space="preserve"> of the Constitution provides for the right of citizens to access of information. While on the face of it, the article does not deal with the issue of public participation, the right to access to information aids in the achievement of effective public participation.</w:t>
      </w:r>
    </w:p>
    <w:p w14:paraId="61C3DCDE" w14:textId="77777777" w:rsidR="00F25A0E"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In </w:t>
      </w:r>
      <w:proofErr w:type="spellStart"/>
      <w:r w:rsidRPr="00B76CF6">
        <w:rPr>
          <w:rFonts w:ascii="Times New Roman" w:hAnsi="Times New Roman" w:cs="Times New Roman"/>
          <w:sz w:val="24"/>
          <w:szCs w:val="24"/>
        </w:rPr>
        <w:t>Katiba</w:t>
      </w:r>
      <w:proofErr w:type="spellEnd"/>
      <w:r w:rsidRPr="00B76CF6">
        <w:rPr>
          <w:rFonts w:ascii="Times New Roman" w:hAnsi="Times New Roman" w:cs="Times New Roman"/>
          <w:sz w:val="24"/>
          <w:szCs w:val="24"/>
        </w:rPr>
        <w:t xml:space="preserve"> Institute v President's Delivery Unit &amp; 3 others [2017], the court held that the right to access to information enables citizens to participate in governance. The court continued to say "... successful and effective public participation in governance largely depends on the citizens' ability to access information held by public authorities... Where they don't know what is happening in their government, they may not be able to take meaningful part in their country's governance."</w:t>
      </w:r>
    </w:p>
    <w:p w14:paraId="31FD1C8C" w14:textId="77777777" w:rsidR="00E623DE" w:rsidRPr="00B76CF6" w:rsidRDefault="00E623DE" w:rsidP="00B76CF6">
      <w:pPr>
        <w:spacing w:line="360" w:lineRule="auto"/>
        <w:jc w:val="both"/>
        <w:rPr>
          <w:rFonts w:ascii="Times New Roman" w:hAnsi="Times New Roman" w:cs="Times New Roman"/>
          <w:sz w:val="24"/>
          <w:szCs w:val="24"/>
        </w:rPr>
      </w:pPr>
    </w:p>
    <w:p w14:paraId="563CEFEA" w14:textId="77777777" w:rsidR="00F25A0E" w:rsidRPr="00B76CF6" w:rsidRDefault="00B76CF6"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Article 61</w:t>
      </w:r>
    </w:p>
    <w:p w14:paraId="7ACCC1AA" w14:textId="77777777" w:rsidR="00F25A0E" w:rsidRDefault="001C02EB"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Article 61</w:t>
      </w:r>
      <w:r w:rsidRPr="00B76CF6">
        <w:rPr>
          <w:rFonts w:ascii="Times New Roman" w:hAnsi="Times New Roman" w:cs="Times New Roman"/>
          <w:sz w:val="24"/>
          <w:szCs w:val="24"/>
        </w:rPr>
        <w:t>: Gives the public, individually or as a group, a say in matters of land including acquisition, management, transfer, disposal, or ownership of private, public and/or community land.</w:t>
      </w:r>
    </w:p>
    <w:p w14:paraId="1C2E98E9" w14:textId="77777777" w:rsidR="00E623DE" w:rsidRPr="00B76CF6" w:rsidRDefault="00E623DE" w:rsidP="00B76CF6">
      <w:pPr>
        <w:spacing w:line="360" w:lineRule="auto"/>
        <w:jc w:val="both"/>
        <w:rPr>
          <w:rFonts w:ascii="Times New Roman" w:hAnsi="Times New Roman" w:cs="Times New Roman"/>
          <w:sz w:val="24"/>
          <w:szCs w:val="24"/>
        </w:rPr>
      </w:pPr>
    </w:p>
    <w:p w14:paraId="42ACE9C0" w14:textId="77777777" w:rsidR="00F25A0E" w:rsidRPr="00B76CF6" w:rsidRDefault="00B76CF6"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Article 69(1) (d)</w:t>
      </w:r>
    </w:p>
    <w:p w14:paraId="7E90530C" w14:textId="77777777" w:rsidR="00FE0F6B" w:rsidRPr="00B76CF6" w:rsidRDefault="00FE0F6B"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 xml:space="preserve">Article 69(1) (d) </w:t>
      </w:r>
      <w:r w:rsidRPr="00B76CF6">
        <w:rPr>
          <w:rFonts w:ascii="Times New Roman" w:hAnsi="Times New Roman" w:cs="Times New Roman"/>
          <w:sz w:val="24"/>
          <w:szCs w:val="24"/>
        </w:rPr>
        <w:t>provides for obligations in respect of the environment and</w:t>
      </w:r>
      <w:r w:rsidRPr="00B76CF6">
        <w:rPr>
          <w:rFonts w:ascii="Times New Roman" w:hAnsi="Times New Roman" w:cs="Times New Roman"/>
          <w:b/>
          <w:sz w:val="24"/>
          <w:szCs w:val="24"/>
        </w:rPr>
        <w:t xml:space="preserve"> </w:t>
      </w:r>
      <w:r w:rsidRPr="00B76CF6">
        <w:rPr>
          <w:rFonts w:ascii="Times New Roman" w:hAnsi="Times New Roman" w:cs="Times New Roman"/>
          <w:sz w:val="24"/>
          <w:szCs w:val="24"/>
        </w:rPr>
        <w:t>encourages public participation in the management, protection and conservation of the environment.</w:t>
      </w:r>
    </w:p>
    <w:p w14:paraId="01CEED92" w14:textId="77777777" w:rsidR="00FE0F6B" w:rsidRPr="00B76CF6" w:rsidRDefault="00FE0F6B" w:rsidP="00B76CF6">
      <w:pPr>
        <w:autoSpaceDE w:val="0"/>
        <w:autoSpaceDN w:val="0"/>
        <w:adjustRightInd w:val="0"/>
        <w:spacing w:after="0" w:line="360" w:lineRule="auto"/>
        <w:jc w:val="both"/>
        <w:rPr>
          <w:rFonts w:ascii="Times New Roman" w:hAnsi="Times New Roman" w:cs="Times New Roman"/>
          <w:sz w:val="24"/>
          <w:szCs w:val="24"/>
          <w:lang w:val="en-GB"/>
        </w:rPr>
      </w:pPr>
      <w:r w:rsidRPr="00B76CF6">
        <w:rPr>
          <w:rFonts w:ascii="Times New Roman" w:hAnsi="Times New Roman" w:cs="Times New Roman"/>
          <w:sz w:val="24"/>
          <w:szCs w:val="24"/>
        </w:rPr>
        <w:t>In</w:t>
      </w:r>
      <w:r w:rsidRPr="00B76CF6">
        <w:rPr>
          <w:rFonts w:ascii="Times New Roman" w:hAnsi="Times New Roman" w:cs="Times New Roman"/>
          <w:b/>
          <w:sz w:val="24"/>
          <w:szCs w:val="24"/>
        </w:rPr>
        <w:t xml:space="preserve"> </w:t>
      </w:r>
      <w:r w:rsidRPr="00B76CF6">
        <w:rPr>
          <w:rFonts w:ascii="Times New Roman" w:hAnsi="Times New Roman" w:cs="Times New Roman"/>
          <w:b/>
          <w:bCs/>
          <w:sz w:val="24"/>
          <w:szCs w:val="24"/>
          <w:shd w:val="clear" w:color="auto" w:fill="FFFFFF"/>
        </w:rPr>
        <w:t xml:space="preserve">Isaiah </w:t>
      </w:r>
      <w:proofErr w:type="spellStart"/>
      <w:r w:rsidRPr="00B76CF6">
        <w:rPr>
          <w:rFonts w:ascii="Times New Roman" w:hAnsi="Times New Roman" w:cs="Times New Roman"/>
          <w:b/>
          <w:bCs/>
          <w:sz w:val="24"/>
          <w:szCs w:val="24"/>
          <w:shd w:val="clear" w:color="auto" w:fill="FFFFFF"/>
        </w:rPr>
        <w:t>Luyara</w:t>
      </w:r>
      <w:proofErr w:type="spellEnd"/>
      <w:r w:rsidRPr="00B76CF6">
        <w:rPr>
          <w:rFonts w:ascii="Times New Roman" w:hAnsi="Times New Roman" w:cs="Times New Roman"/>
          <w:b/>
          <w:bCs/>
          <w:sz w:val="24"/>
          <w:szCs w:val="24"/>
          <w:shd w:val="clear" w:color="auto" w:fill="FFFFFF"/>
        </w:rPr>
        <w:t xml:space="preserve"> </w:t>
      </w:r>
      <w:proofErr w:type="spellStart"/>
      <w:r w:rsidRPr="00B76CF6">
        <w:rPr>
          <w:rFonts w:ascii="Times New Roman" w:hAnsi="Times New Roman" w:cs="Times New Roman"/>
          <w:b/>
          <w:bCs/>
          <w:sz w:val="24"/>
          <w:szCs w:val="24"/>
          <w:shd w:val="clear" w:color="auto" w:fill="FFFFFF"/>
        </w:rPr>
        <w:t>Odando</w:t>
      </w:r>
      <w:proofErr w:type="spellEnd"/>
      <w:r w:rsidRPr="00B76CF6">
        <w:rPr>
          <w:rFonts w:ascii="Times New Roman" w:hAnsi="Times New Roman" w:cs="Times New Roman"/>
          <w:b/>
          <w:bCs/>
          <w:sz w:val="24"/>
          <w:szCs w:val="24"/>
          <w:shd w:val="clear" w:color="auto" w:fill="FFFFFF"/>
        </w:rPr>
        <w:t xml:space="preserve"> &amp; another v National Management Environmental Authority &amp; 2 others; County Government of Nairobi &amp; 5 others (Interested Parties) [2021] </w:t>
      </w:r>
      <w:proofErr w:type="spellStart"/>
      <w:proofErr w:type="gramStart"/>
      <w:r w:rsidRPr="00B76CF6">
        <w:rPr>
          <w:rFonts w:ascii="Times New Roman" w:hAnsi="Times New Roman" w:cs="Times New Roman"/>
          <w:b/>
          <w:bCs/>
          <w:sz w:val="24"/>
          <w:szCs w:val="24"/>
          <w:shd w:val="clear" w:color="auto" w:fill="FFFFFF"/>
        </w:rPr>
        <w:t>eKLR</w:t>
      </w:r>
      <w:proofErr w:type="spellEnd"/>
      <w:r w:rsidRPr="00B76CF6">
        <w:rPr>
          <w:rFonts w:ascii="Times New Roman" w:hAnsi="Times New Roman" w:cs="Times New Roman"/>
          <w:b/>
          <w:bCs/>
          <w:sz w:val="24"/>
          <w:szCs w:val="24"/>
          <w:shd w:val="clear" w:color="auto" w:fill="FFFFFF"/>
        </w:rPr>
        <w:t xml:space="preserve"> ,</w:t>
      </w:r>
      <w:proofErr w:type="gramEnd"/>
      <w:r w:rsidRPr="00B76CF6">
        <w:rPr>
          <w:rFonts w:ascii="Times New Roman" w:hAnsi="Times New Roman" w:cs="Times New Roman"/>
          <w:b/>
          <w:bCs/>
          <w:sz w:val="24"/>
          <w:szCs w:val="24"/>
          <w:shd w:val="clear" w:color="auto" w:fill="FFFFFF"/>
        </w:rPr>
        <w:t xml:space="preserve"> </w:t>
      </w:r>
      <w:r w:rsidRPr="00B76CF6">
        <w:rPr>
          <w:rFonts w:ascii="Times New Roman" w:hAnsi="Times New Roman" w:cs="Times New Roman"/>
          <w:bCs/>
          <w:sz w:val="24"/>
          <w:szCs w:val="24"/>
          <w:shd w:val="clear" w:color="auto" w:fill="FFFFFF"/>
        </w:rPr>
        <w:t>the court stated that</w:t>
      </w:r>
      <w:r w:rsidRPr="00B76CF6">
        <w:rPr>
          <w:rFonts w:ascii="Times New Roman" w:hAnsi="Times New Roman" w:cs="Times New Roman"/>
          <w:sz w:val="24"/>
          <w:szCs w:val="24"/>
          <w:lang w:val="en-GB"/>
        </w:rPr>
        <w:t xml:space="preserve"> ‘‘It is helpful to analyse the role citizens’ play and that of State organs in environmental protection. Article 69 1(a) to (h) of the Constitution gives the broad obligations of the State in relation to the </w:t>
      </w:r>
      <w:proofErr w:type="gramStart"/>
      <w:r w:rsidRPr="00B76CF6">
        <w:rPr>
          <w:rFonts w:ascii="Times New Roman" w:hAnsi="Times New Roman" w:cs="Times New Roman"/>
          <w:sz w:val="24"/>
          <w:szCs w:val="24"/>
          <w:lang w:val="en-GB"/>
        </w:rPr>
        <w:t>environment.</w:t>
      </w:r>
      <w:r w:rsidRPr="00B76CF6">
        <w:rPr>
          <w:rFonts w:ascii="Times New Roman" w:hAnsi="Times New Roman" w:cs="Times New Roman"/>
          <w:bCs/>
          <w:sz w:val="24"/>
          <w:szCs w:val="24"/>
          <w:shd w:val="clear" w:color="auto" w:fill="FFFFFF"/>
        </w:rPr>
        <w:t>.</w:t>
      </w:r>
      <w:proofErr w:type="gramEnd"/>
      <w:r w:rsidRPr="00B76CF6">
        <w:rPr>
          <w:rFonts w:ascii="Times New Roman" w:hAnsi="Times New Roman" w:cs="Times New Roman"/>
          <w:bCs/>
          <w:sz w:val="24"/>
          <w:szCs w:val="24"/>
          <w:shd w:val="clear" w:color="auto" w:fill="FFFFFF"/>
        </w:rPr>
        <w:t xml:space="preserve"> </w:t>
      </w:r>
      <w:r w:rsidRPr="00B76CF6">
        <w:rPr>
          <w:rFonts w:ascii="Times New Roman" w:hAnsi="Times New Roman" w:cs="Times New Roman"/>
          <w:sz w:val="24"/>
          <w:szCs w:val="24"/>
          <w:lang w:val="en-GB"/>
        </w:rPr>
        <w:t>It is only Article 69 1(d) which brings citizens into the picture by requiring the State to encourage public participation in the management, protection and conservation of the environment.’’</w:t>
      </w:r>
    </w:p>
    <w:p w14:paraId="7A7CB767" w14:textId="77777777" w:rsidR="00F25B14" w:rsidRPr="00B76CF6" w:rsidRDefault="00F25B14" w:rsidP="00B76CF6">
      <w:pPr>
        <w:autoSpaceDE w:val="0"/>
        <w:autoSpaceDN w:val="0"/>
        <w:adjustRightInd w:val="0"/>
        <w:spacing w:after="0" w:line="360" w:lineRule="auto"/>
        <w:jc w:val="both"/>
        <w:rPr>
          <w:rFonts w:ascii="Times New Roman" w:hAnsi="Times New Roman" w:cs="Times New Roman"/>
          <w:sz w:val="24"/>
          <w:szCs w:val="24"/>
          <w:lang w:val="en-GB"/>
        </w:rPr>
      </w:pPr>
    </w:p>
    <w:p w14:paraId="1D94E18F" w14:textId="77777777" w:rsidR="00F25B14" w:rsidRPr="00B76CF6" w:rsidRDefault="00B76CF6"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Article 118</w:t>
      </w:r>
    </w:p>
    <w:p w14:paraId="739DEE28" w14:textId="77777777" w:rsidR="00F25B14" w:rsidRPr="00B76CF6" w:rsidRDefault="00F25B14"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Article 118</w:t>
      </w:r>
      <w:r w:rsidRPr="00B76CF6">
        <w:rPr>
          <w:rFonts w:ascii="Times New Roman" w:hAnsi="Times New Roman" w:cs="Times New Roman"/>
          <w:sz w:val="24"/>
          <w:szCs w:val="24"/>
        </w:rPr>
        <w:t xml:space="preserve"> of the constitution of Kenya addresses the issue of public access and participation. In its subsection (1) (b) the constitution talks about facilitation of the public participation and involvement in the legislative and other business of Parliament and its committees. This is in line with the provisions of article 10 which states that </w:t>
      </w:r>
      <w:r w:rsidRPr="00B76CF6">
        <w:rPr>
          <w:rFonts w:ascii="Times New Roman" w:hAnsi="Times New Roman" w:cs="Times New Roman"/>
          <w:i/>
          <w:sz w:val="24"/>
          <w:szCs w:val="24"/>
        </w:rPr>
        <w:t>Parliament shall not bar anyone from participating on any grounds such as age, race, color, gender or political affiliation</w:t>
      </w:r>
      <w:r w:rsidRPr="00B76CF6">
        <w:rPr>
          <w:rFonts w:ascii="Times New Roman" w:hAnsi="Times New Roman" w:cs="Times New Roman"/>
          <w:sz w:val="24"/>
          <w:szCs w:val="24"/>
        </w:rPr>
        <w:t xml:space="preserve">. Article 10 (b) further talks about </w:t>
      </w:r>
      <w:r w:rsidRPr="00B76CF6">
        <w:rPr>
          <w:rFonts w:ascii="Times New Roman" w:hAnsi="Times New Roman" w:cs="Times New Roman"/>
          <w:bCs/>
          <w:sz w:val="24"/>
          <w:szCs w:val="24"/>
        </w:rPr>
        <w:t>national values and principles of governance</w:t>
      </w:r>
      <w:r w:rsidRPr="00B76CF6">
        <w:rPr>
          <w:rFonts w:ascii="Times New Roman" w:hAnsi="Times New Roman" w:cs="Times New Roman"/>
          <w:sz w:val="24"/>
          <w:szCs w:val="24"/>
        </w:rPr>
        <w:t> that include public participation.</w:t>
      </w:r>
    </w:p>
    <w:p w14:paraId="0CC6721D" w14:textId="77777777" w:rsidR="00F25B14" w:rsidRPr="00B76CF6" w:rsidRDefault="00F25B14"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In most cases, this is the period people hold their leaders accountable according to the South African Constitutional court in the case of </w:t>
      </w:r>
      <w:r w:rsidRPr="00B76CF6">
        <w:rPr>
          <w:rFonts w:ascii="Times New Roman" w:hAnsi="Times New Roman" w:cs="Times New Roman"/>
          <w:b/>
          <w:i/>
          <w:sz w:val="24"/>
          <w:szCs w:val="24"/>
        </w:rPr>
        <w:t>Doctors for Life v. Speaker of the National Assembly</w:t>
      </w:r>
      <w:r w:rsidRPr="00B76CF6">
        <w:rPr>
          <w:rFonts w:ascii="Times New Roman" w:hAnsi="Times New Roman" w:cs="Times New Roman"/>
          <w:sz w:val="24"/>
          <w:szCs w:val="24"/>
        </w:rPr>
        <w:t xml:space="preserve">. This case defined the meaning of public participation affirmatively. The most recent South African constitutional court judgment that relates to the involvement of citizens in the </w:t>
      </w:r>
      <w:proofErr w:type="gramStart"/>
      <w:r w:rsidRPr="00B76CF6">
        <w:rPr>
          <w:rFonts w:ascii="Times New Roman" w:hAnsi="Times New Roman" w:cs="Times New Roman"/>
          <w:sz w:val="24"/>
          <w:szCs w:val="24"/>
        </w:rPr>
        <w:t>law making</w:t>
      </w:r>
      <w:proofErr w:type="gramEnd"/>
      <w:r w:rsidRPr="00B76CF6">
        <w:rPr>
          <w:rFonts w:ascii="Times New Roman" w:hAnsi="Times New Roman" w:cs="Times New Roman"/>
          <w:sz w:val="24"/>
          <w:szCs w:val="24"/>
        </w:rPr>
        <w:t xml:space="preserve"> process. The Doctors for Life v. Speaker of the National Assembly gave rise to the three major issues. The first is the nature and scope of the constitutional obligation of a state’s legislative organ to facilitate public involvement in its legislative processes and its committees, and the consequences of the failure to comply with that obligation.</w:t>
      </w:r>
    </w:p>
    <w:p w14:paraId="3414867F" w14:textId="77777777" w:rsidR="00F25B14" w:rsidRPr="00B76CF6" w:rsidRDefault="00F25B14"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Secondly, the issue of timing and scope, that is at what stage within the legislative process and the extent to which the Constitutional Court may interfere in the processes of a legislative body in order to enforce the obligation to facilitate public involvement in law-making processes and finally, whether the Constitutional Court is the only court that may consider the questions raised.</w:t>
      </w:r>
    </w:p>
    <w:p w14:paraId="12788650" w14:textId="77777777" w:rsidR="00F25B14" w:rsidRDefault="00F25B14"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From the issues raised, it is clear that public participation is very critical when enacting statutes and legislation.</w:t>
      </w:r>
    </w:p>
    <w:p w14:paraId="34C56C2D" w14:textId="77777777" w:rsidR="00E623DE" w:rsidRDefault="00E623DE" w:rsidP="00B76CF6">
      <w:pPr>
        <w:spacing w:line="360" w:lineRule="auto"/>
        <w:jc w:val="both"/>
        <w:rPr>
          <w:rFonts w:ascii="Times New Roman" w:hAnsi="Times New Roman" w:cs="Times New Roman"/>
          <w:sz w:val="24"/>
          <w:szCs w:val="24"/>
        </w:rPr>
      </w:pPr>
    </w:p>
    <w:p w14:paraId="14D3CE45" w14:textId="77777777" w:rsidR="00B76CF6" w:rsidRPr="00B76CF6" w:rsidRDefault="00B76CF6" w:rsidP="00B76CF6">
      <w:pPr>
        <w:spacing w:line="360" w:lineRule="auto"/>
        <w:jc w:val="both"/>
        <w:rPr>
          <w:rFonts w:ascii="Times New Roman" w:hAnsi="Times New Roman" w:cs="Times New Roman"/>
          <w:b/>
          <w:sz w:val="24"/>
          <w:szCs w:val="24"/>
        </w:rPr>
      </w:pPr>
      <w:r>
        <w:rPr>
          <w:rFonts w:ascii="Times New Roman" w:hAnsi="Times New Roman" w:cs="Times New Roman"/>
          <w:b/>
          <w:sz w:val="24"/>
          <w:szCs w:val="24"/>
          <w:u w:val="single"/>
        </w:rPr>
        <w:t>Article 119 (1)</w:t>
      </w:r>
      <w:r w:rsidRPr="00B76CF6">
        <w:rPr>
          <w:rFonts w:ascii="Times New Roman" w:hAnsi="Times New Roman" w:cs="Times New Roman"/>
          <w:b/>
          <w:sz w:val="24"/>
          <w:szCs w:val="24"/>
        </w:rPr>
        <w:t xml:space="preserve">  </w:t>
      </w:r>
    </w:p>
    <w:p w14:paraId="1C9CF154" w14:textId="77777777" w:rsidR="00F25A0E" w:rsidRDefault="00D53A98"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Article 119 (1)</w:t>
      </w:r>
      <w:r w:rsidRPr="00B76CF6">
        <w:rPr>
          <w:rFonts w:ascii="Times New Roman" w:hAnsi="Times New Roman" w:cs="Times New Roman"/>
          <w:sz w:val="24"/>
          <w:szCs w:val="24"/>
        </w:rPr>
        <w:t>:  Every person has a right to petition Parliament to consider any matter within its authority, including enacting, amending, or repealing any legislation.</w:t>
      </w:r>
    </w:p>
    <w:p w14:paraId="4BE2E933" w14:textId="77777777" w:rsidR="00E623DE" w:rsidRDefault="00E623DE" w:rsidP="00B76CF6">
      <w:pPr>
        <w:spacing w:line="360" w:lineRule="auto"/>
        <w:jc w:val="both"/>
        <w:rPr>
          <w:rFonts w:ascii="Times New Roman" w:hAnsi="Times New Roman" w:cs="Times New Roman"/>
          <w:b/>
          <w:sz w:val="24"/>
          <w:szCs w:val="24"/>
          <w:u w:val="single"/>
        </w:rPr>
      </w:pPr>
    </w:p>
    <w:p w14:paraId="5B192085" w14:textId="77777777" w:rsidR="00E623DE" w:rsidRDefault="00E623DE" w:rsidP="00B76CF6">
      <w:pPr>
        <w:spacing w:line="360" w:lineRule="auto"/>
        <w:jc w:val="both"/>
        <w:rPr>
          <w:rFonts w:ascii="Times New Roman" w:hAnsi="Times New Roman" w:cs="Times New Roman"/>
          <w:b/>
          <w:sz w:val="24"/>
          <w:szCs w:val="24"/>
          <w:u w:val="single"/>
        </w:rPr>
      </w:pPr>
    </w:p>
    <w:p w14:paraId="6E0163BB" w14:textId="77777777" w:rsidR="00E623DE" w:rsidRDefault="00E623DE" w:rsidP="00B76CF6">
      <w:pPr>
        <w:spacing w:line="360" w:lineRule="auto"/>
        <w:jc w:val="both"/>
        <w:rPr>
          <w:rFonts w:ascii="Times New Roman" w:hAnsi="Times New Roman" w:cs="Times New Roman"/>
          <w:b/>
          <w:sz w:val="24"/>
          <w:szCs w:val="24"/>
          <w:u w:val="single"/>
        </w:rPr>
      </w:pPr>
    </w:p>
    <w:p w14:paraId="465BFFD5" w14:textId="77777777" w:rsidR="00E623DE" w:rsidRPr="00B76CF6" w:rsidRDefault="00B76CF6" w:rsidP="00B76CF6">
      <w:pPr>
        <w:spacing w:line="360" w:lineRule="auto"/>
        <w:jc w:val="both"/>
        <w:rPr>
          <w:rFonts w:ascii="Times New Roman" w:hAnsi="Times New Roman" w:cs="Times New Roman"/>
          <w:b/>
          <w:sz w:val="24"/>
          <w:szCs w:val="24"/>
          <w:u w:val="single"/>
        </w:rPr>
      </w:pPr>
      <w:r w:rsidRPr="00B76CF6">
        <w:rPr>
          <w:rFonts w:ascii="Times New Roman" w:hAnsi="Times New Roman" w:cs="Times New Roman"/>
          <w:b/>
          <w:sz w:val="24"/>
          <w:szCs w:val="24"/>
          <w:u w:val="single"/>
        </w:rPr>
        <w:t xml:space="preserve">Article 174 </w:t>
      </w:r>
    </w:p>
    <w:p w14:paraId="527274CE" w14:textId="77777777" w:rsidR="00F25A0E" w:rsidRPr="00B76CF6" w:rsidRDefault="00F25A0E" w:rsidP="00B76CF6">
      <w:pPr>
        <w:spacing w:line="360" w:lineRule="auto"/>
        <w:jc w:val="both"/>
        <w:rPr>
          <w:rFonts w:ascii="Times New Roman" w:hAnsi="Times New Roman" w:cs="Times New Roman"/>
          <w:sz w:val="24"/>
          <w:szCs w:val="24"/>
        </w:rPr>
      </w:pPr>
      <w:r w:rsidRPr="00B76CF6">
        <w:rPr>
          <w:rFonts w:ascii="Times New Roman" w:hAnsi="Times New Roman" w:cs="Times New Roman"/>
          <w:b/>
          <w:bCs/>
          <w:sz w:val="24"/>
          <w:szCs w:val="24"/>
        </w:rPr>
        <w:t>Article 174</w:t>
      </w:r>
      <w:r w:rsidRPr="00B76CF6">
        <w:rPr>
          <w:rFonts w:ascii="Times New Roman" w:hAnsi="Times New Roman" w:cs="Times New Roman"/>
          <w:sz w:val="24"/>
          <w:szCs w:val="24"/>
        </w:rPr>
        <w:t> of the Constitution provides for the objects of devolution. One of those objects is the participation of the people. Article 174(c) provides as follows: -</w:t>
      </w:r>
    </w:p>
    <w:p w14:paraId="0BF7E84B" w14:textId="77777777" w:rsidR="00F25A0E" w:rsidRPr="00B76CF6" w:rsidRDefault="00F25A0E" w:rsidP="00B76CF6">
      <w:pPr>
        <w:spacing w:line="360" w:lineRule="auto"/>
        <w:jc w:val="both"/>
        <w:rPr>
          <w:rFonts w:ascii="Times New Roman" w:hAnsi="Times New Roman" w:cs="Times New Roman"/>
          <w:i/>
          <w:iCs/>
          <w:sz w:val="24"/>
          <w:szCs w:val="24"/>
        </w:rPr>
      </w:pPr>
      <w:r w:rsidRPr="00B76CF6">
        <w:rPr>
          <w:rFonts w:ascii="Times New Roman" w:hAnsi="Times New Roman" w:cs="Times New Roman"/>
          <w:i/>
          <w:iCs/>
          <w:sz w:val="24"/>
          <w:szCs w:val="24"/>
        </w:rPr>
        <w:t xml:space="preserve"> (c) to give powers of self-governance to the people and enhance the participation of the people in the exercise of the powers of the State and in making decisions affecting </w:t>
      </w:r>
      <w:proofErr w:type="gramStart"/>
      <w:r w:rsidRPr="00B76CF6">
        <w:rPr>
          <w:rFonts w:ascii="Times New Roman" w:hAnsi="Times New Roman" w:cs="Times New Roman"/>
          <w:i/>
          <w:iCs/>
          <w:sz w:val="24"/>
          <w:szCs w:val="24"/>
        </w:rPr>
        <w:t>them;</w:t>
      </w:r>
      <w:proofErr w:type="gramEnd"/>
    </w:p>
    <w:p w14:paraId="40973679" w14:textId="77777777" w:rsidR="00F25A0E" w:rsidRPr="00B76CF6" w:rsidRDefault="00F25A0E" w:rsidP="00B76CF6">
      <w:pPr>
        <w:spacing w:line="360" w:lineRule="auto"/>
        <w:jc w:val="both"/>
        <w:rPr>
          <w:rFonts w:ascii="Times New Roman" w:hAnsi="Times New Roman" w:cs="Times New Roman"/>
          <w:sz w:val="24"/>
          <w:szCs w:val="24"/>
        </w:rPr>
      </w:pPr>
      <w:proofErr w:type="spellStart"/>
      <w:r w:rsidRPr="00B76CF6">
        <w:rPr>
          <w:rFonts w:ascii="Times New Roman" w:hAnsi="Times New Roman" w:cs="Times New Roman"/>
          <w:b/>
          <w:bCs/>
          <w:sz w:val="24"/>
          <w:szCs w:val="24"/>
          <w:shd w:val="clear" w:color="auto" w:fill="FFFFFF"/>
        </w:rPr>
        <w:t>Kaps</w:t>
      </w:r>
      <w:proofErr w:type="spellEnd"/>
      <w:r w:rsidRPr="00B76CF6">
        <w:rPr>
          <w:rFonts w:ascii="Times New Roman" w:hAnsi="Times New Roman" w:cs="Times New Roman"/>
          <w:b/>
          <w:bCs/>
          <w:sz w:val="24"/>
          <w:szCs w:val="24"/>
          <w:shd w:val="clear" w:color="auto" w:fill="FFFFFF"/>
        </w:rPr>
        <w:t xml:space="preserve"> Parking Limited &amp; another v County Government of Nairobi &amp; another [2021] </w:t>
      </w:r>
      <w:proofErr w:type="spellStart"/>
      <w:r w:rsidRPr="00B76CF6">
        <w:rPr>
          <w:rFonts w:ascii="Times New Roman" w:hAnsi="Times New Roman" w:cs="Times New Roman"/>
          <w:b/>
          <w:bCs/>
          <w:sz w:val="24"/>
          <w:szCs w:val="24"/>
          <w:shd w:val="clear" w:color="auto" w:fill="FFFFFF"/>
        </w:rPr>
        <w:t>eKLR</w:t>
      </w:r>
      <w:proofErr w:type="spellEnd"/>
    </w:p>
    <w:p w14:paraId="0411A6C3" w14:textId="77777777" w:rsidR="00F25A0E" w:rsidRPr="00B76CF6" w:rsidRDefault="00F25A0E" w:rsidP="00B76CF6">
      <w:pPr>
        <w:pStyle w:val="NormalWeb"/>
        <w:shd w:val="clear" w:color="auto" w:fill="FFFFFF"/>
        <w:spacing w:before="0" w:beforeAutospacing="0" w:after="150" w:afterAutospacing="0" w:line="360" w:lineRule="auto"/>
        <w:jc w:val="both"/>
      </w:pPr>
      <w:r w:rsidRPr="00B76CF6">
        <w:t>136. There is no doubt that public participation as contemplated under Articles 10, 174, 196 and 201 of the Constitution, Sections 87 and 115 of the County Governments Act and the 2</w:t>
      </w:r>
      <w:r w:rsidRPr="00B76CF6">
        <w:rPr>
          <w:vertAlign w:val="superscript"/>
        </w:rPr>
        <w:t>nd</w:t>
      </w:r>
      <w:r w:rsidRPr="00B76CF6">
        <w:t> Respondent’s Standing Orders is so central in the affairs of public entities, including the legislative processes of the 2</w:t>
      </w:r>
      <w:r w:rsidRPr="00B76CF6">
        <w:rPr>
          <w:vertAlign w:val="superscript"/>
        </w:rPr>
        <w:t>nd</w:t>
      </w:r>
      <w:r w:rsidRPr="00B76CF6">
        <w:t> Respondent.</w:t>
      </w:r>
    </w:p>
    <w:p w14:paraId="34374269" w14:textId="77777777" w:rsidR="00F25A0E" w:rsidRPr="00B76CF6" w:rsidRDefault="00F25A0E" w:rsidP="00B76CF6">
      <w:pPr>
        <w:pStyle w:val="NormalWeb"/>
        <w:shd w:val="clear" w:color="auto" w:fill="FFFFFF"/>
        <w:spacing w:before="0" w:beforeAutospacing="0" w:after="150" w:afterAutospacing="0" w:line="360" w:lineRule="auto"/>
        <w:jc w:val="both"/>
      </w:pPr>
      <w:r w:rsidRPr="00B76CF6">
        <w:t>137. The manner in which public participation is carried out depends on the matter at hand. There is no straight-jacket application of the principle of citizen participation. However, any mode of undertaking public participation which may be adopted by a public entity must factor, in the minimum, the following basic </w:t>
      </w:r>
      <w:r w:rsidRPr="00B76CF6">
        <w:rPr>
          <w:rStyle w:val="Strong"/>
        </w:rPr>
        <w:t>four parameters</w:t>
      </w:r>
      <w:r w:rsidRPr="00B76CF6">
        <w:t>. </w:t>
      </w:r>
      <w:r w:rsidRPr="00B76CF6">
        <w:rPr>
          <w:rStyle w:val="Emphasis"/>
        </w:rPr>
        <w:t>First,</w:t>
      </w:r>
      <w:r w:rsidRPr="00B76CF6">
        <w:t> the public be accorded reasonable access to the information which they are called upon to give their views on. In other words, the mode of conveying the information to the public reigns. </w:t>
      </w:r>
      <w:r w:rsidRPr="00B76CF6">
        <w:rPr>
          <w:rStyle w:val="Emphasis"/>
        </w:rPr>
        <w:t>Second,</w:t>
      </w:r>
      <w:r w:rsidRPr="00B76CF6">
        <w:t> the people be sensitized or be made to understand what they are called upon to consider and give their views on. In this case, the </w:t>
      </w:r>
      <w:r w:rsidRPr="00B76CF6">
        <w:rPr>
          <w:rStyle w:val="Emphasis"/>
        </w:rPr>
        <w:t>language </w:t>
      </w:r>
      <w:r w:rsidRPr="00B76CF6">
        <w:t>used in conveying the information to the public becomes of paramount importance. For instance, if those affected by the intended decisions or the legislation are mostly illiterate, then such realities must be factored in deciding the mode and manner of conveying the information. </w:t>
      </w:r>
      <w:r w:rsidRPr="00B76CF6">
        <w:rPr>
          <w:rStyle w:val="Emphasis"/>
        </w:rPr>
        <w:t>Third</w:t>
      </w:r>
      <w:r w:rsidRPr="00B76CF6">
        <w:t>, once the public is granted reasonable access to the information and is made to understand it, the public must then be accorded reasonable time to interrogate the information and to come up with its views. </w:t>
      </w:r>
      <w:r w:rsidRPr="00B76CF6">
        <w:rPr>
          <w:rStyle w:val="Emphasis"/>
        </w:rPr>
        <w:t>Fourth,</w:t>
      </w:r>
      <w:r w:rsidRPr="00B76CF6">
        <w:t> there must be a defined manner in which the public or stakeholders will tender their responses on the matter. </w:t>
      </w:r>
    </w:p>
    <w:p w14:paraId="46FB7921" w14:textId="77777777" w:rsidR="00F25A0E" w:rsidRPr="00B76CF6" w:rsidRDefault="00F25A0E" w:rsidP="00B76CF6">
      <w:pPr>
        <w:pStyle w:val="NormalWeb"/>
        <w:shd w:val="clear" w:color="auto" w:fill="FFFFFF"/>
        <w:spacing w:before="0" w:beforeAutospacing="0" w:after="150" w:afterAutospacing="0" w:line="360" w:lineRule="auto"/>
        <w:jc w:val="both"/>
      </w:pPr>
      <w:r w:rsidRPr="00B76CF6">
        <w:t>138. The effect of the above constitutional and statutory parameters is to ensure that public participation is realistic and not illusory. Public participation should not be a mere formality, but must accord reasonable opportunity for people to have their say in what affects them. In that way, the dictates of the Constitution and the law will be achieved. (See </w:t>
      </w:r>
      <w:r w:rsidRPr="00B76CF6">
        <w:rPr>
          <w:rStyle w:val="Emphasis"/>
          <w:b/>
          <w:bCs/>
        </w:rPr>
        <w:t xml:space="preserve">Robert M. </w:t>
      </w:r>
      <w:proofErr w:type="spellStart"/>
      <w:r w:rsidRPr="00B76CF6">
        <w:rPr>
          <w:rStyle w:val="Emphasis"/>
          <w:b/>
          <w:bCs/>
        </w:rPr>
        <w:t>Gakuru’s</w:t>
      </w:r>
      <w:proofErr w:type="spellEnd"/>
      <w:r w:rsidRPr="00B76CF6">
        <w:rPr>
          <w:rStyle w:val="Emphasis"/>
          <w:b/>
          <w:bCs/>
        </w:rPr>
        <w:t xml:space="preserve"> case</w:t>
      </w:r>
      <w:r w:rsidRPr="00B76CF6">
        <w:t> (supra) among others). </w:t>
      </w:r>
    </w:p>
    <w:p w14:paraId="3862CFAA" w14:textId="77777777" w:rsidR="00C0280E" w:rsidRPr="00B76CF6" w:rsidRDefault="00C0280E" w:rsidP="00B76CF6">
      <w:pPr>
        <w:pStyle w:val="NormalWeb"/>
        <w:shd w:val="clear" w:color="auto" w:fill="FFFFFF"/>
        <w:spacing w:before="0" w:beforeAutospacing="0" w:after="150" w:afterAutospacing="0" w:line="360" w:lineRule="auto"/>
        <w:jc w:val="both"/>
      </w:pPr>
    </w:p>
    <w:p w14:paraId="41C57D15" w14:textId="77777777" w:rsidR="00C0280E" w:rsidRPr="00B76CF6" w:rsidRDefault="00C0280E" w:rsidP="00B76CF6">
      <w:pPr>
        <w:spacing w:line="360" w:lineRule="auto"/>
        <w:jc w:val="both"/>
        <w:rPr>
          <w:rFonts w:ascii="Times New Roman" w:hAnsi="Times New Roman" w:cs="Times New Roman"/>
          <w:b/>
          <w:bCs/>
          <w:sz w:val="24"/>
          <w:szCs w:val="24"/>
          <w:u w:val="single"/>
        </w:rPr>
      </w:pPr>
      <w:r w:rsidRPr="00B76CF6">
        <w:rPr>
          <w:rFonts w:ascii="Times New Roman" w:hAnsi="Times New Roman" w:cs="Times New Roman"/>
          <w:b/>
          <w:bCs/>
          <w:sz w:val="24"/>
          <w:szCs w:val="24"/>
          <w:u w:val="single"/>
        </w:rPr>
        <w:t xml:space="preserve">ARTICLE </w:t>
      </w:r>
      <w:r w:rsidR="00AB13F3">
        <w:rPr>
          <w:rFonts w:ascii="Times New Roman" w:hAnsi="Times New Roman" w:cs="Times New Roman"/>
          <w:b/>
          <w:bCs/>
          <w:sz w:val="24"/>
          <w:szCs w:val="24"/>
          <w:u w:val="single"/>
        </w:rPr>
        <w:t xml:space="preserve">174(d) </w:t>
      </w:r>
    </w:p>
    <w:p w14:paraId="505C5DAD" w14:textId="77777777" w:rsidR="00C0280E" w:rsidRPr="00B76CF6" w:rsidRDefault="00C028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Public participation is a fundamental principle that entails a process by which citizens, comprising of  individuals, groups or communities </w:t>
      </w:r>
      <w:proofErr w:type="spellStart"/>
      <w:r w:rsidRPr="00B76CF6">
        <w:rPr>
          <w:rFonts w:ascii="Times New Roman" w:hAnsi="Times New Roman" w:cs="Times New Roman"/>
          <w:sz w:val="24"/>
          <w:szCs w:val="24"/>
        </w:rPr>
        <w:t>categorised</w:t>
      </w:r>
      <w:proofErr w:type="spellEnd"/>
      <w:r w:rsidRPr="00B76CF6">
        <w:rPr>
          <w:rFonts w:ascii="Times New Roman" w:hAnsi="Times New Roman" w:cs="Times New Roman"/>
          <w:sz w:val="24"/>
          <w:szCs w:val="24"/>
        </w:rPr>
        <w:t xml:space="preserve"> as stakeholders, take part in the conduct of public affairs, interact with the state and other non-state actors to influence decisions, policies, programs, legislation and provide oversight in service delivery, development and other matters concerning their governance and public interest, either directly or through freely chosen representatives. </w:t>
      </w:r>
    </w:p>
    <w:p w14:paraId="0282A7E5" w14:textId="77777777" w:rsidR="00C0280E" w:rsidRPr="00B76CF6" w:rsidRDefault="00C0280E"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This is evident in legislative assembly where the process is key. Upon introducing a bill in the House, the Speaker directs the same to the relevant committee to conduct Public participation from which memorandum in writing, public hearing process and submission of public view from public forums are </w:t>
      </w:r>
      <w:proofErr w:type="spellStart"/>
      <w:r w:rsidRPr="00B76CF6">
        <w:rPr>
          <w:rFonts w:ascii="Times New Roman" w:hAnsi="Times New Roman" w:cs="Times New Roman"/>
          <w:sz w:val="24"/>
          <w:szCs w:val="24"/>
        </w:rPr>
        <w:t>harmonised</w:t>
      </w:r>
      <w:proofErr w:type="spellEnd"/>
      <w:r w:rsidRPr="00B76CF6">
        <w:rPr>
          <w:rFonts w:ascii="Times New Roman" w:hAnsi="Times New Roman" w:cs="Times New Roman"/>
          <w:sz w:val="24"/>
          <w:szCs w:val="24"/>
        </w:rPr>
        <w:t>. The main objective being fulfilling constitutional requirement on citizen engagement in development and governance process.</w:t>
      </w:r>
    </w:p>
    <w:p w14:paraId="696F9AD6" w14:textId="77777777" w:rsidR="00C0280E" w:rsidRPr="00B76CF6" w:rsidRDefault="00C0280E" w:rsidP="00B76CF6">
      <w:pPr>
        <w:pStyle w:val="NormalWeb"/>
        <w:shd w:val="clear" w:color="auto" w:fill="FFFFFF"/>
        <w:spacing w:before="0" w:beforeAutospacing="0" w:after="300" w:afterAutospacing="0" w:line="360" w:lineRule="auto"/>
        <w:jc w:val="both"/>
      </w:pPr>
      <w:r w:rsidRPr="00B76CF6">
        <w:t xml:space="preserve">In the case of </w:t>
      </w:r>
      <w:r w:rsidRPr="00B76CF6">
        <w:rPr>
          <w:b/>
          <w:bCs/>
          <w:i/>
          <w:iCs/>
        </w:rPr>
        <w:t xml:space="preserve">George </w:t>
      </w:r>
      <w:proofErr w:type="spellStart"/>
      <w:r w:rsidRPr="00B76CF6">
        <w:rPr>
          <w:b/>
          <w:bCs/>
          <w:i/>
          <w:iCs/>
        </w:rPr>
        <w:t>Ngotho</w:t>
      </w:r>
      <w:proofErr w:type="spellEnd"/>
      <w:r w:rsidRPr="00B76CF6">
        <w:rPr>
          <w:b/>
          <w:bCs/>
          <w:i/>
          <w:iCs/>
        </w:rPr>
        <w:t xml:space="preserve"> V County Government</w:t>
      </w:r>
      <w:r w:rsidRPr="00B76CF6">
        <w:t xml:space="preserve"> of Kiambu and </w:t>
      </w:r>
      <w:proofErr w:type="gramStart"/>
      <w:r w:rsidRPr="00B76CF6">
        <w:t>others</w:t>
      </w:r>
      <w:r w:rsidR="00AB13F3">
        <w:t xml:space="preserve"> ,</w:t>
      </w:r>
      <w:r w:rsidRPr="00B76CF6">
        <w:t>Justice</w:t>
      </w:r>
      <w:proofErr w:type="gramEnd"/>
      <w:r w:rsidRPr="00B76CF6">
        <w:t xml:space="preserve"> </w:t>
      </w:r>
      <w:proofErr w:type="spellStart"/>
      <w:r w:rsidRPr="00B76CF6">
        <w:t>Mueli</w:t>
      </w:r>
      <w:proofErr w:type="spellEnd"/>
      <w:r w:rsidRPr="00B76CF6">
        <w:t xml:space="preserve"> ruled in </w:t>
      </w:r>
      <w:proofErr w:type="spellStart"/>
      <w:r w:rsidRPr="00B76CF6">
        <w:t>favour</w:t>
      </w:r>
      <w:proofErr w:type="spellEnd"/>
      <w:r w:rsidRPr="00B76CF6">
        <w:t xml:space="preserve"> of nine companies which were contesting Kiambu Water and Sanitation (Amendment Bill), 2018 which dictated a merger of all County water companies. </w:t>
      </w:r>
    </w:p>
    <w:p w14:paraId="7993E8BF" w14:textId="77777777" w:rsidR="00C0280E" w:rsidRPr="006928A9" w:rsidRDefault="00C0280E" w:rsidP="00B76CF6">
      <w:pPr>
        <w:pStyle w:val="NormalWeb"/>
        <w:shd w:val="clear" w:color="auto" w:fill="FFFFFF"/>
        <w:spacing w:before="0" w:beforeAutospacing="0" w:after="300" w:afterAutospacing="0" w:line="360" w:lineRule="auto"/>
        <w:jc w:val="both"/>
      </w:pPr>
      <w:r w:rsidRPr="00B76CF6">
        <w:t xml:space="preserve">This was after Governor </w:t>
      </w:r>
      <w:proofErr w:type="spellStart"/>
      <w:r w:rsidRPr="00B76CF6">
        <w:t>Waititu</w:t>
      </w:r>
      <w:proofErr w:type="spellEnd"/>
      <w:r w:rsidRPr="00B76CF6">
        <w:t xml:space="preserve"> as then was, unveiled Kiambu County Water Company Limited as an umbrella body for all water companies in the County after the Water Bill was amended and passed. </w:t>
      </w:r>
      <w:r w:rsidRPr="006928A9">
        <w:t xml:space="preserve">Kiambu County Community Water Users Association comprising 27 community water companies filed a petition in the High Court challenging the water law. The amendment </w:t>
      </w:r>
      <w:proofErr w:type="spellStart"/>
      <w:r w:rsidRPr="006928A9">
        <w:t>authorised</w:t>
      </w:r>
      <w:proofErr w:type="spellEnd"/>
      <w:r w:rsidRPr="006928A9">
        <w:t xml:space="preserve"> the governor to designate a member of staff of the county government to be a member of the management committee and be the secretary of the privately-owned water companies.</w:t>
      </w:r>
    </w:p>
    <w:p w14:paraId="3A54D289" w14:textId="77777777" w:rsidR="00C0280E" w:rsidRPr="006928A9" w:rsidRDefault="00C0280E" w:rsidP="00B76CF6">
      <w:pPr>
        <w:pStyle w:val="NormalWeb"/>
        <w:shd w:val="clear" w:color="auto" w:fill="FFFFFF"/>
        <w:spacing w:before="0" w:beforeAutospacing="0" w:after="300" w:afterAutospacing="0" w:line="360" w:lineRule="auto"/>
        <w:jc w:val="both"/>
      </w:pPr>
      <w:r w:rsidRPr="006928A9">
        <w:t>The same law dictated that the community water projects committee to within three months of the financial year submit their audited books of account to the CEC and the county assembly. </w:t>
      </w:r>
    </w:p>
    <w:p w14:paraId="631DA204" w14:textId="77777777" w:rsidR="00C0280E" w:rsidRDefault="00C0280E" w:rsidP="00B76CF6">
      <w:pPr>
        <w:pStyle w:val="NormalWeb"/>
        <w:shd w:val="clear" w:color="auto" w:fill="FFFFFF"/>
        <w:spacing w:before="0" w:beforeAutospacing="0" w:after="300" w:afterAutospacing="0" w:line="360" w:lineRule="auto"/>
        <w:jc w:val="both"/>
      </w:pPr>
      <w:r w:rsidRPr="006928A9">
        <w:t xml:space="preserve">Justice </w:t>
      </w:r>
      <w:proofErr w:type="spellStart"/>
      <w:r w:rsidRPr="006928A9">
        <w:t>Meoli</w:t>
      </w:r>
      <w:proofErr w:type="spellEnd"/>
      <w:r w:rsidRPr="006928A9">
        <w:t xml:space="preserve"> ruled that the county assembly did not follow the law on public participation found to have been conducted in a day-long oral meeting as opposed to seven-day long public participation. This was in contravention of Article 174(d) of the Constitution of Kenya. </w:t>
      </w:r>
      <w:proofErr w:type="spellStart"/>
      <w:r w:rsidRPr="006928A9">
        <w:t>Meoli’s</w:t>
      </w:r>
      <w:proofErr w:type="spellEnd"/>
      <w:r w:rsidRPr="006928A9">
        <w:t xml:space="preserve"> ruling, stated further that the companies should follow the rules and regulations set out by the Water Act of 2015.</w:t>
      </w:r>
    </w:p>
    <w:p w14:paraId="02DD61E7" w14:textId="77777777" w:rsidR="006928A9" w:rsidRPr="006928A9" w:rsidRDefault="006928A9" w:rsidP="00B76CF6">
      <w:pPr>
        <w:pStyle w:val="NormalWeb"/>
        <w:shd w:val="clear" w:color="auto" w:fill="FFFFFF"/>
        <w:spacing w:before="0" w:beforeAutospacing="0" w:after="300" w:afterAutospacing="0" w:line="360" w:lineRule="auto"/>
        <w:jc w:val="both"/>
        <w:rPr>
          <w:b/>
          <w:u w:val="single"/>
        </w:rPr>
      </w:pPr>
      <w:r w:rsidRPr="006928A9">
        <w:rPr>
          <w:b/>
          <w:u w:val="single"/>
        </w:rPr>
        <w:t>Article 184</w:t>
      </w:r>
    </w:p>
    <w:p w14:paraId="0201845C" w14:textId="77777777" w:rsidR="00D53A98" w:rsidRPr="006928A9" w:rsidRDefault="00D53A98" w:rsidP="00B76CF6">
      <w:pPr>
        <w:pStyle w:val="NormalWeb"/>
        <w:shd w:val="clear" w:color="auto" w:fill="FFFFFF"/>
        <w:spacing w:before="0" w:beforeAutospacing="0" w:after="300" w:afterAutospacing="0" w:line="360" w:lineRule="auto"/>
        <w:jc w:val="both"/>
      </w:pPr>
      <w:r w:rsidRPr="006928A9">
        <w:rPr>
          <w:b/>
        </w:rPr>
        <w:t>Article 184 (1)</w:t>
      </w:r>
      <w:r w:rsidRPr="006928A9">
        <w:t>:  National legislation should provide for the governance and management of urban areas and cities and should, in particular— (c) provide for participation by residents in the governance of urban areas and cities.</w:t>
      </w:r>
    </w:p>
    <w:p w14:paraId="0F3F5BB3" w14:textId="77777777" w:rsidR="006928A9" w:rsidRPr="006928A9" w:rsidRDefault="006928A9" w:rsidP="00B76CF6">
      <w:pPr>
        <w:spacing w:line="360" w:lineRule="auto"/>
        <w:jc w:val="both"/>
        <w:rPr>
          <w:rFonts w:ascii="Times New Roman" w:eastAsia="SimSun" w:hAnsi="Times New Roman" w:cs="Times New Roman"/>
          <w:b/>
          <w:sz w:val="24"/>
          <w:szCs w:val="24"/>
          <w:u w:val="single"/>
          <w:shd w:val="clear" w:color="auto" w:fill="FFFFFF"/>
          <w:lang w:val="en-GB"/>
        </w:rPr>
      </w:pPr>
      <w:r w:rsidRPr="006928A9">
        <w:rPr>
          <w:rFonts w:ascii="Times New Roman" w:eastAsia="SimSun" w:hAnsi="Times New Roman" w:cs="Times New Roman"/>
          <w:b/>
          <w:sz w:val="24"/>
          <w:szCs w:val="24"/>
          <w:u w:val="single"/>
          <w:shd w:val="clear" w:color="auto" w:fill="FFFFFF"/>
          <w:lang w:val="en-GB"/>
        </w:rPr>
        <w:t>Article 196</w:t>
      </w:r>
    </w:p>
    <w:p w14:paraId="0CAD94D4" w14:textId="77777777" w:rsidR="001C02EB" w:rsidRPr="006928A9" w:rsidRDefault="001C02EB" w:rsidP="00B76CF6">
      <w:pPr>
        <w:spacing w:line="360" w:lineRule="auto"/>
        <w:jc w:val="both"/>
        <w:rPr>
          <w:rFonts w:ascii="Times New Roman" w:eastAsia="SimSun" w:hAnsi="Times New Roman" w:cs="Times New Roman"/>
          <w:sz w:val="24"/>
          <w:szCs w:val="24"/>
          <w:shd w:val="clear" w:color="auto" w:fill="FFFFFF"/>
          <w:lang w:val="en-GB"/>
        </w:rPr>
      </w:pPr>
      <w:r w:rsidRPr="006928A9">
        <w:rPr>
          <w:rFonts w:ascii="Times New Roman" w:eastAsia="SimSun" w:hAnsi="Times New Roman" w:cs="Times New Roman"/>
          <w:sz w:val="24"/>
          <w:szCs w:val="24"/>
          <w:shd w:val="clear" w:color="auto" w:fill="FFFFFF"/>
          <w:lang w:val="en-GB"/>
        </w:rPr>
        <w:t xml:space="preserve">This then is emphasized by </w:t>
      </w:r>
      <w:r w:rsidRPr="006928A9">
        <w:rPr>
          <w:rFonts w:ascii="Times New Roman" w:eastAsia="SimSun" w:hAnsi="Times New Roman" w:cs="Times New Roman"/>
          <w:b/>
          <w:sz w:val="24"/>
          <w:szCs w:val="24"/>
          <w:shd w:val="clear" w:color="auto" w:fill="FFFFFF"/>
          <w:lang w:val="en-GB"/>
        </w:rPr>
        <w:t>Article 196</w:t>
      </w:r>
      <w:r w:rsidRPr="006928A9">
        <w:rPr>
          <w:rFonts w:ascii="Times New Roman" w:eastAsia="SimSun" w:hAnsi="Times New Roman" w:cs="Times New Roman"/>
          <w:sz w:val="24"/>
          <w:szCs w:val="24"/>
          <w:shd w:val="clear" w:color="auto" w:fill="FFFFFF"/>
          <w:lang w:val="en-GB"/>
        </w:rPr>
        <w:t xml:space="preserve"> of the Constitution of Kenya 2010 that directs county assemblies to openly conduct its business, and hold its sittings and those of its committees, in public</w:t>
      </w:r>
      <w:r w:rsidRPr="006928A9">
        <w:rPr>
          <w:rStyle w:val="FootnoteReference"/>
          <w:rFonts w:ascii="Times New Roman" w:eastAsia="SimSun" w:hAnsi="Times New Roman" w:cs="Times New Roman"/>
          <w:sz w:val="24"/>
          <w:szCs w:val="24"/>
          <w:shd w:val="clear" w:color="auto" w:fill="FFFFFF"/>
          <w:lang w:val="en-GB"/>
        </w:rPr>
        <w:footnoteReference w:id="1"/>
      </w:r>
      <w:r w:rsidRPr="006928A9">
        <w:rPr>
          <w:rFonts w:ascii="Times New Roman" w:eastAsia="SimSun" w:hAnsi="Times New Roman" w:cs="Times New Roman"/>
          <w:sz w:val="24"/>
          <w:szCs w:val="24"/>
          <w:shd w:val="clear" w:color="auto" w:fill="FFFFFF"/>
          <w:lang w:val="en-GB"/>
        </w:rPr>
        <w:t xml:space="preserve"> and facilitate public participation and involvement in the legislative and other business of the assembly and its committees.</w:t>
      </w:r>
      <w:r w:rsidRPr="006928A9">
        <w:rPr>
          <w:rStyle w:val="FootnoteReference"/>
          <w:rFonts w:ascii="Times New Roman" w:eastAsia="SimSun" w:hAnsi="Times New Roman" w:cs="Times New Roman"/>
          <w:sz w:val="24"/>
          <w:szCs w:val="24"/>
          <w:shd w:val="clear" w:color="auto" w:fill="FFFFFF"/>
          <w:lang w:val="en-GB"/>
        </w:rPr>
        <w:footnoteReference w:id="2"/>
      </w:r>
      <w:r w:rsidRPr="006928A9">
        <w:rPr>
          <w:rFonts w:ascii="Times New Roman" w:eastAsia="SimSun" w:hAnsi="Times New Roman" w:cs="Times New Roman"/>
          <w:sz w:val="24"/>
          <w:szCs w:val="24"/>
          <w:shd w:val="clear" w:color="auto" w:fill="FFFFFF"/>
          <w:lang w:val="en-GB"/>
        </w:rPr>
        <w:t xml:space="preserve"> </w:t>
      </w:r>
    </w:p>
    <w:p w14:paraId="7A333AB5" w14:textId="77777777" w:rsidR="001C02EB" w:rsidRPr="006928A9" w:rsidRDefault="001C02EB" w:rsidP="00B76CF6">
      <w:pPr>
        <w:spacing w:line="360" w:lineRule="auto"/>
        <w:jc w:val="both"/>
        <w:rPr>
          <w:rFonts w:ascii="Times New Roman" w:hAnsi="Times New Roman" w:cs="Times New Roman"/>
          <w:sz w:val="24"/>
          <w:szCs w:val="24"/>
          <w:lang w:val="en-GB"/>
        </w:rPr>
      </w:pPr>
      <w:r w:rsidRPr="006928A9">
        <w:rPr>
          <w:rFonts w:ascii="Times New Roman" w:eastAsia="SimSun" w:hAnsi="Times New Roman" w:cs="Times New Roman"/>
          <w:sz w:val="24"/>
          <w:szCs w:val="24"/>
          <w:shd w:val="clear" w:color="auto" w:fill="FFFFFF"/>
          <w:lang w:val="en-GB"/>
        </w:rPr>
        <w:t>In</w:t>
      </w:r>
      <w:r w:rsidRPr="006928A9">
        <w:rPr>
          <w:rFonts w:ascii="Times New Roman" w:eastAsia="SimSun" w:hAnsi="Times New Roman" w:cs="Times New Roman"/>
          <w:b/>
          <w:sz w:val="24"/>
          <w:szCs w:val="24"/>
          <w:shd w:val="clear" w:color="auto" w:fill="FFFFFF"/>
          <w:lang w:val="en-GB"/>
        </w:rPr>
        <w:t xml:space="preserve"> </w:t>
      </w:r>
      <w:r w:rsidRPr="006928A9">
        <w:rPr>
          <w:rFonts w:ascii="Times New Roman" w:eastAsia="Arial" w:hAnsi="Times New Roman" w:cs="Times New Roman"/>
          <w:b/>
          <w:sz w:val="24"/>
          <w:szCs w:val="24"/>
          <w:shd w:val="clear" w:color="auto" w:fill="FFFFFF"/>
        </w:rPr>
        <w:t xml:space="preserve">Legal Advice Centre &amp; 2 others v County Government of Mombasa &amp; 4 others </w:t>
      </w:r>
      <w:r w:rsidRPr="006928A9">
        <w:rPr>
          <w:rFonts w:ascii="Times New Roman" w:eastAsia="Arial" w:hAnsi="Times New Roman" w:cs="Times New Roman"/>
          <w:sz w:val="24"/>
          <w:szCs w:val="24"/>
          <w:shd w:val="clear" w:color="auto" w:fill="FFFFFF"/>
          <w:lang w:val="en-GB"/>
        </w:rPr>
        <w:t>where the court stated “</w:t>
      </w:r>
      <w:r w:rsidRPr="006928A9">
        <w:rPr>
          <w:rStyle w:val="Emphasis"/>
          <w:rFonts w:ascii="Times New Roman" w:eastAsia="SimSun" w:hAnsi="Times New Roman" w:cs="Times New Roman"/>
          <w:sz w:val="24"/>
          <w:szCs w:val="24"/>
          <w:shd w:val="clear" w:color="auto" w:fill="FFFFFF"/>
        </w:rPr>
        <w:t>The purpose of permitting public participation in the law-making process is to afford the public the opportunity to influence the decision of the law-makers. This requires the law-makers to consider the representations made and thereafter make an informed decision. Law-makers must provide opportunities for the public to be involved in meaningful ways, to listen to their concerns, values, and preferences, and to consider these in shaping their decisions and policies. Were it to be otherwise, the duty to facilitate public participation would have no meaning</w:t>
      </w:r>
      <w:r w:rsidRPr="006928A9">
        <w:rPr>
          <w:rStyle w:val="Emphasis"/>
          <w:rFonts w:ascii="Times New Roman" w:eastAsia="SimSun" w:hAnsi="Times New Roman" w:cs="Times New Roman"/>
          <w:sz w:val="24"/>
          <w:szCs w:val="24"/>
          <w:shd w:val="clear" w:color="auto" w:fill="FFFFFF"/>
          <w:lang w:val="en-GB"/>
        </w:rPr>
        <w:t>.”</w:t>
      </w:r>
    </w:p>
    <w:p w14:paraId="1A603A85" w14:textId="77777777" w:rsidR="001C02EB" w:rsidRPr="00B76CF6" w:rsidRDefault="001C02EB" w:rsidP="00B76CF6">
      <w:pPr>
        <w:spacing w:line="360" w:lineRule="auto"/>
        <w:jc w:val="both"/>
        <w:rPr>
          <w:rFonts w:ascii="Times New Roman" w:eastAsia="SimSun" w:hAnsi="Times New Roman" w:cs="Times New Roman"/>
          <w:sz w:val="24"/>
          <w:szCs w:val="24"/>
          <w:lang w:val="en-GB" w:eastAsia="en-GB"/>
        </w:rPr>
      </w:pPr>
    </w:p>
    <w:p w14:paraId="78B1BF07" w14:textId="77777777" w:rsidR="001C02EB" w:rsidRPr="00B76CF6" w:rsidRDefault="001C02EB"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u w:val="single"/>
        </w:rPr>
        <w:t>Article 201 (a):</w:t>
      </w:r>
      <w:r w:rsidRPr="00B76CF6">
        <w:rPr>
          <w:rFonts w:ascii="Times New Roman" w:hAnsi="Times New Roman" w:cs="Times New Roman"/>
          <w:sz w:val="24"/>
          <w:szCs w:val="24"/>
        </w:rPr>
        <w:t xml:space="preserve"> </w:t>
      </w:r>
    </w:p>
    <w:p w14:paraId="55FA7105" w14:textId="77777777" w:rsidR="001C02EB" w:rsidRPr="00B76CF6" w:rsidRDefault="001C02EB"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This provision requires that there be openness and accountability, including public participation in financial matters.</w:t>
      </w:r>
    </w:p>
    <w:p w14:paraId="03CEA1DD" w14:textId="77777777" w:rsidR="001C02EB" w:rsidRPr="00B76CF6" w:rsidRDefault="001C02EB" w:rsidP="00B76CF6">
      <w:pPr>
        <w:spacing w:line="360" w:lineRule="auto"/>
        <w:jc w:val="both"/>
        <w:rPr>
          <w:rFonts w:ascii="Times New Roman" w:hAnsi="Times New Roman" w:cs="Times New Roman"/>
          <w:sz w:val="24"/>
          <w:szCs w:val="24"/>
        </w:rPr>
      </w:pPr>
      <w:r w:rsidRPr="00B76CF6">
        <w:rPr>
          <w:rFonts w:ascii="Times New Roman" w:hAnsi="Times New Roman" w:cs="Times New Roman"/>
          <w:sz w:val="24"/>
          <w:szCs w:val="24"/>
        </w:rPr>
        <w:t xml:space="preserve">When conducting the actual public participation sessions, officers should ensure that the action plan is properly carried out for accountability purposes. Therefore, they ought to effectively plan the public participation process so as to ensure that possible conflict is mediated and misunderstandings addressed.  The stakeholders should also be provided with necessary information so as to enhance credibility while witnesses ought to be granted sufficient time to prepare their oral and written submissions. </w:t>
      </w:r>
    </w:p>
    <w:p w14:paraId="292454FB" w14:textId="77777777" w:rsidR="001C02EB" w:rsidRPr="006928A9" w:rsidRDefault="006928A9" w:rsidP="006928A9">
      <w:pPr>
        <w:pStyle w:val="NormalWeb"/>
        <w:shd w:val="clear" w:color="auto" w:fill="FFFFFF"/>
        <w:spacing w:before="240" w:beforeAutospacing="0" w:after="300" w:afterAutospacing="0" w:line="360" w:lineRule="auto"/>
        <w:jc w:val="both"/>
        <w:rPr>
          <w:b/>
          <w:u w:val="single"/>
        </w:rPr>
      </w:pPr>
      <w:r w:rsidRPr="006928A9">
        <w:rPr>
          <w:b/>
          <w:u w:val="single"/>
        </w:rPr>
        <w:t>Article 232</w:t>
      </w:r>
      <w:r>
        <w:rPr>
          <w:b/>
          <w:u w:val="single"/>
        </w:rPr>
        <w:t xml:space="preserve"> (1)(d) </w:t>
      </w:r>
    </w:p>
    <w:p w14:paraId="71DCF5C6" w14:textId="77777777" w:rsidR="00FE0F6B" w:rsidRPr="00B76CF6" w:rsidRDefault="00FE0F6B" w:rsidP="00B76CF6">
      <w:pPr>
        <w:spacing w:line="360" w:lineRule="auto"/>
        <w:jc w:val="both"/>
        <w:rPr>
          <w:rFonts w:ascii="Times New Roman" w:hAnsi="Times New Roman" w:cs="Times New Roman"/>
          <w:sz w:val="24"/>
          <w:szCs w:val="24"/>
        </w:rPr>
      </w:pPr>
      <w:r w:rsidRPr="00B76CF6">
        <w:rPr>
          <w:rFonts w:ascii="Times New Roman" w:hAnsi="Times New Roman" w:cs="Times New Roman"/>
          <w:b/>
          <w:sz w:val="24"/>
          <w:szCs w:val="24"/>
        </w:rPr>
        <w:t>Article 232(1) (d)</w:t>
      </w:r>
      <w:r w:rsidRPr="00B76CF6">
        <w:rPr>
          <w:rFonts w:ascii="Times New Roman" w:hAnsi="Times New Roman" w:cs="Times New Roman"/>
          <w:sz w:val="24"/>
          <w:szCs w:val="24"/>
        </w:rPr>
        <w:t xml:space="preserve"> provides for</w:t>
      </w:r>
      <w:r w:rsidRPr="00B76CF6">
        <w:rPr>
          <w:rFonts w:ascii="Times New Roman" w:hAnsi="Times New Roman" w:cs="Times New Roman"/>
          <w:b/>
          <w:sz w:val="24"/>
          <w:szCs w:val="24"/>
        </w:rPr>
        <w:t xml:space="preserve"> </w:t>
      </w:r>
      <w:r w:rsidRPr="00B76CF6">
        <w:rPr>
          <w:rFonts w:ascii="Times New Roman" w:hAnsi="Times New Roman" w:cs="Times New Roman"/>
          <w:sz w:val="24"/>
          <w:szCs w:val="24"/>
        </w:rPr>
        <w:t>values and principles of public service and stresses on the need for involvement of people in the process of policy making.</w:t>
      </w:r>
    </w:p>
    <w:p w14:paraId="44CDAFE8" w14:textId="77777777" w:rsidR="00FE0F6B" w:rsidRPr="00B76CF6" w:rsidRDefault="00FE0F6B" w:rsidP="00B76CF6">
      <w:pPr>
        <w:autoSpaceDE w:val="0"/>
        <w:autoSpaceDN w:val="0"/>
        <w:adjustRightInd w:val="0"/>
        <w:spacing w:after="0" w:line="360" w:lineRule="auto"/>
        <w:jc w:val="both"/>
        <w:rPr>
          <w:rFonts w:ascii="Times New Roman" w:hAnsi="Times New Roman" w:cs="Times New Roman"/>
          <w:sz w:val="24"/>
          <w:szCs w:val="24"/>
          <w:lang w:val="en-GB"/>
        </w:rPr>
      </w:pPr>
      <w:r w:rsidRPr="00B76CF6">
        <w:rPr>
          <w:rFonts w:ascii="Times New Roman" w:hAnsi="Times New Roman" w:cs="Times New Roman"/>
          <w:sz w:val="24"/>
          <w:szCs w:val="24"/>
        </w:rPr>
        <w:t xml:space="preserve">In </w:t>
      </w:r>
      <w:r w:rsidRPr="00B76CF6">
        <w:rPr>
          <w:rFonts w:ascii="Times New Roman" w:hAnsi="Times New Roman" w:cs="Times New Roman"/>
          <w:b/>
          <w:bCs/>
          <w:sz w:val="24"/>
          <w:szCs w:val="24"/>
          <w:shd w:val="clear" w:color="auto" w:fill="FFFFFF"/>
        </w:rPr>
        <w:t>Republic v County Assembly of Kirinyaga &amp; another Ex-</w:t>
      </w:r>
      <w:proofErr w:type="spellStart"/>
      <w:r w:rsidRPr="00B76CF6">
        <w:rPr>
          <w:rFonts w:ascii="Times New Roman" w:hAnsi="Times New Roman" w:cs="Times New Roman"/>
          <w:b/>
          <w:bCs/>
          <w:sz w:val="24"/>
          <w:szCs w:val="24"/>
          <w:shd w:val="clear" w:color="auto" w:fill="FFFFFF"/>
        </w:rPr>
        <w:t>Parte</w:t>
      </w:r>
      <w:proofErr w:type="spellEnd"/>
      <w:r w:rsidRPr="00B76CF6">
        <w:rPr>
          <w:rFonts w:ascii="Times New Roman" w:hAnsi="Times New Roman" w:cs="Times New Roman"/>
          <w:b/>
          <w:bCs/>
          <w:sz w:val="24"/>
          <w:szCs w:val="24"/>
          <w:shd w:val="clear" w:color="auto" w:fill="FFFFFF"/>
        </w:rPr>
        <w:t xml:space="preserve"> Kenda </w:t>
      </w:r>
      <w:proofErr w:type="spellStart"/>
      <w:r w:rsidRPr="00B76CF6">
        <w:rPr>
          <w:rFonts w:ascii="Times New Roman" w:hAnsi="Times New Roman" w:cs="Times New Roman"/>
          <w:b/>
          <w:bCs/>
          <w:sz w:val="24"/>
          <w:szCs w:val="24"/>
          <w:shd w:val="clear" w:color="auto" w:fill="FFFFFF"/>
        </w:rPr>
        <w:t>Muriuki</w:t>
      </w:r>
      <w:proofErr w:type="spellEnd"/>
      <w:r w:rsidRPr="00B76CF6">
        <w:rPr>
          <w:rFonts w:ascii="Times New Roman" w:hAnsi="Times New Roman" w:cs="Times New Roman"/>
          <w:b/>
          <w:bCs/>
          <w:sz w:val="24"/>
          <w:szCs w:val="24"/>
          <w:shd w:val="clear" w:color="auto" w:fill="FFFFFF"/>
        </w:rPr>
        <w:t xml:space="preserve"> &amp; another [2019] </w:t>
      </w:r>
      <w:proofErr w:type="spellStart"/>
      <w:r w:rsidRPr="00B76CF6">
        <w:rPr>
          <w:rFonts w:ascii="Times New Roman" w:hAnsi="Times New Roman" w:cs="Times New Roman"/>
          <w:b/>
          <w:bCs/>
          <w:sz w:val="24"/>
          <w:szCs w:val="24"/>
          <w:shd w:val="clear" w:color="auto" w:fill="FFFFFF"/>
        </w:rPr>
        <w:t>eKLR</w:t>
      </w:r>
      <w:proofErr w:type="spellEnd"/>
      <w:r w:rsidRPr="00B76CF6">
        <w:rPr>
          <w:rFonts w:ascii="Times New Roman" w:hAnsi="Times New Roman" w:cs="Times New Roman"/>
          <w:b/>
          <w:bCs/>
          <w:sz w:val="24"/>
          <w:szCs w:val="24"/>
          <w:shd w:val="clear" w:color="auto" w:fill="FFFFFF"/>
        </w:rPr>
        <w:t xml:space="preserve">, </w:t>
      </w:r>
      <w:r w:rsidRPr="00B76CF6">
        <w:rPr>
          <w:rFonts w:ascii="Times New Roman" w:hAnsi="Times New Roman" w:cs="Times New Roman"/>
          <w:bCs/>
          <w:sz w:val="24"/>
          <w:szCs w:val="24"/>
          <w:shd w:val="clear" w:color="auto" w:fill="FFFFFF"/>
        </w:rPr>
        <w:t xml:space="preserve">the appellant contended that the respondent did not bring any evidence of any public participation initiative it conducted on the </w:t>
      </w:r>
      <w:proofErr w:type="spellStart"/>
      <w:r w:rsidRPr="00B76CF6">
        <w:rPr>
          <w:rFonts w:ascii="Times New Roman" w:hAnsi="Times New Roman" w:cs="Times New Roman"/>
          <w:bCs/>
          <w:sz w:val="24"/>
          <w:szCs w:val="24"/>
          <w:shd w:val="clear" w:color="auto" w:fill="FFFFFF"/>
        </w:rPr>
        <w:t>Punguza</w:t>
      </w:r>
      <w:proofErr w:type="spellEnd"/>
      <w:r w:rsidRPr="00B76CF6">
        <w:rPr>
          <w:rFonts w:ascii="Times New Roman" w:hAnsi="Times New Roman" w:cs="Times New Roman"/>
          <w:bCs/>
          <w:sz w:val="24"/>
          <w:szCs w:val="24"/>
          <w:shd w:val="clear" w:color="auto" w:fill="FFFFFF"/>
        </w:rPr>
        <w:t xml:space="preserve"> </w:t>
      </w:r>
      <w:proofErr w:type="spellStart"/>
      <w:r w:rsidRPr="00B76CF6">
        <w:rPr>
          <w:rFonts w:ascii="Times New Roman" w:hAnsi="Times New Roman" w:cs="Times New Roman"/>
          <w:bCs/>
          <w:sz w:val="24"/>
          <w:szCs w:val="24"/>
          <w:shd w:val="clear" w:color="auto" w:fill="FFFFFF"/>
        </w:rPr>
        <w:t>Mzigo</w:t>
      </w:r>
      <w:proofErr w:type="spellEnd"/>
      <w:r w:rsidRPr="00B76CF6">
        <w:rPr>
          <w:rFonts w:ascii="Times New Roman" w:hAnsi="Times New Roman" w:cs="Times New Roman"/>
          <w:bCs/>
          <w:sz w:val="24"/>
          <w:szCs w:val="24"/>
          <w:shd w:val="clear" w:color="auto" w:fill="FFFFFF"/>
        </w:rPr>
        <w:t xml:space="preserve"> Bill , save for stating that </w:t>
      </w:r>
      <w:proofErr w:type="spellStart"/>
      <w:r w:rsidRPr="00B76CF6">
        <w:rPr>
          <w:rFonts w:ascii="Times New Roman" w:hAnsi="Times New Roman" w:cs="Times New Roman"/>
          <w:bCs/>
          <w:sz w:val="24"/>
          <w:szCs w:val="24"/>
          <w:shd w:val="clear" w:color="auto" w:fill="FFFFFF"/>
        </w:rPr>
        <w:t>its</w:t>
      </w:r>
      <w:proofErr w:type="spellEnd"/>
      <w:r w:rsidRPr="00B76CF6">
        <w:rPr>
          <w:rFonts w:ascii="Times New Roman" w:hAnsi="Times New Roman" w:cs="Times New Roman"/>
          <w:bCs/>
          <w:sz w:val="24"/>
          <w:szCs w:val="24"/>
          <w:shd w:val="clear" w:color="auto" w:fill="FFFFFF"/>
        </w:rPr>
        <w:t xml:space="preserve"> are open to the public . The court held that at the time the suit was </w:t>
      </w:r>
      <w:proofErr w:type="gramStart"/>
      <w:r w:rsidRPr="00B76CF6">
        <w:rPr>
          <w:rFonts w:ascii="Times New Roman" w:hAnsi="Times New Roman" w:cs="Times New Roman"/>
          <w:bCs/>
          <w:sz w:val="24"/>
          <w:szCs w:val="24"/>
          <w:shd w:val="clear" w:color="auto" w:fill="FFFFFF"/>
        </w:rPr>
        <w:t>instituted ,</w:t>
      </w:r>
      <w:proofErr w:type="gramEnd"/>
      <w:r w:rsidRPr="00B76CF6">
        <w:rPr>
          <w:rFonts w:ascii="Times New Roman" w:hAnsi="Times New Roman" w:cs="Times New Roman"/>
          <w:bCs/>
          <w:sz w:val="24"/>
          <w:szCs w:val="24"/>
          <w:shd w:val="clear" w:color="auto" w:fill="FFFFFF"/>
        </w:rPr>
        <w:t xml:space="preserve"> ‘‘</w:t>
      </w:r>
      <w:r w:rsidRPr="00B76CF6">
        <w:rPr>
          <w:rFonts w:ascii="Times New Roman" w:hAnsi="Times New Roman" w:cs="Times New Roman"/>
          <w:sz w:val="24"/>
          <w:szCs w:val="24"/>
          <w:lang w:val="en-GB"/>
        </w:rPr>
        <w:t>It was  premature to make a decision as to the effect of such lack of public participation at this stage and in the circumstances of this application. In addition, given the different actors in the promotion and passage of a bill to amend the constitution by popular initiative, it may be necessary to consider the cumulative efforts at public participation before deciding on its sufficiency or otherwise.’’</w:t>
      </w:r>
    </w:p>
    <w:p w14:paraId="21E21E3E" w14:textId="77777777" w:rsidR="00FE0F6B" w:rsidRPr="00B76CF6" w:rsidRDefault="00FE0F6B" w:rsidP="00B76CF6">
      <w:pPr>
        <w:spacing w:line="360" w:lineRule="auto"/>
        <w:jc w:val="both"/>
        <w:rPr>
          <w:rFonts w:ascii="Times New Roman" w:hAnsi="Times New Roman" w:cs="Times New Roman"/>
          <w:sz w:val="24"/>
          <w:szCs w:val="24"/>
        </w:rPr>
      </w:pPr>
    </w:p>
    <w:p w14:paraId="7AAEE485" w14:textId="77777777" w:rsidR="00B06E52" w:rsidRPr="00B76CF6" w:rsidRDefault="009631BD" w:rsidP="00B76CF6">
      <w:pPr>
        <w:spacing w:line="360" w:lineRule="auto"/>
        <w:jc w:val="both"/>
        <w:rPr>
          <w:rFonts w:ascii="Times New Roman" w:hAnsi="Times New Roman" w:cs="Times New Roman"/>
          <w:sz w:val="24"/>
          <w:szCs w:val="24"/>
        </w:rPr>
      </w:pPr>
    </w:p>
    <w:sectPr w:rsidR="00B06E52" w:rsidRPr="00B76C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D2D8D" w14:textId="77777777" w:rsidR="009A16BC" w:rsidRDefault="009A16BC" w:rsidP="001C02EB">
      <w:pPr>
        <w:spacing w:after="0" w:line="240" w:lineRule="auto"/>
      </w:pPr>
      <w:r>
        <w:separator/>
      </w:r>
    </w:p>
  </w:endnote>
  <w:endnote w:type="continuationSeparator" w:id="0">
    <w:p w14:paraId="3878DEC6" w14:textId="77777777" w:rsidR="009A16BC" w:rsidRDefault="009A16BC" w:rsidP="001C0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1C4C5" w14:textId="77777777" w:rsidR="009A16BC" w:rsidRDefault="009A16BC" w:rsidP="001C02EB">
      <w:pPr>
        <w:spacing w:after="0" w:line="240" w:lineRule="auto"/>
      </w:pPr>
      <w:r>
        <w:separator/>
      </w:r>
    </w:p>
  </w:footnote>
  <w:footnote w:type="continuationSeparator" w:id="0">
    <w:p w14:paraId="60D0C0E3" w14:textId="77777777" w:rsidR="009A16BC" w:rsidRDefault="009A16BC" w:rsidP="001C02EB">
      <w:pPr>
        <w:spacing w:after="0" w:line="240" w:lineRule="auto"/>
      </w:pPr>
      <w:r>
        <w:continuationSeparator/>
      </w:r>
    </w:p>
  </w:footnote>
  <w:footnote w:id="1">
    <w:p w14:paraId="3B8F23AE" w14:textId="77777777" w:rsidR="001C02EB" w:rsidRDefault="001C02EB" w:rsidP="001C02EB">
      <w:pPr>
        <w:pStyle w:val="FootnoteText"/>
        <w:rPr>
          <w:rFonts w:ascii="Times New Roman" w:hAnsi="Times New Roman" w:cs="Times New Roman"/>
          <w:sz w:val="20"/>
          <w:szCs w:val="20"/>
          <w:lang w:val="en-GB"/>
        </w:rPr>
      </w:pPr>
      <w:r>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The Constitution of Kenya 2010, Article</w:t>
      </w:r>
      <w:r>
        <w:rPr>
          <w:rFonts w:ascii="Times New Roman" w:hAnsi="Times New Roman" w:cs="Times New Roman"/>
          <w:sz w:val="20"/>
          <w:szCs w:val="20"/>
          <w:lang w:val="en-GB"/>
        </w:rPr>
        <w:t xml:space="preserve"> 196 (1) (a)</w:t>
      </w:r>
    </w:p>
  </w:footnote>
  <w:footnote w:id="2">
    <w:p w14:paraId="7D588D1E" w14:textId="77777777" w:rsidR="001C02EB" w:rsidRDefault="001C02EB" w:rsidP="001C02EB">
      <w:pPr>
        <w:pStyle w:val="FootnoteText"/>
        <w:rPr>
          <w:rFonts w:ascii="Times New Roman" w:hAnsi="Times New Roman" w:cs="Times New Roman"/>
          <w:sz w:val="20"/>
          <w:szCs w:val="20"/>
        </w:rPr>
      </w:pPr>
      <w:r>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The Constitution of Kenya 2010, Article</w:t>
      </w:r>
      <w:r>
        <w:rPr>
          <w:rFonts w:ascii="Times New Roman" w:hAnsi="Times New Roman" w:cs="Times New Roman"/>
          <w:sz w:val="20"/>
          <w:szCs w:val="20"/>
          <w:lang w:val="en-GB"/>
        </w:rPr>
        <w:t xml:space="preserve"> 196 (1) (b)</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DF"/>
    <w:rsid w:val="000B39B4"/>
    <w:rsid w:val="001C02EB"/>
    <w:rsid w:val="002C5628"/>
    <w:rsid w:val="004A59B3"/>
    <w:rsid w:val="006928A9"/>
    <w:rsid w:val="007F2BDF"/>
    <w:rsid w:val="00891C22"/>
    <w:rsid w:val="008D470C"/>
    <w:rsid w:val="009631BD"/>
    <w:rsid w:val="009A16BC"/>
    <w:rsid w:val="00AB13F3"/>
    <w:rsid w:val="00B76CF6"/>
    <w:rsid w:val="00C0280E"/>
    <w:rsid w:val="00D53A98"/>
    <w:rsid w:val="00DD2128"/>
    <w:rsid w:val="00E623DE"/>
    <w:rsid w:val="00F25A0E"/>
    <w:rsid w:val="00F25B14"/>
    <w:rsid w:val="00FE0F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9CE"/>
  <w15:docId w15:val="{FC3AB725-4421-4930-AB7B-B33E6A60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F6B"/>
    <w:pPr>
      <w:spacing w:after="160"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5A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5A0E"/>
    <w:rPr>
      <w:b/>
      <w:bCs/>
    </w:rPr>
  </w:style>
  <w:style w:type="character" w:styleId="Emphasis">
    <w:name w:val="Emphasis"/>
    <w:basedOn w:val="DefaultParagraphFont"/>
    <w:qFormat/>
    <w:rsid w:val="00F25A0E"/>
    <w:rPr>
      <w:i/>
      <w:iCs/>
    </w:rPr>
  </w:style>
  <w:style w:type="paragraph" w:styleId="FootnoteText">
    <w:name w:val="footnote text"/>
    <w:basedOn w:val="Normal"/>
    <w:link w:val="FootnoteTextChar"/>
    <w:semiHidden/>
    <w:unhideWhenUsed/>
    <w:rsid w:val="001C02EB"/>
    <w:pPr>
      <w:snapToGrid w:val="0"/>
      <w:spacing w:after="0" w:line="240" w:lineRule="auto"/>
    </w:pPr>
    <w:rPr>
      <w:rFonts w:eastAsiaTheme="minorEastAsia"/>
      <w:sz w:val="18"/>
      <w:szCs w:val="18"/>
      <w:lang w:eastAsia="zh-CN"/>
    </w:rPr>
  </w:style>
  <w:style w:type="character" w:customStyle="1" w:styleId="FootnoteTextChar">
    <w:name w:val="Footnote Text Char"/>
    <w:basedOn w:val="DefaultParagraphFont"/>
    <w:link w:val="FootnoteText"/>
    <w:semiHidden/>
    <w:rsid w:val="001C02EB"/>
    <w:rPr>
      <w:rFonts w:eastAsiaTheme="minorEastAsia"/>
      <w:sz w:val="18"/>
      <w:szCs w:val="18"/>
      <w:lang w:val="en-US" w:eastAsia="zh-CN"/>
    </w:rPr>
  </w:style>
  <w:style w:type="character" w:styleId="FootnoteReference">
    <w:name w:val="footnote reference"/>
    <w:basedOn w:val="DefaultParagraphFont"/>
    <w:semiHidden/>
    <w:unhideWhenUsed/>
    <w:rsid w:val="001C02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39584">
      <w:bodyDiv w:val="1"/>
      <w:marLeft w:val="0"/>
      <w:marRight w:val="0"/>
      <w:marTop w:val="0"/>
      <w:marBottom w:val="0"/>
      <w:divBdr>
        <w:top w:val="none" w:sz="0" w:space="0" w:color="auto"/>
        <w:left w:val="none" w:sz="0" w:space="0" w:color="auto"/>
        <w:bottom w:val="none" w:sz="0" w:space="0" w:color="auto"/>
        <w:right w:val="none" w:sz="0" w:space="0" w:color="auto"/>
      </w:divBdr>
    </w:div>
    <w:div w:id="506136232">
      <w:bodyDiv w:val="1"/>
      <w:marLeft w:val="0"/>
      <w:marRight w:val="0"/>
      <w:marTop w:val="0"/>
      <w:marBottom w:val="0"/>
      <w:divBdr>
        <w:top w:val="none" w:sz="0" w:space="0" w:color="auto"/>
        <w:left w:val="none" w:sz="0" w:space="0" w:color="auto"/>
        <w:bottom w:val="none" w:sz="0" w:space="0" w:color="auto"/>
        <w:right w:val="none" w:sz="0" w:space="0" w:color="auto"/>
      </w:divBdr>
    </w:div>
    <w:div w:id="546840822">
      <w:bodyDiv w:val="1"/>
      <w:marLeft w:val="0"/>
      <w:marRight w:val="0"/>
      <w:marTop w:val="0"/>
      <w:marBottom w:val="0"/>
      <w:divBdr>
        <w:top w:val="none" w:sz="0" w:space="0" w:color="auto"/>
        <w:left w:val="none" w:sz="0" w:space="0" w:color="auto"/>
        <w:bottom w:val="none" w:sz="0" w:space="0" w:color="auto"/>
        <w:right w:val="none" w:sz="0" w:space="0" w:color="auto"/>
      </w:divBdr>
    </w:div>
    <w:div w:id="762917931">
      <w:bodyDiv w:val="1"/>
      <w:marLeft w:val="0"/>
      <w:marRight w:val="0"/>
      <w:marTop w:val="0"/>
      <w:marBottom w:val="0"/>
      <w:divBdr>
        <w:top w:val="none" w:sz="0" w:space="0" w:color="auto"/>
        <w:left w:val="none" w:sz="0" w:space="0" w:color="auto"/>
        <w:bottom w:val="none" w:sz="0" w:space="0" w:color="auto"/>
        <w:right w:val="none" w:sz="0" w:space="0" w:color="auto"/>
      </w:divBdr>
      <w:divsChild>
        <w:div w:id="188955316">
          <w:marLeft w:val="547"/>
          <w:marRight w:val="0"/>
          <w:marTop w:val="106"/>
          <w:marBottom w:val="0"/>
          <w:divBdr>
            <w:top w:val="none" w:sz="0" w:space="0" w:color="auto"/>
            <w:left w:val="none" w:sz="0" w:space="0" w:color="auto"/>
            <w:bottom w:val="none" w:sz="0" w:space="0" w:color="auto"/>
            <w:right w:val="none" w:sz="0" w:space="0" w:color="auto"/>
          </w:divBdr>
        </w:div>
      </w:divsChild>
    </w:div>
    <w:div w:id="845098893">
      <w:bodyDiv w:val="1"/>
      <w:marLeft w:val="0"/>
      <w:marRight w:val="0"/>
      <w:marTop w:val="0"/>
      <w:marBottom w:val="0"/>
      <w:divBdr>
        <w:top w:val="none" w:sz="0" w:space="0" w:color="auto"/>
        <w:left w:val="none" w:sz="0" w:space="0" w:color="auto"/>
        <w:bottom w:val="none" w:sz="0" w:space="0" w:color="auto"/>
        <w:right w:val="none" w:sz="0" w:space="0" w:color="auto"/>
      </w:divBdr>
    </w:div>
    <w:div w:id="1371612934">
      <w:bodyDiv w:val="1"/>
      <w:marLeft w:val="0"/>
      <w:marRight w:val="0"/>
      <w:marTop w:val="0"/>
      <w:marBottom w:val="0"/>
      <w:divBdr>
        <w:top w:val="none" w:sz="0" w:space="0" w:color="auto"/>
        <w:left w:val="none" w:sz="0" w:space="0" w:color="auto"/>
        <w:bottom w:val="none" w:sz="0" w:space="0" w:color="auto"/>
        <w:right w:val="none" w:sz="0" w:space="0" w:color="auto"/>
      </w:divBdr>
    </w:div>
    <w:div w:id="1779375776">
      <w:bodyDiv w:val="1"/>
      <w:marLeft w:val="0"/>
      <w:marRight w:val="0"/>
      <w:marTop w:val="0"/>
      <w:marBottom w:val="0"/>
      <w:divBdr>
        <w:top w:val="none" w:sz="0" w:space="0" w:color="auto"/>
        <w:left w:val="none" w:sz="0" w:space="0" w:color="auto"/>
        <w:bottom w:val="none" w:sz="0" w:space="0" w:color="auto"/>
        <w:right w:val="none" w:sz="0" w:space="0" w:color="auto"/>
      </w:divBdr>
    </w:div>
    <w:div w:id="1872498640">
      <w:bodyDiv w:val="1"/>
      <w:marLeft w:val="0"/>
      <w:marRight w:val="0"/>
      <w:marTop w:val="0"/>
      <w:marBottom w:val="0"/>
      <w:divBdr>
        <w:top w:val="none" w:sz="0" w:space="0" w:color="auto"/>
        <w:left w:val="none" w:sz="0" w:space="0" w:color="auto"/>
        <w:bottom w:val="none" w:sz="0" w:space="0" w:color="auto"/>
        <w:right w:val="none" w:sz="0" w:space="0" w:color="auto"/>
      </w:divBdr>
    </w:div>
    <w:div w:id="209802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45F7CB-7093-48AB-AC49-D9058092B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nelly kamunde</cp:lastModifiedBy>
  <cp:revision>2</cp:revision>
  <dcterms:created xsi:type="dcterms:W3CDTF">2021-12-09T16:23:00Z</dcterms:created>
  <dcterms:modified xsi:type="dcterms:W3CDTF">2021-12-09T16:23:00Z</dcterms:modified>
</cp:coreProperties>
</file>