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numPr>
          <w:numId w:val="0"/>
        </w:numPr>
        <w:spacing w:after="160" w:line="360" w:lineRule="auto"/>
        <w:ind w:firstLine="3001" w:firstLineChars="1250"/>
        <w:contextualSpacing/>
        <w:jc w:val="both"/>
        <w:rPr>
          <w:rFonts w:hint="default" w:ascii="Times New Roman" w:hAnsi="Times New Roman" w:cs="Times New Roman"/>
          <w:b/>
          <w:bCs/>
          <w:sz w:val="24"/>
          <w:szCs w:val="24"/>
          <w:u w:val="single"/>
          <w:lang w:val="en-US"/>
        </w:rPr>
      </w:pPr>
      <w:bookmarkStart w:id="0" w:name="_Hlk167823594"/>
      <w:r>
        <w:rPr>
          <w:rFonts w:hint="default" w:ascii="Times New Roman" w:hAnsi="Times New Roman" w:cs="Times New Roman"/>
          <w:b/>
          <w:bCs/>
          <w:sz w:val="24"/>
          <w:szCs w:val="24"/>
          <w:u w:val="single"/>
          <w:lang w:val="en-US"/>
        </w:rPr>
        <w:t>KENYA SCHOOL OF LAW</w:t>
      </w:r>
    </w:p>
    <w:p>
      <w:pPr>
        <w:pStyle w:val="10"/>
        <w:numPr>
          <w:numId w:val="0"/>
        </w:numPr>
        <w:spacing w:after="160" w:line="360" w:lineRule="auto"/>
        <w:contextualSpacing/>
        <w:jc w:val="both"/>
        <w:rPr>
          <w:rFonts w:hint="default" w:ascii="Times New Roman" w:hAnsi="Times New Roman" w:cs="Times New Roman"/>
          <w:b/>
          <w:bCs/>
          <w:sz w:val="24"/>
          <w:szCs w:val="24"/>
          <w:u w:val="single"/>
        </w:rPr>
      </w:pPr>
      <w:r>
        <w:rPr>
          <w:rFonts w:ascii="Perpetua" w:hAnsi="Perpetua"/>
          <w:kern w:val="24"/>
          <w:sz w:val="18"/>
          <w:szCs w:val="18"/>
        </w:rPr>
        <w:drawing>
          <wp:anchor distT="0" distB="0" distL="114300" distR="114300" simplePos="0" relativeHeight="251659264" behindDoc="0" locked="0" layoutInCell="1" allowOverlap="1">
            <wp:simplePos x="0" y="0"/>
            <wp:positionH relativeFrom="column">
              <wp:posOffset>1955800</wp:posOffset>
            </wp:positionH>
            <wp:positionV relativeFrom="paragraph">
              <wp:posOffset>10160</wp:posOffset>
            </wp:positionV>
            <wp:extent cx="1790700" cy="16573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90700" cy="1657350"/>
                    </a:xfrm>
                    <a:prstGeom prst="rect">
                      <a:avLst/>
                    </a:prstGeom>
                    <a:noFill/>
                    <a:ln w="9525">
                      <a:noFill/>
                      <a:miter lim="800000"/>
                      <a:headEnd/>
                      <a:tailEnd/>
                    </a:ln>
                  </pic:spPr>
                </pic:pic>
              </a:graphicData>
            </a:graphic>
          </wp:anchor>
        </w:drawing>
      </w: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lang w:val="en-US"/>
        </w:rPr>
      </w:pPr>
    </w:p>
    <w:p>
      <w:pPr>
        <w:pStyle w:val="10"/>
        <w:numPr>
          <w:numId w:val="0"/>
        </w:numPr>
        <w:spacing w:after="160" w:line="360" w:lineRule="auto"/>
        <w:ind w:firstLine="3962" w:firstLineChars="1650"/>
        <w:contextualSpacing/>
        <w:jc w:val="both"/>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 xml:space="preserve">FIRM 3 </w:t>
      </w:r>
    </w:p>
    <w:p>
      <w:pPr>
        <w:pStyle w:val="10"/>
        <w:numPr>
          <w:numId w:val="0"/>
        </w:numPr>
        <w:spacing w:after="160" w:line="360" w:lineRule="auto"/>
        <w:ind w:firstLine="720" w:firstLineChars="300"/>
        <w:contextualSpacing/>
        <w:jc w:val="both"/>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 xml:space="preserve">PROFESSIONAL ETHICS PRESENTATION: NATURE OF RETAINER </w:t>
      </w:r>
    </w:p>
    <w:p>
      <w:pPr>
        <w:spacing w:line="360" w:lineRule="auto"/>
        <w:jc w:val="both"/>
        <w:rPr>
          <w:rFonts w:ascii="Times New Roman" w:hAnsi="Times New Roman" w:cs="Times New Roman"/>
          <w:b/>
          <w:bCs/>
          <w:sz w:val="24"/>
          <w:szCs w:val="24"/>
        </w:rPr>
      </w:pPr>
    </w:p>
    <w:p>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FIRM MEMBERS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OMAE NJORE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BARBARA ANYANGO OWINO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NYONGESA ALVER LUIS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CHELAGAT SYLVIA</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EUNICE WAWERU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REBECCA KWAMBOKA OGAO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KEVIN TITUS WAMAE WAMBUI </w:t>
      </w:r>
    </w:p>
    <w:p>
      <w:pPr>
        <w:pStyle w:val="1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WAMAITHA SIMON GICHARU</w:t>
      </w:r>
    </w:p>
    <w:p>
      <w:pPr>
        <w:pStyle w:val="11"/>
        <w:numPr>
          <w:ilvl w:val="0"/>
          <w:numId w:val="1"/>
        </w:numPr>
        <w:spacing w:line="36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LEE TOMNO</w:t>
      </w:r>
    </w:p>
    <w:p>
      <w:pPr>
        <w:pStyle w:val="11"/>
        <w:numPr>
          <w:ilvl w:val="0"/>
          <w:numId w:val="1"/>
        </w:numPr>
        <w:spacing w:line="36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DENNIS MOSHENI</w:t>
      </w:r>
    </w:p>
    <w:p>
      <w:pPr>
        <w:spacing w:line="360" w:lineRule="auto"/>
        <w:jc w:val="both"/>
        <w:rPr>
          <w:rFonts w:ascii="Times New Roman" w:hAnsi="Times New Roman" w:cs="Times New Roman"/>
          <w:b/>
          <w:bCs/>
          <w:sz w:val="24"/>
          <w:szCs w:val="24"/>
        </w:rPr>
      </w:pPr>
    </w:p>
    <w:p>
      <w:pPr>
        <w:spacing w:line="360" w:lineRule="auto"/>
        <w:jc w:val="both"/>
        <w:rPr>
          <w:rFonts w:ascii="Times New Roman" w:hAnsi="Times New Roman" w:cs="Times New Roman"/>
          <w:b/>
          <w:bCs/>
          <w:sz w:val="24"/>
          <w:szCs w:val="24"/>
        </w:rPr>
      </w:pPr>
    </w:p>
    <w:p>
      <w:pPr>
        <w:pStyle w:val="10"/>
        <w:numPr>
          <w:numId w:val="0"/>
        </w:numPr>
        <w:spacing w:after="160" w:line="360" w:lineRule="auto"/>
        <w:ind w:firstLine="720" w:firstLineChars="300"/>
        <w:contextualSpacing/>
        <w:jc w:val="both"/>
        <w:rPr>
          <w:rFonts w:hint="default" w:ascii="Times New Roman" w:hAnsi="Times New Roman" w:cs="Times New Roman"/>
          <w:b/>
          <w:bCs/>
          <w:sz w:val="24"/>
          <w:szCs w:val="24"/>
          <w:u w:val="single"/>
          <w:lang w:val="en-US"/>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rPr>
      </w:pPr>
    </w:p>
    <w:p>
      <w:pPr>
        <w:pStyle w:val="10"/>
        <w:numPr>
          <w:numId w:val="0"/>
        </w:numPr>
        <w:spacing w:after="160" w:line="360" w:lineRule="auto"/>
        <w:contextualSpacing/>
        <w:jc w:val="both"/>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1.0 INTRODUCTION</w:t>
      </w:r>
    </w:p>
    <w:p>
      <w:pPr>
        <w:spacing w:after="0"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en-US"/>
        </w:rPr>
        <w:t>Blacks Law Dictionary 6</w:t>
      </w:r>
      <w:r>
        <w:rPr>
          <w:rFonts w:hint="default" w:ascii="Times New Roman" w:hAnsi="Times New Roman" w:cs="Times New Roman"/>
          <w:b/>
          <w:bCs/>
          <w:sz w:val="24"/>
          <w:szCs w:val="24"/>
          <w:vertAlign w:val="superscript"/>
          <w:lang w:val="en-US"/>
        </w:rPr>
        <w:t>th</w:t>
      </w:r>
      <w:r>
        <w:rPr>
          <w:rFonts w:hint="default" w:ascii="Times New Roman" w:hAnsi="Times New Roman" w:cs="Times New Roman"/>
          <w:b/>
          <w:bCs/>
          <w:sz w:val="24"/>
          <w:szCs w:val="24"/>
          <w:lang w:val="en-US"/>
        </w:rPr>
        <w:t xml:space="preserve"> Edition 1990</w:t>
      </w:r>
      <w:r>
        <w:rPr>
          <w:rFonts w:hint="default" w:ascii="Times New Roman" w:hAnsi="Times New Roman" w:cs="Times New Roman"/>
          <w:sz w:val="24"/>
          <w:szCs w:val="24"/>
          <w:lang w:val="en-US"/>
        </w:rPr>
        <w:t xml:space="preserve"> defines the word </w:t>
      </w:r>
      <w:r>
        <w:rPr>
          <w:rFonts w:hint="default" w:ascii="Times New Roman" w:hAnsi="Times New Roman" w:cs="Times New Roman"/>
          <w:i/>
          <w:iCs/>
          <w:sz w:val="24"/>
          <w:szCs w:val="24"/>
          <w:lang w:val="en-US"/>
        </w:rPr>
        <w:t>retainer</w:t>
      </w:r>
      <w:r>
        <w:rPr>
          <w:rFonts w:hint="default" w:ascii="Times New Roman" w:hAnsi="Times New Roman" w:cs="Times New Roman"/>
          <w:sz w:val="24"/>
          <w:szCs w:val="24"/>
          <w:lang w:val="en-US"/>
        </w:rPr>
        <w:t xml:space="preserve"> as follows,“In practice of law, when a client hires an attorney to represent him, the client is said to have retained the attorney. The act of employment is called the retainer.” A </w:t>
      </w:r>
      <w:r>
        <w:rPr>
          <w:rFonts w:hint="default" w:ascii="Times New Roman" w:hAnsi="Times New Roman" w:cs="Times New Roman"/>
          <w:i/>
          <w:iCs/>
          <w:sz w:val="24"/>
          <w:szCs w:val="24"/>
          <w:lang w:val="en-US"/>
        </w:rPr>
        <w:t>retainer agreement</w:t>
      </w:r>
      <w:r>
        <w:rPr>
          <w:rFonts w:hint="default" w:ascii="Times New Roman" w:hAnsi="Times New Roman" w:cs="Times New Roman"/>
          <w:sz w:val="24"/>
          <w:szCs w:val="24"/>
          <w:lang w:val="en-US"/>
        </w:rPr>
        <w:t xml:space="preserve"> on the other hand </w:t>
      </w:r>
      <w:r>
        <w:rPr>
          <w:rFonts w:hint="default" w:ascii="Times New Roman" w:hAnsi="Times New Roman" w:cs="Times New Roman"/>
          <w:sz w:val="24"/>
          <w:szCs w:val="24"/>
        </w:rPr>
        <w:t>refers to a</w:t>
      </w:r>
      <w:r>
        <w:rPr>
          <w:rFonts w:hint="default" w:ascii="Times New Roman" w:hAnsi="Times New Roman" w:cs="Times New Roman"/>
          <w:sz w:val="24"/>
          <w:szCs w:val="24"/>
          <w:lang w:val="en-US"/>
        </w:rPr>
        <w:t xml:space="preserve"> binding</w:t>
      </w:r>
      <w:r>
        <w:rPr>
          <w:rFonts w:hint="default" w:ascii="Times New Roman" w:hAnsi="Times New Roman" w:cs="Times New Roman"/>
          <w:sz w:val="24"/>
          <w:szCs w:val="24"/>
        </w:rPr>
        <w:t xml:space="preserve"> agreement between a client and an advocate where the client engages the </w:t>
      </w:r>
      <w:bookmarkStart w:id="1" w:name="_GoBack"/>
      <w:bookmarkEnd w:id="1"/>
      <w:r>
        <w:rPr>
          <w:rFonts w:hint="default" w:ascii="Times New Roman" w:hAnsi="Times New Roman" w:cs="Times New Roman"/>
          <w:sz w:val="24"/>
          <w:szCs w:val="24"/>
        </w:rPr>
        <w:t xml:space="preserve">advocate to provide legal services for a specific period at a legal fee. </w:t>
      </w:r>
    </w:p>
    <w:p>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can be for continuing legal advice, representation in legal proceedings, or other legal services. A retainer fee does not include the fees paid for the actual work done by the lawyer and, therefore, an extra fee must be paid where extra work is involved, such as the case going to court. </w:t>
      </w:r>
      <w:r>
        <w:rPr>
          <w:rFonts w:hint="default" w:ascii="Times New Roman" w:hAnsi="Times New Roman" w:eastAsia="Times New Roman" w:cs="Times New Roman"/>
          <w:kern w:val="0"/>
          <w:sz w:val="24"/>
          <w:szCs w:val="24"/>
        </w:rPr>
        <w:t xml:space="preserve">It is often paid in full at once or on a regular basis i.e. monthly or quarterly. Where an advocate is employed in a corporation, their retainer is dependent on their pay. </w:t>
      </w:r>
      <w:r>
        <w:rPr>
          <w:rFonts w:hint="default" w:ascii="Times New Roman" w:hAnsi="Times New Roman" w:cs="Times New Roman"/>
          <w:sz w:val="24"/>
          <w:szCs w:val="24"/>
        </w:rPr>
        <w:t xml:space="preserve">It is there so long as the advocate is earning a salary which is consideration for the work done. </w:t>
      </w:r>
    </w:p>
    <w:p>
      <w:pPr>
        <w:spacing w:after="0" w:line="360" w:lineRule="auto"/>
        <w:jc w:val="both"/>
        <w:rPr>
          <w:rFonts w:hint="default" w:ascii="Times New Roman" w:hAnsi="Times New Roman" w:cs="Times New Roman"/>
          <w:sz w:val="24"/>
          <w:szCs w:val="24"/>
        </w:rPr>
      </w:pPr>
      <w:r>
        <w:rPr>
          <w:rFonts w:hint="default" w:ascii="Times New Roman" w:hAnsi="Times New Roman" w:eastAsia="Times New Roman" w:cs="Times New Roman"/>
          <w:b/>
          <w:bCs/>
          <w:kern w:val="0"/>
          <w:sz w:val="24"/>
          <w:szCs w:val="24"/>
          <w:u w:val="single"/>
        </w:rPr>
        <w:t>The Advocates Act, Cap 16</w:t>
      </w:r>
      <w:r>
        <w:rPr>
          <w:rFonts w:hint="default" w:ascii="Times New Roman" w:hAnsi="Times New Roman" w:eastAsia="Times New Roman" w:cs="Times New Roman"/>
          <w:kern w:val="0"/>
          <w:sz w:val="24"/>
          <w:szCs w:val="24"/>
        </w:rPr>
        <w:t xml:space="preserve">, governs an advocate's conduct under a retainer, which gives him or her the authority to act on behalf of a client. The appropriate retainer amount will depend on the prevailing circumstances but should be within reasonable limits. Whether a retainer fee is justifiable relies on the difficulties an advocate encounters in being accessible to clients when needed and in having to turn away other clients to represent a specific client. </w:t>
      </w:r>
      <w:r>
        <w:rPr>
          <w:rFonts w:hint="default" w:ascii="Times New Roman" w:hAnsi="Times New Roman" w:cs="Times New Roman"/>
          <w:sz w:val="24"/>
          <w:szCs w:val="24"/>
        </w:rPr>
        <w:t xml:space="preserve">If a client is accustomed to paying such retainers and is capable of carefully negotiating at arm’s length with the advocate, then such retainers will be held as reasonable. However, the fee can be viewed as unreasonable if the client lacks sufficient experience paying retainers and where it appears </w:t>
      </w:r>
      <w:r>
        <w:rPr>
          <w:rFonts w:hint="default" w:ascii="Times New Roman" w:hAnsi="Times New Roman" w:eastAsia="Times New Roman" w:cs="Times New Roman"/>
          <w:kern w:val="0"/>
          <w:sz w:val="24"/>
          <w:szCs w:val="24"/>
        </w:rPr>
        <w:t>the advocate overcharged.</w:t>
      </w:r>
    </w:p>
    <w:p>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retainer</w:t>
      </w:r>
      <w:r>
        <w:rPr>
          <w:rFonts w:hint="default" w:cs="Times New Roman"/>
          <w:sz w:val="24"/>
          <w:szCs w:val="24"/>
          <w:lang w:val="en-US"/>
        </w:rPr>
        <w:t xml:space="preserve"> agreement</w:t>
      </w:r>
      <w:r>
        <w:rPr>
          <w:rFonts w:hint="default" w:ascii="Times New Roman" w:hAnsi="Times New Roman" w:cs="Times New Roman"/>
          <w:sz w:val="24"/>
          <w:szCs w:val="24"/>
        </w:rPr>
        <w:t xml:space="preserve"> clearly defines the scope of legal services the advocate will provide, the fees to be charged, and the duration of the agreement. Due to the possibility of an extended advocate-client relationship and the possibility of upfront payment, it offers advocates financial security and proper compensation for their work. A retainer agreement formalizes the relationship professionally, ensuring that the advocate is bound by the professional and ethical obligations to the client including confidentiality while also preventing an advocate from representing the client’s competitor. It guarantees the clients access to legal services whenever they need them. </w:t>
      </w:r>
    </w:p>
    <w:p>
      <w:pPr>
        <w:pStyle w:val="10"/>
        <w:spacing w:line="360" w:lineRule="auto"/>
        <w:ind w:left="0"/>
        <w:jc w:val="both"/>
        <w:rPr>
          <w:rFonts w:hint="default" w:ascii="Times New Roman" w:hAnsi="Times New Roman" w:cs="Times New Roman"/>
          <w:b/>
          <w:bCs/>
          <w:sz w:val="24"/>
          <w:szCs w:val="24"/>
          <w:u w:val="single"/>
        </w:rPr>
      </w:pPr>
    </w:p>
    <w:p>
      <w:pPr>
        <w:pStyle w:val="10"/>
        <w:spacing w:line="360" w:lineRule="auto"/>
        <w:ind w:left="0"/>
        <w:jc w:val="both"/>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RETAINER AGREEMENTS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Based on the definition of a client</w:t>
      </w:r>
      <w:r>
        <w:rPr>
          <w:rFonts w:hint="default" w:ascii="Times New Roman" w:hAnsi="Times New Roman" w:cs="Times New Roman"/>
          <w:sz w:val="24"/>
          <w:szCs w:val="24"/>
          <w:lang w:val="en-US"/>
        </w:rPr>
        <w:t>,</w:t>
      </w:r>
      <w:r>
        <w:rPr>
          <w:rStyle w:val="7"/>
          <w:rFonts w:hint="default" w:ascii="Times New Roman" w:hAnsi="Times New Roman" w:cs="Times New Roman"/>
          <w:sz w:val="24"/>
          <w:szCs w:val="24"/>
        </w:rPr>
        <w:footnoteReference w:id="0"/>
      </w:r>
      <w:r>
        <w:rPr>
          <w:rFonts w:hint="default" w:ascii="Times New Roman" w:hAnsi="Times New Roman" w:cs="Times New Roman"/>
          <w:sz w:val="24"/>
          <w:szCs w:val="24"/>
        </w:rPr>
        <w:t xml:space="preserve"> an advocate–client relationship may be created in a number of ways including through retainer agreements. Retainer agreements occur when a client enters into an agreement to retain an advocate so that the advocate may be available to him when the client needs legal services. These are regulated by </w:t>
      </w:r>
      <w:r>
        <w:rPr>
          <w:rFonts w:hint="default" w:ascii="Times New Roman" w:hAnsi="Times New Roman" w:cs="Times New Roman"/>
          <w:b/>
          <w:bCs/>
          <w:sz w:val="24"/>
          <w:szCs w:val="24"/>
          <w:u w:val="single"/>
        </w:rPr>
        <w:t>Sections 45 and 46 of the Advocates Act</w:t>
      </w:r>
      <w:r>
        <w:rPr>
          <w:rFonts w:hint="default" w:ascii="Times New Roman" w:hAnsi="Times New Roman" w:cs="Times New Roman"/>
          <w:sz w:val="24"/>
          <w:szCs w:val="24"/>
        </w:rPr>
        <w:t xml:space="preserve">. </w:t>
      </w:r>
    </w:p>
    <w:p>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Like in any contract, a retainer agreement can be in writing or oral. A written retainer agreement outlines the terms of the professional relationship including the scope of legal service to be provided, fee payment structure and other relevant terms. Under section</w:t>
      </w:r>
      <w:r>
        <w:rPr>
          <w:rFonts w:hint="default" w:ascii="Times New Roman" w:hAnsi="Times New Roman" w:cs="Times New Roman"/>
          <w:sz w:val="24"/>
          <w:szCs w:val="24"/>
        </w:rPr>
        <w:t xml:space="preserve"> 45(1) of the</w:t>
      </w:r>
      <w:r>
        <w:rPr>
          <w:rFonts w:hint="default" w:ascii="Times New Roman" w:hAnsi="Times New Roman" w:cs="Times New Roman"/>
          <w:sz w:val="24"/>
          <w:szCs w:val="24"/>
          <w:lang w:val="en-US"/>
        </w:rPr>
        <w:t xml:space="preserve"> Advocates </w:t>
      </w:r>
      <w:r>
        <w:rPr>
          <w:rFonts w:hint="default" w:ascii="Times New Roman" w:hAnsi="Times New Roman" w:cs="Times New Roman"/>
          <w:sz w:val="24"/>
          <w:szCs w:val="24"/>
        </w:rPr>
        <w:t>Act</w:t>
      </w:r>
      <w:r>
        <w:rPr>
          <w:rFonts w:hint="default" w:ascii="Times New Roman" w:hAnsi="Times New Roman" w:cs="Times New Roman"/>
          <w:sz w:val="24"/>
          <w:szCs w:val="24"/>
          <w:lang w:val="en-US"/>
        </w:rPr>
        <w:t>, the law requires that an agreement made with respect to remuneration of an advocate be made in writing</w:t>
      </w:r>
      <w:r>
        <w:rPr>
          <w:rFonts w:hint="default" w:ascii="Times New Roman" w:hAnsi="Times New Roman" w:cs="Times New Roman"/>
          <w:sz w:val="24"/>
          <w:szCs w:val="24"/>
        </w:rPr>
        <w:t xml:space="preserve"> 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signed by the client or his authorized agent. </w:t>
      </w:r>
      <w:r>
        <w:rPr>
          <w:rFonts w:hint="default" w:ascii="Times New Roman" w:hAnsi="Times New Roman" w:cs="Times New Roman"/>
          <w:sz w:val="24"/>
          <w:szCs w:val="24"/>
          <w:lang w:val="en-US"/>
        </w:rPr>
        <w:t xml:space="preserve">However,  Justice Njagi J in the case of Nyakundi and Co. Advocates explained that a retainer need not be in writing unless, under the general law of contract, the terms of a retainer or the disability of a party to it makes writing requisite. This opinion was relied on by the court in the case of </w:t>
      </w:r>
      <w:r>
        <w:rPr>
          <w:rFonts w:hint="default" w:ascii="Times New Roman" w:hAnsi="Times New Roman" w:cs="Times New Roman"/>
          <w:b/>
          <w:bCs/>
          <w:sz w:val="24"/>
          <w:szCs w:val="24"/>
        </w:rPr>
        <w:t>Omulele &amp; Tollo Advocates v Magnum Properties Limited [2016] eKLR</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where</w:t>
      </w:r>
      <w:r>
        <w:rPr>
          <w:rFonts w:hint="default" w:ascii="Times New Roman" w:hAnsi="Times New Roman" w:cs="Times New Roman"/>
          <w:b/>
          <w:bCs/>
          <w:sz w:val="24"/>
          <w:szCs w:val="24"/>
          <w:lang w:val="en-US"/>
        </w:rPr>
        <w:t xml:space="preserve"> Njuguna J </w:t>
      </w:r>
      <w:r>
        <w:rPr>
          <w:rFonts w:hint="default" w:ascii="Times New Roman" w:hAnsi="Times New Roman" w:cs="Times New Roman"/>
          <w:b w:val="0"/>
          <w:bCs w:val="0"/>
          <w:sz w:val="24"/>
          <w:szCs w:val="24"/>
          <w:lang w:val="en-US"/>
        </w:rPr>
        <w:t>stated that a retainer agreement need not be in writing but the same can be inferred b the conduct of parties or circumstances of the case</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A retainer can either be implied or by operation of law; where the law demands that one takes up a pauper brief</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Advocates Act gives an advocate the right to appropriate legal fees, a duty to charge reasonable fees and a duty to ensure that the agreement is not harsh or unconscionable. It further, provides for the procedure to challenge such an agreement, in which the client can apply to the registrar within 6 months to have it taxed. If the 6 months have passed, one can file a suit for the court to exercise equitable jurisdiction to set aside the said agreement.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u w:val="single"/>
        </w:rPr>
        <w:t>Section 46 of the Act</w:t>
      </w:r>
      <w:r>
        <w:rPr>
          <w:rFonts w:hint="default" w:ascii="Times New Roman" w:hAnsi="Times New Roman" w:cs="Times New Roman"/>
          <w:sz w:val="24"/>
          <w:szCs w:val="24"/>
        </w:rPr>
        <w:t xml:space="preserve"> provides for invalid retainer agreements. These include: </w:t>
      </w:r>
    </w:p>
    <w:p>
      <w:pPr>
        <w:pStyle w:val="4"/>
        <w:numPr>
          <w:ilvl w:val="0"/>
          <w:numId w:val="2"/>
        </w:numPr>
        <w:spacing w:before="3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Any purchase by an advocate of the interest, or any part of the interest, of his client in any suit or other contentious proceeding. </w:t>
      </w:r>
    </w:p>
    <w:p>
      <w:pPr>
        <w:pStyle w:val="4"/>
        <w:numPr>
          <w:ilvl w:val="0"/>
          <w:numId w:val="2"/>
        </w:numPr>
        <w:spacing w:before="3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Any agreement relieving any advocate from responsibility for professional negligence or any other responsibility to which he would otherwise be subject as an advocate. </w:t>
      </w:r>
    </w:p>
    <w:p>
      <w:pPr>
        <w:pStyle w:val="4"/>
        <w:numPr>
          <w:ilvl w:val="0"/>
          <w:numId w:val="2"/>
        </w:numPr>
        <w:spacing w:before="3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Any agreement by which an advocate retained or employed to prosecute or defend any suit or other contentious proceeding stipulates for payment only in the event of success in such suit or proceeding or that the advocate shall be remunerated at different rates according to the success or failure thereof. </w:t>
      </w:r>
    </w:p>
    <w:p>
      <w:pPr>
        <w:pStyle w:val="4"/>
        <w:numPr>
          <w:ilvl w:val="0"/>
          <w:numId w:val="2"/>
        </w:numPr>
        <w:spacing w:before="3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Any agreement by which an advocate agrees to accept, in respect of professional business, any fee or other consideration which shall be less than the remuneration prescribed by any order under section 44 respect of that business or more than twenty-five per centum of the general damages recovered less the party and party costs as taxed or agreed. </w:t>
      </w:r>
    </w:p>
    <w:p>
      <w:pPr>
        <w:pStyle w:val="4"/>
        <w:numPr>
          <w:ilvl w:val="0"/>
          <w:numId w:val="2"/>
        </w:numPr>
        <w:spacing w:before="3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Any disposition, contract, settlement, conveyance, delivery, dealing or transfer which is, under the law relating to bankruptcy, invalid against a trustee or creditor in any bankruptcy or composition.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parties to a retainer agreement may agree as to the duration of the agreement</w:t>
      </w:r>
      <w:r>
        <w:rPr>
          <w:rFonts w:hint="default" w:ascii="Times New Roman" w:hAnsi="Times New Roman" w:eastAsia="Times New Roman" w:cs="Times New Roman"/>
          <w:kern w:val="0"/>
          <w:sz w:val="24"/>
          <w:szCs w:val="24"/>
        </w:rPr>
        <w:t xml:space="preserve"> It should be noted, nonetheless, that the retainer's term is contingent upon the advocate-client relationship continuing. </w:t>
      </w:r>
      <w:r>
        <w:rPr>
          <w:rFonts w:hint="default" w:ascii="Times New Roman" w:hAnsi="Times New Roman" w:cs="Times New Roman"/>
          <w:sz w:val="24"/>
          <w:szCs w:val="24"/>
        </w:rPr>
        <w:t>Where the relationship still subsists, the advocate is obligated to discharge his duties to the client failure of which may constitute professional negligence.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Finally, a retainer can be terminated at any time by the client or the advocate. It can also be terminated by the operation of the law for example, in cases where the contract has become illegal or where one of the parties to the agreement dies, among others. Where the advocate has concluded their duties in the legal matter, one is required to communicate the information to the client both orally and in writing; indicating that the advocate is no longer obligated for that client. This aids in lessening the likelihood of any confusion that may arise.</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History and Development of Retainer Agreements</w:t>
      </w:r>
    </w:p>
    <w:bookmarkEnd w:id="0"/>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Ancient and Medieval Periods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Ancient Rome: The concept of retainers can be traced back to ancient Rome where</w:t>
      </w:r>
      <w:r>
        <w:rPr>
          <w:rFonts w:hint="default" w:ascii="Times New Roman" w:hAnsi="Times New Roman" w:cs="Times New Roman"/>
          <w:sz w:val="24"/>
          <w:szCs w:val="24"/>
          <w:lang w:val="en-US"/>
        </w:rPr>
        <w:t xml:space="preserve"> a client would retain a</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patron</w:t>
      </w:r>
      <w:r>
        <w:rPr>
          <w:rFonts w:hint="default" w:ascii="Times New Roman" w:hAnsi="Times New Roman" w:cs="Times New Roman"/>
          <w:i/>
          <w:iCs/>
          <w:sz w:val="24"/>
          <w:szCs w:val="24"/>
          <w:lang w:val="en-US"/>
        </w:rPr>
        <w:t>u</w:t>
      </w:r>
      <w:r>
        <w:rPr>
          <w:rFonts w:hint="default" w:ascii="Times New Roman" w:hAnsi="Times New Roman" w:cs="Times New Roman"/>
          <w:i/>
          <w:iCs/>
          <w:sz w:val="24"/>
          <w:szCs w:val="24"/>
        </w:rPr>
        <w:t>s</w:t>
      </w:r>
      <w:r>
        <w:rPr>
          <w:rFonts w:hint="default" w:ascii="Times New Roman" w:hAnsi="Times New Roman" w:cs="Times New Roman"/>
          <w:sz w:val="24"/>
          <w:szCs w:val="24"/>
        </w:rPr>
        <w:t xml:space="preserve"> to represent them legally. </w:t>
      </w:r>
      <w:r>
        <w:rPr>
          <w:rFonts w:hint="default" w:ascii="Times New Roman" w:hAnsi="Times New Roman" w:cs="Times New Roman"/>
          <w:sz w:val="24"/>
          <w:szCs w:val="24"/>
          <w:lang w:val="en-US"/>
        </w:rPr>
        <w:t xml:space="preserve">During this time, the </w:t>
      </w:r>
      <w:r>
        <w:rPr>
          <w:rFonts w:hint="default" w:ascii="Times New Roman" w:hAnsi="Times New Roman" w:cs="Times New Roman"/>
          <w:i/>
          <w:iCs/>
          <w:sz w:val="24"/>
          <w:szCs w:val="24"/>
          <w:lang w:val="en-US"/>
        </w:rPr>
        <w:t>patronus causarum</w:t>
      </w:r>
      <w:r>
        <w:rPr>
          <w:rFonts w:hint="default" w:ascii="Times New Roman" w:hAnsi="Times New Roman" w:cs="Times New Roman"/>
          <w:sz w:val="24"/>
          <w:szCs w:val="24"/>
          <w:lang w:val="en-US"/>
        </w:rPr>
        <w:t xml:space="preserve"> charged no fee for his services although it was not considered improper for him to receive honorarium or gratitude from the client.</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Medieval Europe: The feudal system involved lords retaining knights and other warriors with promises of land, protection, or money in exchange for military service. This early form of retainer ensured loyalty and availability when needed.</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Early Modern Period</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16th-17th Centuries: As the legal profession began to formalize, retainer agreements started to resemble modern contracts. Lawyers would be retained by wealthy clients to ensure ongoing legal counsel and representation, with payments made upfront or regularly.</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18th-19th Centuries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Colonial America and England: Retainer agreements became more standardized in legal practice. They often involved a retainer fee paid in advance to ensure a lawyer’s services for specific legal matters or ongoing advice.</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Early 20th Century</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Formalization: As the legal profession became more structured, retainer agreements began to be formalized with written contracts becoming the norm. These agreements outlined the relationship between lawyers and clients, specifying the scope of services and fees.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Standardization: Legal associations and bar councils started to recommend or require written retainer agreements, leading to more standardized practices across the profession.</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Mid-20th Century</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Expansion to Other Professions: The use of retainer agreements expanded beyond the legal field to other professions such as accounting, consulting, and public relations. Professionals in these fields adopted similar practices to secure ongoing work and ensure payment.</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Regulatory Influence: Regulatory bodies began to set guidelines for retainer agreements to protect clients and ensure fair practices. This included requirements for clarity on fees, services, and terms of engagement.</w:t>
      </w:r>
    </w:p>
    <w:p>
      <w:pPr>
        <w:pStyle w:val="10"/>
        <w:spacing w:line="360" w:lineRule="auto"/>
        <w:ind w:left="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Late 20th Century</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Detailed Contract Terms: Retainer agreements became more detailed, including specific provisions about the nature of the services, fee structures (hourly rates, flat fees, or contingency fees), and the duration of the engagement.</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Client Protection: Consumer protection laws influenced the development of retainer agreements, ensuring they included clear termination clauses, dispute resolution mechanisms, and other client rights.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Technology Impact: The rise of technology, such as email and digital documentation, made it easier to draft, store, and manage retainer agreements, leading to greater efficiency and consistency.</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21st Century</w:t>
      </w:r>
    </w:p>
    <w:p>
      <w:pPr>
        <w:pStyle w:val="10"/>
        <w:spacing w:line="360" w:lineRule="auto"/>
        <w:ind w:left="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retainer agreements in the 21</w:t>
      </w:r>
      <w:r>
        <w:rPr>
          <w:rFonts w:hint="default" w:ascii="Times New Roman" w:hAnsi="Times New Roman" w:cs="Times New Roman"/>
          <w:b w:val="0"/>
          <w:bCs w:val="0"/>
          <w:sz w:val="24"/>
          <w:szCs w:val="24"/>
          <w:vertAlign w:val="superscript"/>
          <w:lang w:val="en-US"/>
        </w:rPr>
        <w:t>st</w:t>
      </w:r>
      <w:r>
        <w:rPr>
          <w:rFonts w:hint="default" w:ascii="Times New Roman" w:hAnsi="Times New Roman" w:cs="Times New Roman"/>
          <w:b w:val="0"/>
          <w:bCs w:val="0"/>
          <w:sz w:val="24"/>
          <w:szCs w:val="24"/>
          <w:lang w:val="en-US"/>
        </w:rPr>
        <w:t xml:space="preserve"> century brings out the emerging trends experienced by advocates during the advocate-client relationship and they include-:</w:t>
      </w:r>
    </w:p>
    <w:p>
      <w:pPr>
        <w:pStyle w:val="10"/>
        <w:numPr>
          <w:ilvl w:val="0"/>
          <w:numId w:val="3"/>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Customization and flexibility</w:t>
      </w:r>
    </w:p>
    <w:p>
      <w:pPr>
        <w:pStyle w:val="10"/>
        <w:spacing w:line="360" w:lineRule="auto"/>
        <w:ind w:left="0"/>
        <w:jc w:val="both"/>
        <w:rPr>
          <w:rFonts w:hint="default" w:ascii="Times New Roman" w:hAnsi="Times New Roman" w:cs="Times New Roman"/>
          <w:b/>
          <w:bCs/>
          <w:sz w:val="24"/>
          <w:szCs w:val="24"/>
        </w:rPr>
      </w:pPr>
      <w:r>
        <w:rPr>
          <w:rFonts w:hint="default" w:ascii="Times New Roman" w:hAnsi="Times New Roman" w:cs="Times New Roman"/>
          <w:sz w:val="24"/>
          <w:szCs w:val="24"/>
        </w:rPr>
        <w:t>As businesses and clients become more diverse in their needs and goals, the rigidity of traditional retainer agreements may no longer suffice. There is need for tailoring agreements which allows for a more nuanced alignment between the services provided and the client's expectations, ultimately fostering stronger, more collaborative relationships. This could mean offering different tiers of services, adjusting payment structures to accommodate cash flow preferences, or incorporating specific provisions to address unique requirements. By embracing customization and flexibility, businesses can better address the evolving landscape of client demands and preferences.</w:t>
      </w:r>
    </w:p>
    <w:p>
      <w:pPr>
        <w:pStyle w:val="10"/>
        <w:numPr>
          <w:ilvl w:val="0"/>
          <w:numId w:val="3"/>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Transparency and communication</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There is a growing emphasis on clear communication and transparency in retainer agreements. This is because, in today's complex business environment, clients are demanding more clarity regarding the services they are receiving and the associated costs. By fostering transparency, businesses can build trust and credibility with their clients, which is crucial for maintaining long-term relationships. Moreover, clear communication helps to manage expectations effectively. By outlining the scope of services, deliverable s, timelines, and any potential limitations upfront, both parties can avoid misunderstandings and disagreements down the line. This proactive approach not only minimizes the risk of disputes but also enhances overall client satisfaction.</w:t>
      </w:r>
    </w:p>
    <w:p>
      <w:pPr>
        <w:pStyle w:val="10"/>
        <w:numPr>
          <w:ilvl w:val="0"/>
          <w:numId w:val="3"/>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Measurable outcomes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Clients are increasingly interested in agreements that tie payments to measurable outcomes or performance indicators. By incorporating measurable outcomes into retainer agreements, both parties can align their expectations and objectives more effectively. Clients have a clear understanding of what they can expect to achieve from the legal services provided, while law firms are incentivized to focus on delivering value and achieving specific goals. </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This trend towards measurable outcomes benefits both clients and law firms in several ways. Clients have greater confidence that they are receiving value for their investment, as they can track the progress and impact of the legal services provided. Meanwhile, law firms are motivated to operate efficiently and strategically to achieve the desired outcomes, which can lead to improved client satisfaction and loyalty.</w:t>
      </w:r>
    </w:p>
    <w:p>
      <w:pPr>
        <w:pStyle w:val="10"/>
        <w:numPr>
          <w:ilvl w:val="0"/>
          <w:numId w:val="3"/>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Digitalization and  remote work</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 xml:space="preserve">With rise of digital tools and remote work, retainer agreements are being adapted to accommodate virtual collaboration and communication. This may involve </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Virtual Meetings and Communication with the aid of video conferencing platforms and secure messaging apps. This ensures that lawyers and clients can easily connect and communicate regardless of their physical location, fostering more efficient and accessible communication. Additionally, with Online Project Management, Retainer agreements may specify the use of online project management tools to track progress, manage tasks, and collaborate on documents and deliverable s. These tools provide transparency and accountability, allowing both parties to stay informed about the status of ongoing matters and deadlines.</w:t>
      </w:r>
    </w:p>
    <w:p>
      <w:pPr>
        <w:pStyle w:val="10"/>
        <w:numPr>
          <w:ilvl w:val="0"/>
          <w:numId w:val="3"/>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Contingency planning</w:t>
      </w:r>
    </w:p>
    <w:p>
      <w:pPr>
        <w:pStyle w:val="10"/>
        <w:spacing w:line="360" w:lineRule="auto"/>
        <w:ind w:left="0"/>
        <w:jc w:val="both"/>
        <w:rPr>
          <w:rFonts w:hint="default" w:ascii="Times New Roman" w:hAnsi="Times New Roman" w:cs="Times New Roman"/>
          <w:b/>
          <w:bCs/>
          <w:sz w:val="24"/>
          <w:szCs w:val="24"/>
        </w:rPr>
      </w:pPr>
      <w:r>
        <w:rPr>
          <w:rFonts w:hint="default" w:ascii="Times New Roman" w:hAnsi="Times New Roman" w:cs="Times New Roman"/>
          <w:sz w:val="24"/>
          <w:szCs w:val="24"/>
        </w:rPr>
        <w:t>Given the unpredictable nature of events like pandemics or economic downturns, there's a trend towards including provisions in retainer agreements to address unexpected circumstances. This could involve clauses related to force majeure, termination, or renegotiation in the event of significant changes to the business environment.</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Key Features of Modern Retainer Agreements</w:t>
      </w:r>
    </w:p>
    <w:p>
      <w:pPr>
        <w:pStyle w:val="10"/>
        <w:numPr>
          <w:ilvl w:val="0"/>
          <w:numId w:val="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Clear Scope of Services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Provides detailed </w:t>
      </w:r>
      <w:r>
        <w:rPr>
          <w:rFonts w:hint="default" w:ascii="Times New Roman" w:hAnsi="Times New Roman" w:cs="Times New Roman"/>
          <w:sz w:val="24"/>
          <w:szCs w:val="24"/>
        </w:rPr>
        <w:t>descriptions of the services to be provided</w:t>
      </w:r>
      <w:r>
        <w:rPr>
          <w:rFonts w:hint="default" w:ascii="Times New Roman" w:hAnsi="Times New Roman" w:cs="Times New Roman"/>
          <w:sz w:val="24"/>
          <w:szCs w:val="24"/>
          <w:lang w:val="en-US"/>
        </w:rPr>
        <w:t xml:space="preserve"> by outlining the specific legal services the advocate will provide</w:t>
      </w:r>
      <w:r>
        <w:rPr>
          <w:rFonts w:hint="default" w:ascii="Times New Roman" w:hAnsi="Times New Roman" w:cs="Times New Roman"/>
          <w:sz w:val="24"/>
          <w:szCs w:val="24"/>
        </w:rPr>
        <w:t xml:space="preserve"> including any limitations or exclusions.</w:t>
      </w:r>
    </w:p>
    <w:p>
      <w:pPr>
        <w:pStyle w:val="10"/>
        <w:numPr>
          <w:ilvl w:val="0"/>
          <w:numId w:val="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Fee Structure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Outlines the fee structure detailing the fee arrangements</w:t>
      </w:r>
      <w:r>
        <w:rPr>
          <w:rFonts w:hint="default" w:ascii="Times New Roman" w:hAnsi="Times New Roman" w:cs="Times New Roman"/>
          <w:sz w:val="24"/>
          <w:szCs w:val="24"/>
        </w:rPr>
        <w:t>, specifying whether fees are hourly, fixed, contingency-based, or a combination</w:t>
      </w:r>
      <w:r>
        <w:rPr>
          <w:rFonts w:hint="default" w:ascii="Times New Roman" w:hAnsi="Times New Roman" w:cs="Times New Roman"/>
          <w:sz w:val="24"/>
          <w:szCs w:val="24"/>
          <w:lang w:val="en-US"/>
        </w:rPr>
        <w:t xml:space="preserve"> along with additional costs such as court fees or expenses</w:t>
      </w:r>
    </w:p>
    <w:p>
      <w:pPr>
        <w:pStyle w:val="10"/>
        <w:numPr>
          <w:ilvl w:val="0"/>
          <w:numId w:val="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Duration and Termination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Provides c</w:t>
      </w:r>
      <w:r>
        <w:rPr>
          <w:rFonts w:hint="default" w:ascii="Times New Roman" w:hAnsi="Times New Roman" w:cs="Times New Roman"/>
          <w:sz w:val="24"/>
          <w:szCs w:val="24"/>
        </w:rPr>
        <w:t>lear terms on the duration of the agreement and conditions for termination by either party.</w:t>
      </w:r>
    </w:p>
    <w:p>
      <w:pPr>
        <w:pStyle w:val="10"/>
        <w:numPr>
          <w:ilvl w:val="0"/>
          <w:numId w:val="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Responsibilities</w:t>
      </w:r>
      <w:r>
        <w:rPr>
          <w:rFonts w:hint="default" w:ascii="Times New Roman" w:hAnsi="Times New Roman" w:cs="Times New Roman"/>
          <w:sz w:val="24"/>
          <w:szCs w:val="24"/>
        </w:rPr>
        <w:t>: Defined responsibilities and expectations for both the client and the professional.</w:t>
      </w:r>
    </w:p>
    <w:p>
      <w:pPr>
        <w:pStyle w:val="10"/>
        <w:numPr>
          <w:ilvl w:val="0"/>
          <w:numId w:val="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Confidentiality and </w:t>
      </w:r>
      <w:r>
        <w:rPr>
          <w:rFonts w:hint="default" w:ascii="Times New Roman" w:hAnsi="Times New Roman" w:cs="Times New Roman"/>
          <w:b/>
          <w:bCs/>
          <w:sz w:val="24"/>
          <w:szCs w:val="24"/>
          <w:lang w:val="en-US"/>
        </w:rPr>
        <w:t>communication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Contains p</w:t>
      </w:r>
      <w:r>
        <w:rPr>
          <w:rFonts w:hint="default" w:ascii="Times New Roman" w:hAnsi="Times New Roman" w:cs="Times New Roman"/>
          <w:sz w:val="24"/>
          <w:szCs w:val="24"/>
        </w:rPr>
        <w:t xml:space="preserve">rovisions to ensure the confidentiality </w:t>
      </w:r>
      <w:r>
        <w:rPr>
          <w:rFonts w:hint="default" w:ascii="Times New Roman" w:hAnsi="Times New Roman" w:cs="Times New Roman"/>
          <w:sz w:val="24"/>
          <w:szCs w:val="24"/>
          <w:lang w:val="en-US"/>
        </w:rPr>
        <w:t>and proper mode of communication between the client and advocate, as well as advocate-client privilege which protects this communication from disclosure in court</w:t>
      </w:r>
      <w:r>
        <w:rPr>
          <w:rFonts w:hint="default" w:ascii="Times New Roman" w:hAnsi="Times New Roman" w:cs="Times New Roman"/>
          <w:sz w:val="24"/>
          <w:szCs w:val="24"/>
        </w:rPr>
        <w:t>.</w:t>
      </w:r>
    </w:p>
    <w:p>
      <w:pPr>
        <w:pStyle w:val="10"/>
        <w:spacing w:line="360" w:lineRule="auto"/>
        <w:ind w:left="0"/>
        <w:jc w:val="both"/>
        <w:rPr>
          <w:rFonts w:hint="default" w:ascii="Times New Roman" w:hAnsi="Times New Roman" w:cs="Times New Roman"/>
          <w:b/>
          <w:bCs/>
          <w:sz w:val="24"/>
          <w:szCs w:val="24"/>
        </w:rPr>
      </w:pPr>
      <w:r>
        <w:rPr>
          <w:rFonts w:hint="default" w:ascii="Times New Roman" w:hAnsi="Times New Roman" w:cs="Times New Roman"/>
          <w:b/>
          <w:bCs/>
          <w:sz w:val="24"/>
          <w:szCs w:val="24"/>
        </w:rPr>
        <w:t>Legal Framework on Retainer Agreements</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1. The Advocates Act Cap 16</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Section 45(1) of the Advocates Act makes the following provisions.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“(1) Subject to section 46 and whether or not an order is in force under section 44, an advocate and his client may-</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(a) before, after or in the course of any contentious business, make an agreement fixing the amount of the advocate’s remuneration in respect thereof;</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(b)before, after or in the course of any contentious business in a civil court, make an agreement fixing the amount of the advocate’s instruction fee in respect thereof or his fees for appearing in court or both;</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(c) and such agreement shall be valid and binding on the parties provided it is in writing and signed by the client or his agent duly authorized on that behalf.”</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 Advocates Remuneration Order</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The Advocates Remuneration Order sets out the framework on how advocates should charge for different legal services they offer i.e. in contentious matters, non-contentious matters, taxation thereof, and taxation of costs between parties in contentious matters. In drafting retainer agreements, no advocate may agree or accept their remuneration at less than that provided by the order(undercutting) as provided for under Section 3 of the ARO. Neither is an advocate entitled to charge above the scale provided in the ARO.</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 LSK Code of Standards of Professional Practice and Ethical Conduct (SOPPEC)</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Section 21 enlists Principle 8 on Remuneration which states that as professionals’ lawyers are entitled to fair reasonable remuneration for services rendered. Reasonable remuneration enhances the ability of the Advocate to render services diligently and promotes financial independence. The lawyers’ professional association, the courts, and clients have an obligation to facilitate an environment in which legal services can be provided in a framework that enables members of the legal profession to earn reasonable remuneration without legal fees becoming a barrier to access to legal services.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Retainer agreements have to be guided by this principle on remuneration requiring fair remuneration for work done or to be done.</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 xml:space="preserve"> Section 62 SOPPEC 4 on Professional Fees provides that the practice of undercutting, that is, charging less than the scale fees for professional services rendered constitutes professional misconduct. Similarly, unjustifiably high fees which are not commensurate with the professional services rendered constitute professional misconduct. The fees charged by the advocate should be regulated by the ARO.</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Further, it is provided under Section 67 that it is good professional practice for Advocates to always encourage clients to issue written instructions before the Advocate’s engagement commences. The written instructions may take the form of either a letter of instructions issued by the client to the Advocate or a memorandum of agreement between the Advocate and the client. In the case of the memorandum of agreement, the memorandum should be signed by both the client and the advocate. The letter or agreement should clearly define the nature and scope of the engagement and the understanding between the parties as regards fees, either clearly stating the amount of fees to be charged or the basis on which fees will be charged.</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In this sense retainer agreements should always spell out the nature of services required, agreement on fees to be charged for the service, and basis for charging the fees. A retainer agreement should be in writing and signed by the advocate and client.</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 Advocate Practice Rules 1966</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Rule 3 provides that no advocate may hold himself out or allow himself to be held out directly or indirectly as being prepared to do professional business at less than the scales laid down by the Advocates (Remuneration) Order for the time being in force.</w:t>
      </w:r>
    </w:p>
    <w:p>
      <w:pPr>
        <w:pStyle w:val="1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5. Law of Contract Act</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A retainer agreement is a contract between an advocate and a client for fees and the provision of legal services to the client. That said the law of contract regulates retainer agreements in the sense that the advocate makes an offer to provide legal services while the client unequivocally accepts the terms of the service. In retainer agreements, the consideration is typically the advocate’s provision of legal services in return for the client’s payment of fees. A retainer agreement for fees and legal services to be provided indicates an intention of both the advocate and client to create legal relations. The advocate and client should also have the requisite capacity to enter into the retainer agreement. While oral agreements can be binding, retainer agreements are required to be in writing and signed to ensure clarity and avoid disputes in the future.</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Fonts w:hint="default" w:ascii="Times New Roman" w:hAnsi="Times New Roman" w:cs="Times New Roman"/>
          <w:b/>
          <w:bCs/>
          <w:sz w:val="24"/>
          <w:szCs w:val="24"/>
        </w:rPr>
        <w:t>Omulele &amp; Tollo Advocates vs Mount Holdings Ltd C.A.75 of 2015 </w:t>
      </w:r>
      <w:r>
        <w:rPr>
          <w:rFonts w:hint="default" w:ascii="Times New Roman" w:hAnsi="Times New Roman" w:cs="Times New Roman"/>
          <w:sz w:val="24"/>
          <w:szCs w:val="24"/>
        </w:rPr>
        <w:t>it was held that;</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“A retainer means the instruction, employment or engagement of an advocate by his client. On the other hand, a retainer agreement is merely a contract in writing prescribing the terms of engagement of an advocate by his client, including fees payable. Therefore, it is submitted while a retainer denotes a relationship between parties, the retainer agreement is merely the physical written document or manifestation of such a relationship…</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As Section [45 of Advocates Act] indicates, under such agreement, the parties fix or put a cap on the advocate's instruction fees…. both parties are beholden to the amount so fixed. From the foregoing, it should thus be clear that the presence of a retainer is what in turn gives rise to the retainer Agreement....It follows that for the retainer agreement to be valid and binding, the same must have been put in writing and signed by the client and /or his age”</w:t>
      </w:r>
    </w:p>
    <w:p>
      <w:pPr>
        <w:pStyle w:val="10"/>
        <w:spacing w:line="360" w:lineRule="auto"/>
        <w:ind w:left="0"/>
        <w:jc w:val="both"/>
        <w:rPr>
          <w:rFonts w:hint="default" w:ascii="Times New Roman" w:hAnsi="Times New Roman" w:cs="Times New Roman"/>
          <w:b/>
          <w:bCs/>
          <w:sz w:val="24"/>
          <w:szCs w:val="24"/>
        </w:rPr>
      </w:pPr>
      <w:r>
        <w:rPr>
          <w:rFonts w:hint="default" w:ascii="Times New Roman" w:hAnsi="Times New Roman" w:cs="Times New Roman"/>
          <w:b/>
          <w:bCs/>
          <w:sz w:val="24"/>
          <w:szCs w:val="24"/>
        </w:rPr>
        <w:t>TYPES OF RETAINERS</w:t>
      </w:r>
    </w:p>
    <w:p>
      <w:pPr>
        <w:pStyle w:val="10"/>
        <w:numPr>
          <w:ilvl w:val="0"/>
          <w:numId w:val="5"/>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 general retainer</w:t>
      </w:r>
      <w:r>
        <w:rPr>
          <w:rFonts w:hint="default" w:ascii="Times New Roman" w:hAnsi="Times New Roman" w:cs="Times New Roman"/>
          <w:sz w:val="24"/>
          <w:szCs w:val="24"/>
        </w:rPr>
        <w:t xml:space="preserve"> </w:t>
      </w:r>
    </w:p>
    <w:p>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Is a type of retainer in which a lawyer agrees to handle a case or future issues that arises for  the client. The primary aim of a general retainer is to guarantee the lawyer or law firm's accessibility and availability in case of any legal issues. Compensation for this type of retainer is solely for securing this availability.  A</w:t>
      </w:r>
      <w:r>
        <w:rPr>
          <w:rFonts w:hint="default" w:ascii="Times New Roman" w:hAnsi="Times New Roman" w:cs="Times New Roman"/>
          <w:sz w:val="24"/>
          <w:szCs w:val="24"/>
          <w:lang w:val="en-US"/>
        </w:rPr>
        <w:t xml:space="preserve">dditional fees will be charged for any services provided. </w:t>
      </w:r>
      <w:r>
        <w:rPr>
          <w:rFonts w:hint="default" w:ascii="Times New Roman" w:hAnsi="Times New Roman" w:cs="Times New Roman"/>
          <w:sz w:val="24"/>
          <w:szCs w:val="24"/>
          <w:lang w:val="en-US"/>
        </w:rPr>
        <w:t xml:space="preserve">General retainers are typically utilized when the lawyer or firm possesses unique skills or a strong relationship with the client. because </w:t>
      </w:r>
    </w:p>
    <w:p>
      <w:pPr>
        <w:numPr>
          <w:ilvl w:val="0"/>
          <w:numId w:val="5"/>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A specific retainer</w:t>
      </w:r>
      <w:r>
        <w:rPr>
          <w:rFonts w:hint="default" w:ascii="Times New Roman" w:hAnsi="Times New Roman" w:cs="Times New Roman"/>
          <w:sz w:val="24"/>
          <w:szCs w:val="24"/>
        </w:rPr>
        <w:t xml:space="preserve"> </w:t>
      </w:r>
    </w:p>
    <w:p>
      <w:pPr>
        <w:numPr>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en-US"/>
        </w:rPr>
        <w:t>A specific retainer agreement is a legal contract between a client and a lawyer for representation in a particular legal matter or case. The terms of the agreement outline the scope of the legal representation, the fee structure, any additional costs, responsibilities of both parties, and the conditions under which the retainer fee may be refunded in cases where the matter concluded without swiftly (in divorce cases) without the lawyer's involvement. This type of agreement ensures clarity and commitment from both the client and the lawyer regarding the specific legal issue at hand.</w:t>
      </w:r>
    </w:p>
    <w:p>
      <w:pPr>
        <w:numPr>
          <w:ilvl w:val="0"/>
          <w:numId w:val="5"/>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Advance payment </w:t>
      </w:r>
      <w:r>
        <w:rPr>
          <w:rFonts w:hint="default" w:ascii="Times New Roman" w:hAnsi="Times New Roman" w:cs="Times New Roman"/>
          <w:b/>
          <w:bCs/>
          <w:sz w:val="24"/>
          <w:szCs w:val="24"/>
        </w:rPr>
        <w:t>retainer</w:t>
      </w:r>
      <w:r>
        <w:rPr>
          <w:rFonts w:hint="default" w:ascii="Times New Roman" w:hAnsi="Times New Roman" w:cs="Times New Roman"/>
          <w:sz w:val="24"/>
          <w:szCs w:val="24"/>
        </w:rPr>
        <w:t xml:space="preserve"> </w:t>
      </w:r>
    </w:p>
    <w:p>
      <w:pPr>
        <w:numPr>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en-US"/>
        </w:rPr>
        <w:t>An advance payment retainer agreement is a legal contract between a client and a lawyer in which the client pays upfront for specific legal services to be provided in the future. This payment, known as an advance retainer, secures the lawyer's services and may cover some or all of the fees associated with the agreed-upon legal work. The terms of the agreement outline the scope of services, the amount of the retainer, any additional costs, and the conditions under which the retainer may be used or refunded.</w:t>
      </w:r>
    </w:p>
    <w:p>
      <w:pPr>
        <w:numPr>
          <w:ilvl w:val="0"/>
          <w:numId w:val="5"/>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Security Retainer</w:t>
      </w:r>
      <w:r>
        <w:rPr>
          <w:rFonts w:hint="default" w:ascii="Times New Roman" w:hAnsi="Times New Roman" w:cs="Times New Roman"/>
          <w:sz w:val="24"/>
          <w:szCs w:val="24"/>
        </w:rPr>
        <w:t xml:space="preserve"> </w:t>
      </w:r>
    </w:p>
    <w:p>
      <w:pPr>
        <w:numPr>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en-US"/>
        </w:rPr>
        <w:t>A security retainer is a sum of money deposited by a client with a legal firm or advocate to secure future legal services. It acts as a guarantee that the client has the funds to cover the costs of the services they are seeking. The advocate does not receive the money until they provide the agreed-upon services. This arrangement ensures that both parties are committed to the legal process and protects the advocate's interests by ensuring payment for their services.</w:t>
      </w:r>
    </w:p>
    <w:p>
      <w:pPr>
        <w:numPr>
          <w:ilvl w:val="0"/>
          <w:numId w:val="5"/>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Hybrid retainer</w:t>
      </w:r>
      <w:r>
        <w:rPr>
          <w:rFonts w:hint="default" w:ascii="Times New Roman" w:hAnsi="Times New Roman" w:cs="Times New Roman"/>
          <w:sz w:val="24"/>
          <w:szCs w:val="24"/>
        </w:rPr>
        <w:t xml:space="preserve"> </w:t>
      </w:r>
    </w:p>
    <w:p>
      <w:pPr>
        <w:numPr>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rPr>
        <w:t>This combines the elements of a general retainer and special retainer. This type of fee maybe paid in advance both to secure a lawyer’s availability for future services if requested, and to engage the lawyer to actually provide specific identified services</w:t>
      </w:r>
      <w:r>
        <w:rPr>
          <w:rFonts w:hint="default" w:ascii="Times New Roman" w:hAnsi="Times New Roman" w:cs="Times New Roman"/>
          <w:sz w:val="24"/>
          <w:szCs w:val="24"/>
          <w:lang w:val="en-US"/>
        </w:rPr>
        <w:t>.</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b/>
          <w:bCs/>
          <w:sz w:val="24"/>
          <w:szCs w:val="24"/>
        </w:rPr>
        <w:t>Advantages of Retainers</w:t>
      </w:r>
    </w:p>
    <w:p>
      <w:pPr>
        <w:pStyle w:val="10"/>
        <w:numPr>
          <w:ilvl w:val="0"/>
          <w:numId w:val="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Predictable Costs: Clients pay a predetermined fee for ongoing legal services over a specified period. This predictability helps them budget effectively and eliminates the uncertainty associated with hourly billing.</w:t>
      </w:r>
    </w:p>
    <w:p>
      <w:pPr>
        <w:pStyle w:val="10"/>
        <w:numPr>
          <w:ilvl w:val="0"/>
          <w:numId w:val="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Accessibility and Availability: Clients on retainer receive priority treatment, ensuring prompt assistance whenever legal issues arise. Immediate access to legal counsel can be invaluable, especially in urgent situations.</w:t>
      </w:r>
    </w:p>
    <w:p>
      <w:pPr>
        <w:pStyle w:val="10"/>
        <w:numPr>
          <w:ilvl w:val="0"/>
          <w:numId w:val="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Relationship Building: The retainer model fosters a collaborative relationship between clients and their legal representatives. Working closely over an extended period allows legal professionals to gain insight into the client’s needs and provide tailored solutions.</w:t>
      </w:r>
    </w:p>
    <w:p>
      <w:pPr>
        <w:pStyle w:val="10"/>
        <w:numPr>
          <w:ilvl w:val="0"/>
          <w:numId w:val="6"/>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Proactive Legal Support: Retained attorneys proactively identify potential legal risks and offer timely advice to prevent costly disputes or regulatory violations1.</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b/>
          <w:bCs/>
          <w:sz w:val="24"/>
          <w:szCs w:val="24"/>
        </w:rPr>
        <w:t>Disadvantages of Retainers</w:t>
      </w:r>
    </w:p>
    <w:p>
      <w:pPr>
        <w:pStyle w:val="10"/>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Cost Considerations: Retainers can be expensive, and clients may need to assess whether the benefits justify the cost.</w:t>
      </w:r>
    </w:p>
    <w:p>
      <w:pPr>
        <w:pStyle w:val="10"/>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Limited Scope: Retainers typically cover specific legal services. If a client requires additional services beyond the scope of the retainer, they may incur extra charges.</w:t>
      </w:r>
    </w:p>
    <w:p>
      <w:pPr>
        <w:pStyle w:val="10"/>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Unused Hours: If a client doesn’t fully utilize the retainer hours, they may feel they’re not getting value for their money.</w:t>
      </w:r>
    </w:p>
    <w:p>
      <w:pPr>
        <w:pStyle w:val="10"/>
        <w:numPr>
          <w:ilvl w:val="0"/>
          <w:numId w:val="7"/>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Dependency on a Single Provider: Clients relying solely on a retained attorney may face challenges if that attorney becomes unavailable or if conflicts of interest arise.</w:t>
      </w:r>
    </w:p>
    <w:p>
      <w:pPr>
        <w:keepNext/>
        <w:keepLines/>
        <w:spacing w:before="240" w:line="360" w:lineRule="auto"/>
        <w:outlineLvl w:val="0"/>
        <w:rPr>
          <w:rFonts w:hint="default" w:ascii="Times New Roman" w:hAnsi="Times New Roman" w:cs="Times New Roman"/>
          <w:b/>
          <w:bCs/>
          <w:sz w:val="24"/>
          <w:szCs w:val="24"/>
        </w:rPr>
      </w:pPr>
      <w:r>
        <w:rPr>
          <w:rFonts w:hint="default" w:ascii="Times New Roman" w:hAnsi="Times New Roman" w:cs="Times New Roman"/>
          <w:b/>
          <w:bCs/>
          <w:sz w:val="24"/>
          <w:szCs w:val="24"/>
        </w:rPr>
        <w:t>Ethical Considerations in Retainers</w:t>
      </w:r>
    </w:p>
    <w:p>
      <w:pPr>
        <w:keepNext/>
        <w:keepLines/>
        <w:numPr>
          <w:ilvl w:val="0"/>
          <w:numId w:val="8"/>
        </w:numPr>
        <w:spacing w:before="240" w:line="360" w:lineRule="auto"/>
        <w:ind w:left="425" w:leftChars="0" w:hanging="425" w:firstLineChars="0"/>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Conflict of Interest:</w:t>
      </w:r>
    </w:p>
    <w:p>
      <w:pPr>
        <w:keepNext/>
        <w:keepLines/>
        <w:spacing w:before="240" w:line="360" w:lineRule="auto"/>
        <w:jc w:val="both"/>
        <w:outlineLvl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When entering in a retainer agreement, an advocate must steer clear of conflicts of interest that could compromise their ability to represent a client. This involves ensuring their obligations to another client, a third party, or their own interests do not interfere. Throughout and even after the advocate-client relationship, advocates must maintain confidentiality. They are obligated to disclose any potential conflicts of interest that could affect the client, directly or indirectly. Failure to disclose may lead to disciplinary measures against the advocate.</w:t>
      </w:r>
    </w:p>
    <w:p>
      <w:pPr>
        <w:keepNext/>
        <w:keepLines/>
        <w:numPr>
          <w:ilvl w:val="0"/>
          <w:numId w:val="8"/>
        </w:numPr>
        <w:spacing w:before="240" w:line="360" w:lineRule="auto"/>
        <w:ind w:left="425" w:leftChars="0" w:hanging="425" w:firstLineChars="0"/>
        <w:jc w:val="both"/>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Competence and Diligence:</w:t>
      </w:r>
    </w:p>
    <w:p>
      <w:pPr>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Advocated have an ethical duty to offer competent and diligent representation. By accepting a retainer, a lawyer commits to dedicating the necessary time and expertise to effectively address the client's needs. Advocates bear a significant responsibility to consistently demonstrate their competence in representing clients, as clients entrust them with their rights, freedoms, and financial interests, expecting these to be safeguarded at all times.</w:t>
      </w:r>
    </w:p>
    <w:p>
      <w:pPr>
        <w:keepNext/>
        <w:keepLines/>
        <w:numPr>
          <w:ilvl w:val="0"/>
          <w:numId w:val="8"/>
        </w:numPr>
        <w:spacing w:before="240" w:line="360" w:lineRule="auto"/>
        <w:ind w:left="425" w:leftChars="0" w:hanging="425" w:firstLineChars="0"/>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Confidentiality:</w:t>
      </w:r>
    </w:p>
    <w:p>
      <w:pPr>
        <w:keepNext/>
        <w:keepLines/>
        <w:spacing w:before="240" w:line="360" w:lineRule="auto"/>
        <w:jc w:val="both"/>
        <w:outlineLvl w:val="0"/>
        <w:rPr>
          <w:rFonts w:hint="default" w:ascii="Times New Roman" w:hAnsi="Times New Roman" w:cs="Times New Roman"/>
          <w:sz w:val="24"/>
          <w:szCs w:val="24"/>
        </w:rPr>
      </w:pPr>
      <w:r>
        <w:rPr>
          <w:rFonts w:hint="default" w:ascii="Times New Roman" w:hAnsi="Times New Roman" w:eastAsia="Times New Roman" w:cs="Times New Roman"/>
          <w:sz w:val="24"/>
          <w:szCs w:val="24"/>
        </w:rPr>
        <w:t>Preserving client confidentiality during a retainer arrangement is vital. Advocates are obligated to safeguard any information disclosed under such agreements, using it only for its intended legal purposes. This duty stems from the fiduciary aspect of the advocate-client relationship, which deems all communications between them privileged, unless the client explicitly waives confidentiality, as specified in Section 134 of the Evidence Act.</w:t>
      </w:r>
    </w:p>
    <w:p>
      <w:pPr>
        <w:keepNext/>
        <w:keepLines/>
        <w:numPr>
          <w:ilvl w:val="0"/>
          <w:numId w:val="8"/>
        </w:numPr>
        <w:spacing w:before="240" w:line="360" w:lineRule="auto"/>
        <w:ind w:left="425" w:leftChars="0" w:hanging="425" w:firstLineChars="0"/>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Transparency and Communication:</w:t>
      </w:r>
    </w:p>
    <w:p>
      <w:pPr>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Clear communication about retainer terms is essential, including the scope of services, fee structures, and potential additional costs. Transparency helps manage client expectations, avoid misunderstandings, and build trust. By clearly outlining provided services, fee calculations, and possible extra expenses, advocates are to ensure clients are informed and comfortable with the agreement. This fosters a positive professional relationship and reduces the likelihood of disputes.</w:t>
      </w:r>
    </w:p>
    <w:p>
      <w:pPr>
        <w:keepNext/>
        <w:keepLines/>
        <w:numPr>
          <w:ilvl w:val="0"/>
          <w:numId w:val="8"/>
        </w:numPr>
        <w:spacing w:before="240" w:line="360" w:lineRule="auto"/>
        <w:ind w:left="425" w:leftChars="0" w:hanging="425" w:firstLineChars="0"/>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Fair Billing Practices:</w:t>
      </w:r>
    </w:p>
    <w:p>
      <w:pPr>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Retainers should embody fair billing practices, avoiding excessive fees, undercutting fees and offering detailed accounts of how the funds are utilized. Advocates are required to refund any unearned portion of the retainer if the agreement is terminated early. Additionally, clear documentation and regular updates on billing ensure transparency and accountability, reinforcing client trust and satisfaction.</w:t>
      </w:r>
    </w:p>
    <w:p>
      <w:pPr>
        <w:keepNext/>
        <w:keepLines/>
        <w:numPr>
          <w:ilvl w:val="0"/>
          <w:numId w:val="8"/>
        </w:numPr>
        <w:spacing w:before="240" w:line="360" w:lineRule="auto"/>
        <w:ind w:left="425" w:leftChars="0" w:hanging="425" w:firstLineChars="0"/>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lang w:val="en-GB"/>
        </w:rPr>
        <w:t>Professional Indemnity</w:t>
      </w:r>
    </w:p>
    <w:p>
      <w:pPr>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GB"/>
        </w:rPr>
        <w:t>Advocates must have a professional indemnity cover at the start or during the retainer. This insurance cover is crucial for compensating clients for loss or damage from civil liability or breach of trust by the advocate or the employee. Such disclosure in a retainer agreement enhances transparency and trust. It's also important for advocates to maintain this coverage to protect clients' interests throughout the retainer period</w:t>
      </w:r>
      <w:r>
        <w:rPr>
          <w:rFonts w:hint="default" w:ascii="Times New Roman" w:hAnsi="Times New Roman" w:cs="Times New Roman"/>
          <w:sz w:val="24"/>
          <w:szCs w:val="24"/>
          <w:lang w:val="en-GB"/>
        </w:rPr>
        <w:t>.</w:t>
      </w:r>
    </w:p>
    <w:p>
      <w:pPr>
        <w:keepNext/>
        <w:keepLines/>
        <w:numPr>
          <w:ilvl w:val="0"/>
          <w:numId w:val="8"/>
        </w:numPr>
        <w:spacing w:before="240" w:line="360" w:lineRule="auto"/>
        <w:ind w:left="425" w:leftChars="0" w:hanging="425" w:firstLineChars="0"/>
        <w:outlineLvl w:val="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Termination of Services:</w:t>
      </w:r>
    </w:p>
    <w:p>
      <w:pPr>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Clear termination terms in a retainer agreement are vital for client fairness. They should cover procedures, notice periods, and handling of unfinished work or remaining funds. Clarity aids clients in navigating termination confidently, reducing unfairness and fostering professionalism. Advocates should also advise clients on their termination rights and obligations, ensuring a smooth transition while upholding ethics.</w:t>
      </w:r>
    </w:p>
    <w:p>
      <w:pPr>
        <w:pStyle w:val="10"/>
        <w:spacing w:line="360" w:lineRule="auto"/>
        <w:ind w:left="0"/>
        <w:jc w:val="both"/>
        <w:rPr>
          <w:rFonts w:hint="default" w:ascii="Times New Roman" w:hAnsi="Times New Roman" w:cs="Times New Roman"/>
          <w:b/>
          <w:bCs/>
          <w:sz w:val="24"/>
          <w:szCs w:val="24"/>
        </w:rPr>
      </w:pPr>
      <w:r>
        <w:rPr>
          <w:rFonts w:hint="default" w:ascii="Times New Roman" w:hAnsi="Times New Roman" w:cs="Times New Roman"/>
          <w:b/>
          <w:bCs/>
          <w:sz w:val="24"/>
          <w:szCs w:val="24"/>
        </w:rPr>
        <w:t>OPPORTUNITIES</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lang w:val="en-US"/>
        </w:rPr>
        <w:t>R</w:t>
      </w:r>
      <w:r>
        <w:rPr>
          <w:rFonts w:hint="default" w:ascii="Times New Roman" w:hAnsi="Times New Roman" w:cs="Times New Roman"/>
          <w:sz w:val="24"/>
          <w:szCs w:val="24"/>
        </w:rPr>
        <w:t>etainers present several opportunities that align with the ethical standards and best practices in the legal profession. These opportunities enhance the quality and integrity of legal services benefiting both lawyers and clients. They include;</w:t>
      </w:r>
    </w:p>
    <w:p>
      <w:pPr>
        <w:pStyle w:val="10"/>
        <w:numPr>
          <w:ilvl w:val="0"/>
          <w:numId w:val="9"/>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Consistency in Legal Advice and Representation:</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Professional Integrity Retainers ensure that lawyers can provide consistent and ongoing legal advice, which helps in maintaining professional integrity and adherence to ethical standards. Consistent engagement allows lawyers to better understand their clients' needs and circumstances, leading to more ethical and informed decision-making.</w:t>
      </w:r>
    </w:p>
    <w:p>
      <w:pPr>
        <w:pStyle w:val="10"/>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Conflict of Interest Management:</w:t>
      </w:r>
      <w:r>
        <w:rPr>
          <w:rFonts w:hint="default" w:ascii="Times New Roman" w:hAnsi="Times New Roman" w:cs="Times New Roman"/>
          <w:sz w:val="24"/>
          <w:szCs w:val="24"/>
        </w:rPr>
        <w:t xml:space="preserve"> Regular engagement with clients through retainers helps lawyers to anticipate and manage potential conflicts of interest more effectively, as they have a deeper understanding of their clients' activities and interests. The Law Society of Kenya (LSK) Code of Ethics provides guidelines on managing conflicts of interest.</w:t>
      </w:r>
    </w:p>
    <w:p>
      <w:pPr>
        <w:pStyle w:val="10"/>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Enhanced Accountability and Transparency: </w:t>
      </w:r>
      <w:r>
        <w:rPr>
          <w:rFonts w:hint="default" w:ascii="Times New Roman" w:hAnsi="Times New Roman" w:cs="Times New Roman"/>
          <w:sz w:val="24"/>
          <w:szCs w:val="24"/>
        </w:rPr>
        <w:t>Retainer agreements typically outline the scope of services, fees, and expectations, promoting transparency and accountability. This clarity helps prevent misunderstandings and disputes, fostering a more ethical professional relationship.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Also Lawyers on retainer are often required to provide regular reports and updates to their clients, enhancing transparency and ensuring that clients are informed about the progress and status of their legal matters.</w:t>
      </w:r>
    </w:p>
    <w:p>
      <w:pPr>
        <w:pStyle w:val="10"/>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Professional Development and Specialization:</w:t>
      </w:r>
      <w:r>
        <w:rPr>
          <w:rFonts w:hint="default" w:ascii="Times New Roman" w:hAnsi="Times New Roman" w:cs="Times New Roman"/>
          <w:sz w:val="24"/>
          <w:szCs w:val="24"/>
        </w:rPr>
        <w:t xml:space="preserve"> Working on retainer allows lawyers to engage in continuous learning and specialization in their clients' industries. This professional development aligns with ethical standards that require lawyers to maintain competence in their practice areas.</w:t>
      </w:r>
    </w:p>
    <w:p>
      <w:pPr>
        <w:pStyle w:val="10"/>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Improved Client Trust and Confidentiality</w:t>
      </w:r>
      <w:r>
        <w:rPr>
          <w:rFonts w:hint="default" w:ascii="Times New Roman" w:hAnsi="Times New Roman" w:cs="Times New Roman"/>
          <w:sz w:val="24"/>
          <w:szCs w:val="24"/>
        </w:rPr>
        <w:t>: Long-term relationships fostered by retainers build trust between lawyers and clients. Trust is a cornerstone of ethical legal practice, and it encourages clients to be open and honest with their lawyers.</w:t>
      </w:r>
    </w:p>
    <w:p>
      <w:pPr>
        <w:pStyle w:val="10"/>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Affordability and Predictability:</w:t>
      </w:r>
      <w:r>
        <w:rPr>
          <w:rFonts w:hint="default" w:ascii="Times New Roman" w:hAnsi="Times New Roman" w:cs="Times New Roman"/>
          <w:sz w:val="24"/>
          <w:szCs w:val="24"/>
        </w:rPr>
        <w:t xml:space="preserve"> Retainers can make legal services more affordable and predictable for clients, particularly small businesses and individuals. This promotes access to justice, which is an ethical imperative in the legal profession.</w:t>
      </w:r>
    </w:p>
    <w:p>
      <w:pPr>
        <w:pStyle w:val="10"/>
        <w:numPr>
          <w:ilvl w:val="0"/>
          <w:numId w:val="9"/>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Strengthening ethical standards through ethical guidance and compliance:  </w:t>
      </w:r>
      <w:r>
        <w:rPr>
          <w:rFonts w:hint="default" w:ascii="Times New Roman" w:hAnsi="Times New Roman" w:cs="Times New Roman"/>
          <w:sz w:val="24"/>
          <w:szCs w:val="24"/>
        </w:rPr>
        <w:t>Lawyers on retainer can provide ongoing ethical guidance and compliance advice to their clients, helping them navigate legal and regulatory requirements ethically. This supports the broader goal of promoting ethical behavior in business and society.</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CHALLENGES </w:t>
      </w:r>
    </w:p>
    <w:p>
      <w:pPr>
        <w:pStyle w:val="10"/>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 xml:space="preserve"> Retainers pose challenges that impact the integrity, transparency, and overall ethical conduct of legal practitioners. Here are the key ethical challenges associated with retainer agreements </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Conflict of Interest: </w:t>
      </w:r>
      <w:r>
        <w:rPr>
          <w:rFonts w:hint="default" w:ascii="Times New Roman" w:hAnsi="Times New Roman" w:cs="Times New Roman"/>
          <w:sz w:val="24"/>
          <w:szCs w:val="24"/>
        </w:rPr>
        <w:t>Lawyers who take on multiple clients under retainer agreements may face conflicts of interest, especially if the clients have competing interests. Managing these conflicts while maintaining ethical standards can be complex .LSK Code of conduct requires lawyers to avoid conflicts of interest, but the dynamic nature of retainer agreements can make this difficult to navigate.</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Lack of Transparency and Accountability:</w:t>
      </w:r>
      <w:r>
        <w:rPr>
          <w:rFonts w:hint="default" w:ascii="Times New Roman" w:hAnsi="Times New Roman" w:cs="Times New Roman"/>
          <w:sz w:val="24"/>
          <w:szCs w:val="24"/>
        </w:rPr>
        <w:t xml:space="preserve"> Retainer agreements sometimes lack clear, transparent fee structures, leading to disputes and ethical concerns over billing practices. This can erode trust between lawyers and clients. Lawyers may also fail to provide regular updates or detailed reports on the work performed under the retainer, compromising accountability and client trust.</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Decrease in Quality of Service  due to complacency: </w:t>
      </w:r>
      <w:r>
        <w:rPr>
          <w:rFonts w:hint="default" w:ascii="Times New Roman" w:hAnsi="Times New Roman" w:cs="Times New Roman"/>
          <w:sz w:val="24"/>
          <w:szCs w:val="24"/>
        </w:rPr>
        <w:t>There is a risk that lawyers may become complacent, providing subpar service once a retainer agreement is in place. Ethical standards require lawyers to deliver competent and diligent service at all times.</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Workload management: </w:t>
      </w:r>
      <w:r>
        <w:rPr>
          <w:rFonts w:hint="default" w:ascii="Times New Roman" w:hAnsi="Times New Roman" w:cs="Times New Roman"/>
          <w:sz w:val="24"/>
          <w:szCs w:val="24"/>
        </w:rPr>
        <w:t>Balancing the demands of retainer clients with other cases can lead to inadequate attention and service quality, violating ethical obligations to each client..</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Unethical Practices and Exploitation:</w:t>
      </w:r>
      <w:r>
        <w:rPr>
          <w:rFonts w:hint="default" w:ascii="Times New Roman" w:hAnsi="Times New Roman" w:cs="Times New Roman"/>
          <w:sz w:val="24"/>
          <w:szCs w:val="24"/>
        </w:rPr>
        <w:t xml:space="preserve"> Some lawyers may exploit retainer agreements by overcharging for services or </w:t>
      </w:r>
      <w:r>
        <w:rPr>
          <w:rFonts w:hint="default" w:ascii="Times New Roman" w:hAnsi="Times New Roman" w:cs="Times New Roman"/>
          <w:sz w:val="24"/>
          <w:szCs w:val="24"/>
          <w:lang w:val="en-US"/>
        </w:rPr>
        <w:t>under performing</w:t>
      </w:r>
      <w:r>
        <w:rPr>
          <w:rFonts w:hint="default" w:ascii="Times New Roman" w:hAnsi="Times New Roman" w:cs="Times New Roman"/>
          <w:sz w:val="24"/>
          <w:szCs w:val="24"/>
        </w:rPr>
        <w:t>, providing minimal effort for the retainer fee. This undermines the ethical principle of fairness.</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Pressuring of Clients: </w:t>
      </w:r>
      <w:r>
        <w:rPr>
          <w:rFonts w:hint="default" w:ascii="Times New Roman" w:hAnsi="Times New Roman" w:cs="Times New Roman"/>
          <w:sz w:val="24"/>
          <w:szCs w:val="24"/>
        </w:rPr>
        <w:t>Lawyers might pressure clients into retainer agreements without fully explaining the terms and implications, raising ethical issues regarding informed consent and autonomy.</w:t>
      </w:r>
    </w:p>
    <w:p>
      <w:pPr>
        <w:pStyle w:val="10"/>
        <w:numPr>
          <w:ilvl w:val="0"/>
          <w:numId w:val="1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Professional Independence:</w:t>
      </w:r>
      <w:r>
        <w:rPr>
          <w:rFonts w:hint="default" w:ascii="Times New Roman" w:hAnsi="Times New Roman" w:cs="Times New Roman"/>
          <w:sz w:val="24"/>
          <w:szCs w:val="24"/>
        </w:rPr>
        <w:t xml:space="preserve"> Client Influence due to Long-term financial relationships can threaten a lawyer’s professional independence. Lawyers might feel pressured to prioritize the interests of retainer clients over their professional judgment or other ethical obligations. which is against the LSK Guidelines which  emphasizes the importance of maintaining professional independence and judgment, regardless of the financial arrangements with clients.</w:t>
      </w:r>
    </w:p>
    <w:p>
      <w:pPr>
        <w:pStyle w:val="10"/>
        <w:numPr>
          <w:ilvl w:val="0"/>
          <w:numId w:val="10"/>
        </w:numPr>
        <w:spacing w:line="360" w:lineRule="auto"/>
        <w:ind w:left="425" w:leftChars="0" w:hanging="425" w:firstLineChars="0"/>
        <w:jc w:val="both"/>
        <w:rPr>
          <w:rFonts w:ascii="Times New Roman" w:hAnsi="Times New Roman" w:cs="Times New Roman"/>
          <w:sz w:val="24"/>
          <w:szCs w:val="24"/>
        </w:rPr>
      </w:pPr>
      <w:r>
        <w:rPr>
          <w:rFonts w:hint="default" w:ascii="Times New Roman" w:hAnsi="Times New Roman" w:cs="Times New Roman"/>
          <w:b/>
          <w:bCs/>
          <w:sz w:val="24"/>
          <w:szCs w:val="24"/>
        </w:rPr>
        <w:t xml:space="preserve">Exclusivity: </w:t>
      </w:r>
      <w:r>
        <w:rPr>
          <w:rFonts w:hint="default" w:ascii="Times New Roman" w:hAnsi="Times New Roman" w:cs="Times New Roman"/>
          <w:sz w:val="24"/>
          <w:szCs w:val="24"/>
        </w:rPr>
        <w:t>Lawyers focused on lucrative retainer clients might neglect pro bono work impacting access to justice for underprivileged populations. Which is not in sync with the ethical duty law society of Kenya places on advocates by encouraging lawyers to engage in activities that promote access to justice, balancing retainer work with broader ethical responsibilities to the community</w:t>
      </w:r>
      <w:r>
        <w:rPr>
          <w:rFonts w:ascii="Times New Roman" w:hAnsi="Times New Roman" w:cs="Times New Roman"/>
          <w:sz w:val="24"/>
          <w:szCs w:val="24"/>
        </w:rPr>
        <w:cr/>
      </w:r>
    </w:p>
    <w:p>
      <w:pPr>
        <w:pStyle w:val="10"/>
        <w:spacing w:line="360" w:lineRule="auto"/>
        <w:ind w:left="0"/>
        <w:jc w:val="both"/>
        <w:rPr>
          <w:rFonts w:ascii="Times New Roman" w:hAnsi="Times New Roman" w:cs="Times New Roman"/>
          <w:sz w:val="24"/>
          <w:szCs w:val="24"/>
        </w:rPr>
      </w:pPr>
    </w:p>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Yu Gothic UI">
    <w:panose1 w:val="020B05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Perpetua">
    <w:panose1 w:val="02020502060401020303"/>
    <w:charset w:val="00"/>
    <w:family w:val="roman"/>
    <w:pitch w:val="default"/>
    <w:sig w:usb0="00000003" w:usb1="00000000" w:usb2="00000000" w:usb3="00000000" w:csb0="20000001"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59" w:lineRule="auto"/>
      </w:pPr>
      <w:r>
        <w:separator/>
      </w:r>
    </w:p>
  </w:footnote>
  <w:footnote w:type="continuationSeparator" w:id="3">
    <w:p>
      <w:pPr>
        <w:spacing w:before="0" w:after="0" w:line="259" w:lineRule="auto"/>
      </w:pPr>
      <w:r>
        <w:continuationSeparator/>
      </w:r>
    </w:p>
  </w:footnote>
  <w:footnote w:id="0">
    <w:p>
      <w:pPr>
        <w:pStyle w:val="8"/>
        <w:jc w:val="both"/>
        <w:rPr>
          <w:rFonts w:ascii="Times New Roman" w:hAnsi="Times New Roman" w:cs="Times New Roman"/>
        </w:rPr>
      </w:pPr>
      <w:r>
        <w:rPr>
          <w:rStyle w:val="7"/>
        </w:rPr>
        <w:footnoteRef/>
      </w:r>
      <w:r>
        <w:rPr>
          <w:rFonts w:ascii="Times New Roman" w:hAnsi="Times New Roman" w:cs="Times New Roman"/>
          <w:b/>
          <w:bCs/>
        </w:rPr>
        <w:t>Section 2 of the Advocates Act, Laws of Kenya</w:t>
      </w:r>
      <w:r>
        <w:rPr>
          <w:rFonts w:ascii="Times New Roman" w:hAnsi="Times New Roman" w:cs="Times New Roman"/>
        </w:rPr>
        <w:t xml:space="preserve"> “Includes any person who, as a principal or on behalf of another, or as a trustee or personal representative, or in any other capacity, has power, express or implied, to retain or employ, and retains or employs, or is about to retain or employ an advocate and any person who is or may be liable to pay to an advocate any costs”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FD8F8"/>
    <w:multiLevelType w:val="singleLevel"/>
    <w:tmpl w:val="843FD8F8"/>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5F672AD"/>
    <w:multiLevelType w:val="singleLevel"/>
    <w:tmpl w:val="A5F672AD"/>
    <w:lvl w:ilvl="0" w:tentative="0">
      <w:start w:val="1"/>
      <w:numFmt w:val="decimal"/>
      <w:lvlText w:val="%1."/>
      <w:lvlJc w:val="left"/>
      <w:pPr>
        <w:tabs>
          <w:tab w:val="left" w:pos="425"/>
        </w:tabs>
        <w:ind w:left="425" w:leftChars="0" w:hanging="425" w:firstLineChars="0"/>
      </w:pPr>
      <w:rPr>
        <w:rFonts w:hint="default"/>
      </w:rPr>
    </w:lvl>
  </w:abstractNum>
  <w:abstractNum w:abstractNumId="2">
    <w:nsid w:val="F8A4C7D2"/>
    <w:multiLevelType w:val="singleLevel"/>
    <w:tmpl w:val="F8A4C7D2"/>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0000000E"/>
    <w:multiLevelType w:val="multilevel"/>
    <w:tmpl w:val="0000000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053208E"/>
    <w:multiLevelType w:val="multilevel"/>
    <w:tmpl w:val="0053208E"/>
    <w:lvl w:ilvl="0" w:tentative="0">
      <w:start w:val="1"/>
      <w:numFmt w:val="lowerLetter"/>
      <w:lvlText w:val="%1)"/>
      <w:lvlJc w:val="left"/>
      <w:pPr>
        <w:ind w:left="1080" w:hanging="360"/>
      </w:pPr>
      <w:rPr>
        <w:rFonts w:hint="default"/>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37CB82C"/>
    <w:multiLevelType w:val="singleLevel"/>
    <w:tmpl w:val="037CB82C"/>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084099BA"/>
    <w:multiLevelType w:val="singleLevel"/>
    <w:tmpl w:val="084099BA"/>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244F1C4F"/>
    <w:multiLevelType w:val="singleLevel"/>
    <w:tmpl w:val="244F1C4F"/>
    <w:lvl w:ilvl="0" w:tentative="0">
      <w:start w:val="1"/>
      <w:numFmt w:val="decimal"/>
      <w:lvlText w:val="%1)"/>
      <w:lvlJc w:val="left"/>
      <w:pPr>
        <w:tabs>
          <w:tab w:val="left" w:pos="425"/>
        </w:tabs>
        <w:ind w:left="425" w:leftChars="0" w:hanging="425" w:firstLineChars="0"/>
      </w:pPr>
      <w:rPr>
        <w:rFonts w:hint="default"/>
      </w:rPr>
    </w:lvl>
  </w:abstractNum>
  <w:abstractNum w:abstractNumId="8">
    <w:nsid w:val="51BF4916"/>
    <w:multiLevelType w:val="singleLevel"/>
    <w:tmpl w:val="51BF4916"/>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5AD7057A"/>
    <w:multiLevelType w:val="singleLevel"/>
    <w:tmpl w:val="5AD7057A"/>
    <w:lvl w:ilvl="0" w:tentative="0">
      <w:start w:val="1"/>
      <w:numFmt w:val="lowerRoman"/>
      <w:lvlText w:val="%1."/>
      <w:lvlJc w:val="left"/>
      <w:pPr>
        <w:tabs>
          <w:tab w:val="left" w:pos="425"/>
        </w:tabs>
        <w:ind w:left="425" w:leftChars="0" w:hanging="425" w:firstLineChars="0"/>
      </w:pPr>
      <w:rPr>
        <w:rFonts w:hint="default"/>
      </w:rPr>
    </w:lvl>
  </w:abstractNum>
  <w:num w:numId="1">
    <w:abstractNumId w:val="3"/>
  </w:num>
  <w:num w:numId="2">
    <w:abstractNumId w:val="4"/>
  </w:num>
  <w:num w:numId="3">
    <w:abstractNumId w:val="0"/>
  </w:num>
  <w:num w:numId="4">
    <w:abstractNumId w:val="6"/>
  </w:num>
  <w:num w:numId="5">
    <w:abstractNumId w:val="8"/>
  </w:num>
  <w:num w:numId="6">
    <w:abstractNumId w:val="2"/>
  </w:num>
  <w:num w:numId="7">
    <w:abstractNumId w:val="5"/>
  </w:num>
  <w:num w:numId="8">
    <w:abstractNumId w:val="1"/>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2"/>
    <w:footnote w:id="3"/>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BF020F"/>
    <w:rsid w:val="07C077E4"/>
    <w:rsid w:val="68092DC3"/>
    <w:rsid w:val="6EBF0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kern w:val="2"/>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widowControl w:val="0"/>
      <w:autoSpaceDE w:val="0"/>
      <w:autoSpaceDN w:val="0"/>
      <w:spacing w:after="0" w:line="240" w:lineRule="auto"/>
      <w:ind w:left="280"/>
    </w:pPr>
    <w:rPr>
      <w:rFonts w:ascii="Times New Roman" w:hAnsi="Times New Roman" w:eastAsia="Times New Roman" w:cs="Times New Roman"/>
      <w:kern w:val="0"/>
      <w:sz w:val="24"/>
      <w:szCs w:val="24"/>
    </w:rPr>
  </w:style>
  <w:style w:type="character" w:styleId="5">
    <w:name w:val="Emphasis"/>
    <w:basedOn w:val="2"/>
    <w:qFormat/>
    <w:uiPriority w:val="0"/>
    <w:rPr>
      <w:rFonts w:ascii="Times New Roman" w:hAnsi="Times New Roman" w:eastAsia="SimSun" w:cs="Times New Roman"/>
      <w:i/>
      <w:sz w:val="21"/>
    </w:rPr>
  </w:style>
  <w:style w:type="paragraph" w:styleId="6">
    <w:name w:val="footer"/>
    <w:basedOn w:val="1"/>
    <w:qFormat/>
    <w:uiPriority w:val="99"/>
    <w:pPr>
      <w:tabs>
        <w:tab w:val="center" w:pos="4680"/>
        <w:tab w:val="right" w:pos="9360"/>
      </w:tabs>
      <w:spacing w:after="0" w:line="240" w:lineRule="auto"/>
    </w:pPr>
  </w:style>
  <w:style w:type="character" w:styleId="7">
    <w:name w:val="footnote reference"/>
    <w:basedOn w:val="2"/>
    <w:uiPriority w:val="99"/>
    <w:rPr>
      <w:vertAlign w:val="superscript"/>
    </w:rPr>
  </w:style>
  <w:style w:type="paragraph" w:styleId="8">
    <w:name w:val="footnote text"/>
    <w:basedOn w:val="1"/>
    <w:qFormat/>
    <w:uiPriority w:val="99"/>
    <w:pPr>
      <w:spacing w:after="0" w:line="240" w:lineRule="auto"/>
    </w:pPr>
    <w:rPr>
      <w:sz w:val="20"/>
      <w:szCs w:val="20"/>
    </w:rPr>
  </w:style>
  <w:style w:type="paragraph" w:styleId="9">
    <w:name w:val="Normal (Web)"/>
    <w:basedOn w:val="1"/>
    <w:qFormat/>
    <w:uiPriority w:val="99"/>
    <w:pPr>
      <w:spacing w:before="100" w:beforeAutospacing="1" w:after="100" w:afterAutospacing="1" w:line="240" w:lineRule="auto"/>
    </w:pPr>
    <w:rPr>
      <w:rFonts w:ascii="Times New Roman" w:hAnsi="Times New Roman" w:eastAsia="Times New Roman" w:cs="Times New Roman"/>
      <w:kern w:val="0"/>
      <w:sz w:val="24"/>
      <w:szCs w:val="24"/>
    </w:rPr>
  </w:style>
  <w:style w:type="paragraph" w:customStyle="1" w:styleId="10">
    <w:name w:val="List Paragraph_4c68f373-6092-4a1d-9df0-d42189abf187"/>
    <w:basedOn w:val="1"/>
    <w:qFormat/>
    <w:uiPriority w:val="1"/>
    <w:pPr>
      <w:ind w:left="720"/>
      <w:contextualSpacing/>
    </w:p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2024-05-29T19:16:00Z</dcterms:created>
  <dc:creator>Dell</dc:creator>
  <cp:lastModifiedBy>Dell</cp:lastModifiedBy>
  <dcterms:modified xsi:type="dcterms:W3CDTF">2024-05-30T07:14:12Z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177B4EE14E92415DAACB60ED31DBF030_13</vt:lpwstr>
  </property>
</Properties>
</file>