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17BF2" w14:textId="77777777" w:rsidR="00881032" w:rsidRDefault="00881032" w:rsidP="00881032">
      <w:pPr>
        <w:spacing w:line="360" w:lineRule="auto"/>
        <w:jc w:val="center"/>
        <w:rPr>
          <w:rFonts w:ascii="Times New Roman" w:eastAsia="Times New Roman" w:hAnsi="Times New Roman" w:cs="Times New Roman"/>
          <w:b/>
          <w:sz w:val="36"/>
          <w:szCs w:val="36"/>
        </w:rPr>
      </w:pPr>
      <w:r w:rsidRPr="00C93743">
        <w:rPr>
          <w:rFonts w:ascii="Times New Roman" w:eastAsia="Times New Roman" w:hAnsi="Times New Roman" w:cs="Times New Roman"/>
          <w:b/>
          <w:sz w:val="36"/>
          <w:szCs w:val="36"/>
        </w:rPr>
        <w:t>CLASS C FIRM 08</w:t>
      </w:r>
    </w:p>
    <w:p w14:paraId="251CBA79" w14:textId="77777777" w:rsidR="00881032" w:rsidRDefault="00881032" w:rsidP="00881032">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PROFESSIONAL ETHICS ASSIGNMENT WRITE UP</w:t>
      </w:r>
    </w:p>
    <w:p w14:paraId="5A2A7957" w14:textId="77777777" w:rsidR="00881032" w:rsidRPr="00732377" w:rsidRDefault="00881032" w:rsidP="00881032">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sz w:val="36"/>
          <w:szCs w:val="36"/>
        </w:rPr>
        <w:t>INSTRUCTOR: MR. ISAIAH NGOTHO</w:t>
      </w:r>
    </w:p>
    <w:p w14:paraId="2A7DE017" w14:textId="77777777" w:rsidR="00881032" w:rsidRDefault="00881032" w:rsidP="00881032">
      <w:pPr>
        <w:spacing w:line="360" w:lineRule="auto"/>
        <w:jc w:val="center"/>
        <w:rPr>
          <w:rFonts w:ascii="Times New Roman" w:eastAsia="Times New Roman" w:hAnsi="Times New Roman" w:cs="Times New Roman"/>
          <w:bCs/>
          <w:szCs w:val="24"/>
        </w:rPr>
      </w:pPr>
      <w:r>
        <w:rPr>
          <w:noProof/>
        </w:rPr>
        <w:drawing>
          <wp:inline distT="0" distB="0" distL="0" distR="0" wp14:anchorId="12E10CC3" wp14:editId="5EB35C2C">
            <wp:extent cx="2249465" cy="2506295"/>
            <wp:effectExtent l="0" t="0" r="0" b="8890"/>
            <wp:docPr id="6" name="Picture 5" descr="A shield with lions and a book&#10;&#10;Description automatically generated">
              <a:extLst xmlns:a="http://schemas.openxmlformats.org/drawingml/2006/main">
                <a:ext uri="{FF2B5EF4-FFF2-40B4-BE49-F238E27FC236}">
                  <a16:creationId xmlns:a16="http://schemas.microsoft.com/office/drawing/2014/main" id="{3F1C4720-EAB2-ACB5-D9F8-D927C8C94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hield with lions and a book&#10;&#10;Description automatically generated">
                      <a:extLst>
                        <a:ext uri="{FF2B5EF4-FFF2-40B4-BE49-F238E27FC236}">
                          <a16:creationId xmlns:a16="http://schemas.microsoft.com/office/drawing/2014/main" id="{3F1C4720-EAB2-ACB5-D9F8-D927C8C94827}"/>
                        </a:ext>
                      </a:extLst>
                    </pic:cNvPr>
                    <pic:cNvPicPr>
                      <a:picLocks noChangeAspect="1"/>
                    </pic:cNvPicPr>
                  </pic:nvPicPr>
                  <pic:blipFill>
                    <a:blip r:embed="rId8"/>
                    <a:stretch>
                      <a:fillRect/>
                    </a:stretch>
                  </pic:blipFill>
                  <pic:spPr>
                    <a:xfrm>
                      <a:off x="0" y="0"/>
                      <a:ext cx="2249465" cy="2506295"/>
                    </a:xfrm>
                    <a:prstGeom prst="rect">
                      <a:avLst/>
                    </a:prstGeom>
                  </pic:spPr>
                </pic:pic>
              </a:graphicData>
            </a:graphic>
          </wp:inline>
        </w:drawing>
      </w:r>
    </w:p>
    <w:p w14:paraId="3A0A91E5" w14:textId="77777777" w:rsidR="00881032" w:rsidRPr="00732377" w:rsidRDefault="00881032" w:rsidP="00881032">
      <w:pPr>
        <w:spacing w:line="360" w:lineRule="auto"/>
        <w:jc w:val="both"/>
        <w:rPr>
          <w:rFonts w:ascii="Times New Roman" w:eastAsia="Times New Roman" w:hAnsi="Times New Roman" w:cs="Times New Roman"/>
          <w:bCs/>
          <w:sz w:val="36"/>
          <w:szCs w:val="36"/>
        </w:rPr>
      </w:pPr>
    </w:p>
    <w:p w14:paraId="428BD93B" w14:textId="77777777" w:rsidR="00881032" w:rsidRPr="0013713F" w:rsidRDefault="00881032" w:rsidP="00881032">
      <w:pPr>
        <w:spacing w:line="360" w:lineRule="auto"/>
        <w:ind w:left="2520"/>
        <w:jc w:val="both"/>
        <w:rPr>
          <w:rFonts w:ascii="Times New Roman" w:eastAsia="Times New Roman" w:hAnsi="Times New Roman" w:cs="Times New Roman"/>
          <w:b/>
          <w:sz w:val="36"/>
          <w:szCs w:val="36"/>
        </w:rPr>
      </w:pPr>
      <w:r w:rsidRPr="0013713F">
        <w:rPr>
          <w:rFonts w:ascii="Times New Roman" w:eastAsia="Times New Roman" w:hAnsi="Times New Roman" w:cs="Times New Roman"/>
          <w:b/>
          <w:sz w:val="36"/>
          <w:szCs w:val="36"/>
        </w:rPr>
        <w:t>Firm</w:t>
      </w:r>
      <w:r w:rsidRPr="00746846">
        <w:rPr>
          <w:rFonts w:ascii="Times New Roman" w:eastAsia="Times New Roman" w:hAnsi="Times New Roman" w:cs="Times New Roman"/>
          <w:b/>
          <w:sz w:val="36"/>
          <w:szCs w:val="36"/>
        </w:rPr>
        <w:t xml:space="preserve"> 08</w:t>
      </w:r>
      <w:r w:rsidRPr="0013713F">
        <w:rPr>
          <w:rFonts w:ascii="Times New Roman" w:eastAsia="Times New Roman" w:hAnsi="Times New Roman" w:cs="Times New Roman"/>
          <w:b/>
          <w:sz w:val="36"/>
          <w:szCs w:val="36"/>
        </w:rPr>
        <w:t xml:space="preserve"> Members:</w:t>
      </w:r>
    </w:p>
    <w:p w14:paraId="0A197A83" w14:textId="77777777"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sz w:val="28"/>
          <w:szCs w:val="28"/>
        </w:rPr>
        <w:t>Julius Ochieng – 20240392;</w:t>
      </w:r>
    </w:p>
    <w:p w14:paraId="0E7DB169" w14:textId="5767A8FC"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proofErr w:type="spellStart"/>
      <w:r w:rsidRPr="00B87D83">
        <w:rPr>
          <w:rFonts w:ascii="Times New Roman" w:eastAsia="Times New Roman" w:hAnsi="Times New Roman" w:cs="Times New Roman"/>
          <w:sz w:val="28"/>
          <w:szCs w:val="28"/>
        </w:rPr>
        <w:t>Monicah</w:t>
      </w:r>
      <w:proofErr w:type="spellEnd"/>
      <w:r w:rsidRPr="00B87D83">
        <w:rPr>
          <w:rFonts w:ascii="Times New Roman" w:eastAsia="Times New Roman" w:hAnsi="Times New Roman" w:cs="Times New Roman"/>
          <w:sz w:val="28"/>
          <w:szCs w:val="28"/>
        </w:rPr>
        <w:t xml:space="preserve"> </w:t>
      </w:r>
      <w:proofErr w:type="spellStart"/>
      <w:r w:rsidRPr="00B87D83">
        <w:rPr>
          <w:rFonts w:ascii="Times New Roman" w:eastAsia="Times New Roman" w:hAnsi="Times New Roman" w:cs="Times New Roman"/>
          <w:sz w:val="28"/>
          <w:szCs w:val="28"/>
        </w:rPr>
        <w:t>Kaveni</w:t>
      </w:r>
      <w:proofErr w:type="spellEnd"/>
      <w:r w:rsidRPr="00B87D83">
        <w:rPr>
          <w:rFonts w:ascii="Times New Roman" w:eastAsia="Times New Roman" w:hAnsi="Times New Roman" w:cs="Times New Roman"/>
          <w:sz w:val="28"/>
          <w:szCs w:val="28"/>
        </w:rPr>
        <w:t xml:space="preserve"> – 2024040</w:t>
      </w:r>
      <w:r w:rsidR="00EA46B1">
        <w:rPr>
          <w:rFonts w:ascii="Times New Roman" w:eastAsia="Times New Roman" w:hAnsi="Times New Roman" w:cs="Times New Roman"/>
          <w:sz w:val="28"/>
          <w:szCs w:val="28"/>
        </w:rPr>
        <w:t>6</w:t>
      </w:r>
      <w:r w:rsidRPr="00B87D83">
        <w:rPr>
          <w:rFonts w:ascii="Times New Roman" w:eastAsia="Times New Roman" w:hAnsi="Times New Roman" w:cs="Times New Roman"/>
          <w:sz w:val="28"/>
          <w:szCs w:val="28"/>
        </w:rPr>
        <w:t>;</w:t>
      </w:r>
    </w:p>
    <w:p w14:paraId="070BB701" w14:textId="3ECAA41D"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sz w:val="28"/>
          <w:szCs w:val="28"/>
        </w:rPr>
        <w:t xml:space="preserve">Rachael </w:t>
      </w:r>
      <w:proofErr w:type="spellStart"/>
      <w:r w:rsidRPr="00B87D83">
        <w:rPr>
          <w:rFonts w:ascii="Times New Roman" w:eastAsia="Times New Roman" w:hAnsi="Times New Roman" w:cs="Times New Roman"/>
          <w:sz w:val="28"/>
          <w:szCs w:val="28"/>
        </w:rPr>
        <w:t>Sibwoga</w:t>
      </w:r>
      <w:proofErr w:type="spellEnd"/>
      <w:r w:rsidRPr="00B87D83">
        <w:rPr>
          <w:rFonts w:ascii="Times New Roman" w:eastAsia="Times New Roman" w:hAnsi="Times New Roman" w:cs="Times New Roman"/>
          <w:sz w:val="28"/>
          <w:szCs w:val="28"/>
        </w:rPr>
        <w:t xml:space="preserve"> – 2024038</w:t>
      </w:r>
      <w:r w:rsidR="00EA46B1">
        <w:rPr>
          <w:rFonts w:ascii="Times New Roman" w:eastAsia="Times New Roman" w:hAnsi="Times New Roman" w:cs="Times New Roman"/>
          <w:sz w:val="28"/>
          <w:szCs w:val="28"/>
        </w:rPr>
        <w:t>8</w:t>
      </w:r>
      <w:r w:rsidRPr="00B87D83">
        <w:rPr>
          <w:rFonts w:ascii="Times New Roman" w:eastAsia="Times New Roman" w:hAnsi="Times New Roman" w:cs="Times New Roman"/>
          <w:sz w:val="28"/>
          <w:szCs w:val="28"/>
        </w:rPr>
        <w:t>;</w:t>
      </w:r>
    </w:p>
    <w:p w14:paraId="67785B22" w14:textId="7F06BAD5"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sz w:val="28"/>
          <w:szCs w:val="28"/>
        </w:rPr>
        <w:t>Benedict Mwendwa – 2024041</w:t>
      </w:r>
      <w:r w:rsidR="00EA46B1">
        <w:rPr>
          <w:rFonts w:ascii="Times New Roman" w:eastAsia="Times New Roman" w:hAnsi="Times New Roman" w:cs="Times New Roman"/>
          <w:sz w:val="28"/>
          <w:szCs w:val="28"/>
        </w:rPr>
        <w:t>1</w:t>
      </w:r>
      <w:r w:rsidRPr="00B87D83">
        <w:rPr>
          <w:rFonts w:ascii="Times New Roman" w:eastAsia="Times New Roman" w:hAnsi="Times New Roman" w:cs="Times New Roman"/>
          <w:sz w:val="28"/>
          <w:szCs w:val="28"/>
        </w:rPr>
        <w:t>;</w:t>
      </w:r>
    </w:p>
    <w:p w14:paraId="0F4D02EB" w14:textId="403A7677"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sz w:val="28"/>
          <w:szCs w:val="28"/>
        </w:rPr>
        <w:t>Raymond Gichohi – 2024043</w:t>
      </w:r>
      <w:r w:rsidR="00EA46B1">
        <w:rPr>
          <w:rFonts w:ascii="Times New Roman" w:eastAsia="Times New Roman" w:hAnsi="Times New Roman" w:cs="Times New Roman"/>
          <w:sz w:val="28"/>
          <w:szCs w:val="28"/>
        </w:rPr>
        <w:t>1</w:t>
      </w:r>
      <w:r w:rsidRPr="00B87D83">
        <w:rPr>
          <w:rFonts w:ascii="Times New Roman" w:eastAsia="Times New Roman" w:hAnsi="Times New Roman" w:cs="Times New Roman"/>
          <w:sz w:val="28"/>
          <w:szCs w:val="28"/>
        </w:rPr>
        <w:t>;</w:t>
      </w:r>
    </w:p>
    <w:p w14:paraId="1875A380" w14:textId="1DDF7B17"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sz w:val="28"/>
          <w:szCs w:val="28"/>
        </w:rPr>
        <w:t>Ivy Wakhu – 2024125</w:t>
      </w:r>
      <w:r w:rsidR="00EA46B1">
        <w:rPr>
          <w:rFonts w:ascii="Times New Roman" w:eastAsia="Times New Roman" w:hAnsi="Times New Roman" w:cs="Times New Roman"/>
          <w:sz w:val="28"/>
          <w:szCs w:val="28"/>
        </w:rPr>
        <w:t>9</w:t>
      </w:r>
      <w:r w:rsidRPr="00B87D83">
        <w:rPr>
          <w:rFonts w:ascii="Times New Roman" w:eastAsia="Times New Roman" w:hAnsi="Times New Roman" w:cs="Times New Roman"/>
          <w:sz w:val="28"/>
          <w:szCs w:val="28"/>
        </w:rPr>
        <w:t>;</w:t>
      </w:r>
    </w:p>
    <w:p w14:paraId="740E2CD4" w14:textId="2181DC40"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sz w:val="28"/>
          <w:szCs w:val="28"/>
        </w:rPr>
        <w:t>Nicole Gacheche – 2024120</w:t>
      </w:r>
      <w:r w:rsidR="00EA46B1">
        <w:rPr>
          <w:rFonts w:ascii="Times New Roman" w:eastAsia="Times New Roman" w:hAnsi="Times New Roman" w:cs="Times New Roman"/>
          <w:sz w:val="28"/>
          <w:szCs w:val="28"/>
        </w:rPr>
        <w:t>0</w:t>
      </w:r>
      <w:r w:rsidRPr="00B87D83">
        <w:rPr>
          <w:rFonts w:ascii="Times New Roman" w:eastAsia="Times New Roman" w:hAnsi="Times New Roman" w:cs="Times New Roman"/>
          <w:sz w:val="28"/>
          <w:szCs w:val="28"/>
        </w:rPr>
        <w:t xml:space="preserve">; </w:t>
      </w:r>
    </w:p>
    <w:p w14:paraId="5EDABE38" w14:textId="77777777"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bCs/>
          <w:sz w:val="28"/>
          <w:szCs w:val="28"/>
          <w:lang w:val="en-US"/>
        </w:rPr>
        <w:t xml:space="preserve"> </w:t>
      </w:r>
      <w:proofErr w:type="spellStart"/>
      <w:r w:rsidRPr="00B87D83">
        <w:rPr>
          <w:rFonts w:ascii="Times New Roman" w:eastAsia="Times New Roman" w:hAnsi="Times New Roman" w:cs="Times New Roman"/>
          <w:bCs/>
          <w:sz w:val="28"/>
          <w:szCs w:val="28"/>
          <w:lang w:val="en-US"/>
        </w:rPr>
        <w:t>Kattam</w:t>
      </w:r>
      <w:proofErr w:type="spellEnd"/>
      <w:r w:rsidRPr="00B87D83">
        <w:rPr>
          <w:rFonts w:ascii="Times New Roman" w:eastAsia="Times New Roman" w:hAnsi="Times New Roman" w:cs="Times New Roman"/>
          <w:bCs/>
          <w:sz w:val="28"/>
          <w:szCs w:val="28"/>
          <w:lang w:val="en-US"/>
        </w:rPr>
        <w:t xml:space="preserve"> Maurine – 20241559; </w:t>
      </w:r>
    </w:p>
    <w:p w14:paraId="08C05844" w14:textId="561D3056"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bCs/>
          <w:sz w:val="28"/>
          <w:szCs w:val="28"/>
        </w:rPr>
      </w:pPr>
      <w:r w:rsidRPr="00B87D83">
        <w:rPr>
          <w:rFonts w:ascii="Times New Roman" w:eastAsia="Times New Roman" w:hAnsi="Times New Roman" w:cs="Times New Roman"/>
          <w:bCs/>
          <w:sz w:val="28"/>
          <w:szCs w:val="28"/>
          <w:lang w:val="en-US"/>
        </w:rPr>
        <w:t xml:space="preserve">Sarah Ratemo – </w:t>
      </w:r>
      <w:r w:rsidR="00EA46B1" w:rsidRPr="00B87D83">
        <w:rPr>
          <w:rFonts w:ascii="Times New Roman" w:eastAsia="Times New Roman" w:hAnsi="Times New Roman" w:cs="Times New Roman"/>
          <w:bCs/>
          <w:sz w:val="28"/>
          <w:szCs w:val="28"/>
          <w:lang w:val="en-US"/>
        </w:rPr>
        <w:t>20241824</w:t>
      </w:r>
      <w:r w:rsidR="00EA46B1">
        <w:rPr>
          <w:rFonts w:ascii="Times New Roman" w:eastAsia="Times New Roman" w:hAnsi="Times New Roman" w:cs="Times New Roman"/>
          <w:bCs/>
          <w:sz w:val="28"/>
          <w:szCs w:val="28"/>
          <w:lang w:val="en-US"/>
        </w:rPr>
        <w:t>; and</w:t>
      </w:r>
    </w:p>
    <w:p w14:paraId="5606EE16" w14:textId="38D43D44" w:rsidR="00881032" w:rsidRPr="00B87D83" w:rsidRDefault="00881032" w:rsidP="00881032">
      <w:pPr>
        <w:pStyle w:val="ListParagraph"/>
        <w:numPr>
          <w:ilvl w:val="0"/>
          <w:numId w:val="1"/>
        </w:numPr>
        <w:spacing w:line="360" w:lineRule="auto"/>
        <w:ind w:left="2160"/>
        <w:jc w:val="both"/>
        <w:rPr>
          <w:rFonts w:ascii="Times New Roman" w:eastAsia="Times New Roman" w:hAnsi="Times New Roman" w:cs="Times New Roman"/>
          <w:sz w:val="28"/>
          <w:szCs w:val="28"/>
        </w:rPr>
      </w:pPr>
      <w:proofErr w:type="spellStart"/>
      <w:r w:rsidRPr="00B87D83">
        <w:rPr>
          <w:rFonts w:ascii="Times New Roman" w:eastAsia="Times New Roman" w:hAnsi="Times New Roman" w:cs="Times New Roman"/>
          <w:sz w:val="28"/>
          <w:szCs w:val="28"/>
        </w:rPr>
        <w:t>Lekeesio</w:t>
      </w:r>
      <w:proofErr w:type="spellEnd"/>
      <w:r w:rsidRPr="00B87D83">
        <w:rPr>
          <w:rFonts w:ascii="Times New Roman" w:eastAsia="Times New Roman" w:hAnsi="Times New Roman" w:cs="Times New Roman"/>
          <w:sz w:val="28"/>
          <w:szCs w:val="28"/>
        </w:rPr>
        <w:t xml:space="preserve"> Wilson Aroma – 2024179</w:t>
      </w:r>
      <w:r w:rsidR="00EA46B1">
        <w:rPr>
          <w:rFonts w:ascii="Times New Roman" w:eastAsia="Times New Roman" w:hAnsi="Times New Roman" w:cs="Times New Roman"/>
          <w:sz w:val="28"/>
          <w:szCs w:val="28"/>
        </w:rPr>
        <w:t>3</w:t>
      </w:r>
      <w:r w:rsidRPr="00B87D83">
        <w:rPr>
          <w:rFonts w:ascii="Times New Roman" w:eastAsia="Times New Roman" w:hAnsi="Times New Roman" w:cs="Times New Roman"/>
          <w:sz w:val="28"/>
          <w:szCs w:val="28"/>
        </w:rPr>
        <w:t>.</w:t>
      </w:r>
    </w:p>
    <w:p w14:paraId="62E8A379" w14:textId="77777777" w:rsidR="00881032" w:rsidRPr="00881032" w:rsidRDefault="00881032" w:rsidP="00881032">
      <w:pPr>
        <w:spacing w:line="360" w:lineRule="auto"/>
        <w:jc w:val="both"/>
        <w:rPr>
          <w:rFonts w:ascii="Times New Roman" w:hAnsi="Times New Roman" w:cs="Times New Roman"/>
          <w:b/>
          <w:sz w:val="24"/>
          <w:szCs w:val="24"/>
          <w:u w:val="single"/>
        </w:rPr>
      </w:pPr>
      <w:r w:rsidRPr="00881032">
        <w:rPr>
          <w:rFonts w:ascii="Times New Roman" w:hAnsi="Times New Roman" w:cs="Times New Roman"/>
          <w:b/>
          <w:sz w:val="24"/>
          <w:szCs w:val="24"/>
          <w:u w:val="single"/>
        </w:rPr>
        <w:t>RETAINER ON PARTICULAR OCCASIONS</w:t>
      </w:r>
    </w:p>
    <w:p w14:paraId="11D43EDD" w14:textId="77777777" w:rsidR="00881032" w:rsidRPr="00881032" w:rsidRDefault="00881032" w:rsidP="00881032">
      <w:pPr>
        <w:spacing w:line="360" w:lineRule="auto"/>
        <w:jc w:val="both"/>
        <w:rPr>
          <w:rFonts w:ascii="Times New Roman" w:hAnsi="Times New Roman" w:cs="Times New Roman"/>
          <w:b/>
          <w:sz w:val="24"/>
          <w:szCs w:val="24"/>
          <w:u w:val="single"/>
        </w:rPr>
      </w:pPr>
      <w:r w:rsidRPr="00881032">
        <w:rPr>
          <w:rFonts w:ascii="Times New Roman" w:hAnsi="Times New Roman" w:cs="Times New Roman"/>
          <w:b/>
          <w:sz w:val="24"/>
          <w:szCs w:val="24"/>
          <w:u w:val="single"/>
        </w:rPr>
        <w:t>Brief explanation of the concept of retainer.</w:t>
      </w:r>
    </w:p>
    <w:p w14:paraId="167C58F6" w14:textId="77777777" w:rsidR="00881032" w:rsidRPr="00881032" w:rsidRDefault="00881032" w:rsidP="00881032">
      <w:pPr>
        <w:spacing w:line="360" w:lineRule="auto"/>
        <w:jc w:val="both"/>
        <w:rPr>
          <w:rFonts w:ascii="Times New Roman" w:hAnsi="Times New Roman" w:cs="Times New Roman"/>
          <w:sz w:val="24"/>
          <w:szCs w:val="24"/>
        </w:rPr>
      </w:pPr>
      <w:r w:rsidRPr="00881032">
        <w:rPr>
          <w:rFonts w:ascii="Times New Roman" w:hAnsi="Times New Roman" w:cs="Times New Roman"/>
          <w:b/>
          <w:sz w:val="24"/>
          <w:szCs w:val="24"/>
        </w:rPr>
        <w:t>In Black’s Law Dictionary, 6</w:t>
      </w:r>
      <w:r w:rsidRPr="00881032">
        <w:rPr>
          <w:rFonts w:ascii="Times New Roman" w:hAnsi="Times New Roman" w:cs="Times New Roman"/>
          <w:b/>
          <w:sz w:val="24"/>
          <w:szCs w:val="24"/>
          <w:vertAlign w:val="superscript"/>
        </w:rPr>
        <w:t>th</w:t>
      </w:r>
      <w:r w:rsidRPr="00881032">
        <w:rPr>
          <w:rFonts w:ascii="Times New Roman" w:hAnsi="Times New Roman" w:cs="Times New Roman"/>
          <w:b/>
          <w:sz w:val="24"/>
          <w:szCs w:val="24"/>
        </w:rPr>
        <w:t xml:space="preserve"> edition,</w:t>
      </w:r>
      <w:r w:rsidRPr="00881032">
        <w:rPr>
          <w:rFonts w:ascii="Times New Roman" w:hAnsi="Times New Roman" w:cs="Times New Roman"/>
          <w:sz w:val="24"/>
          <w:szCs w:val="24"/>
        </w:rPr>
        <w:t xml:space="preserve"> retainer is defined as</w:t>
      </w:r>
      <w:proofErr w:type="gramStart"/>
      <w:r w:rsidRPr="00881032">
        <w:rPr>
          <w:rFonts w:ascii="Times New Roman" w:hAnsi="Times New Roman" w:cs="Times New Roman"/>
          <w:sz w:val="24"/>
          <w:szCs w:val="24"/>
        </w:rPr>
        <w:t>:  “</w:t>
      </w:r>
      <w:proofErr w:type="gramEnd"/>
      <w:r w:rsidRPr="00881032">
        <w:rPr>
          <w:rFonts w:ascii="Times New Roman" w:hAnsi="Times New Roman" w:cs="Times New Roman"/>
          <w:sz w:val="24"/>
          <w:szCs w:val="24"/>
        </w:rPr>
        <w:t>In the practice of law, when a client hires an Attorney to represent him, the client is said is said to have retained the Attorney. This act of employment is called retainer. The retainer agreement between the client and the Attorney sets forth the nature of services to be performed, costs, expenses and related matters.</w:t>
      </w:r>
    </w:p>
    <w:p w14:paraId="3B6DA371" w14:textId="77777777" w:rsidR="00881032" w:rsidRPr="00881032" w:rsidRDefault="00881032" w:rsidP="00881032">
      <w:pPr>
        <w:spacing w:line="360" w:lineRule="auto"/>
        <w:jc w:val="both"/>
        <w:rPr>
          <w:rFonts w:ascii="Times New Roman" w:hAnsi="Times New Roman" w:cs="Times New Roman"/>
          <w:sz w:val="24"/>
          <w:szCs w:val="24"/>
        </w:rPr>
      </w:pPr>
      <w:r w:rsidRPr="00881032">
        <w:rPr>
          <w:rFonts w:ascii="Times New Roman" w:hAnsi="Times New Roman" w:cs="Times New Roman"/>
          <w:sz w:val="24"/>
          <w:szCs w:val="24"/>
        </w:rPr>
        <w:t>J.B. Saunders defines a retainer as: - “the act of authorizing or employing a solicitor to act on behalf of client constitutes the solicitor being retained by that client consequently, the filing of a retainer is equivalent to the making of a contract for the solicitor’s employment”.</w:t>
      </w:r>
    </w:p>
    <w:p w14:paraId="78240A3A" w14:textId="77777777" w:rsidR="00881032" w:rsidRPr="00881032" w:rsidRDefault="00881032" w:rsidP="00881032">
      <w:pPr>
        <w:spacing w:line="360" w:lineRule="auto"/>
        <w:jc w:val="both"/>
        <w:rPr>
          <w:rFonts w:ascii="Times New Roman" w:hAnsi="Times New Roman" w:cs="Times New Roman"/>
          <w:b/>
          <w:bCs/>
          <w:i/>
          <w:iCs/>
          <w:sz w:val="24"/>
          <w:szCs w:val="24"/>
        </w:rPr>
      </w:pPr>
      <w:r w:rsidRPr="00881032">
        <w:rPr>
          <w:rFonts w:ascii="Times New Roman" w:hAnsi="Times New Roman" w:cs="Times New Roman"/>
          <w:sz w:val="24"/>
          <w:szCs w:val="24"/>
        </w:rPr>
        <w:t xml:space="preserve">In </w:t>
      </w:r>
      <w:r w:rsidRPr="00881032">
        <w:rPr>
          <w:rFonts w:ascii="Times New Roman" w:hAnsi="Times New Roman" w:cs="Times New Roman"/>
          <w:b/>
          <w:i/>
          <w:sz w:val="24"/>
          <w:szCs w:val="24"/>
        </w:rPr>
        <w:t>Oriental Commercial Bank Limited V Central Bank of Kenya,</w:t>
      </w:r>
      <w:r w:rsidRPr="00881032">
        <w:rPr>
          <w:rFonts w:ascii="Times New Roman" w:hAnsi="Times New Roman" w:cs="Times New Roman"/>
          <w:b/>
          <w:sz w:val="24"/>
          <w:szCs w:val="24"/>
          <w:vertAlign w:val="superscript"/>
        </w:rPr>
        <w:footnoteReference w:id="1"/>
      </w:r>
      <w:r w:rsidRPr="00881032">
        <w:rPr>
          <w:rFonts w:ascii="Times New Roman" w:hAnsi="Times New Roman" w:cs="Times New Roman"/>
          <w:sz w:val="24"/>
          <w:szCs w:val="24"/>
        </w:rPr>
        <w:t xml:space="preserve"> the court held that in order for a client-advocate relationship to arise there has to be a retainer; a party must employ and/or instruct an advocate to offer legal services. Justice </w:t>
      </w:r>
      <w:proofErr w:type="spellStart"/>
      <w:r w:rsidRPr="00881032">
        <w:rPr>
          <w:rFonts w:ascii="Times New Roman" w:hAnsi="Times New Roman" w:cs="Times New Roman"/>
          <w:sz w:val="24"/>
          <w:szCs w:val="24"/>
        </w:rPr>
        <w:t>Mabeya</w:t>
      </w:r>
      <w:proofErr w:type="spellEnd"/>
      <w:r w:rsidRPr="00881032">
        <w:rPr>
          <w:rFonts w:ascii="Times New Roman" w:hAnsi="Times New Roman" w:cs="Times New Roman"/>
          <w:sz w:val="24"/>
          <w:szCs w:val="24"/>
        </w:rPr>
        <w:t xml:space="preserve"> stated, ‘It is trite law that a client-advocate relationship arises when a client retains an Advocate to offer legal services specifically or generally’. A retainer agreement is a work-for-hire contract between a client and a service provider. With a retainer agreement, the client agrees to pay upfront for ongoing services.</w:t>
      </w:r>
      <w:r w:rsidRPr="00881032">
        <w:rPr>
          <w:rFonts w:ascii="Times New Roman" w:hAnsi="Times New Roman" w:cs="Times New Roman"/>
          <w:sz w:val="24"/>
          <w:szCs w:val="24"/>
          <w:vertAlign w:val="superscript"/>
        </w:rPr>
        <w:footnoteReference w:id="2"/>
      </w:r>
      <w:r w:rsidRPr="00881032">
        <w:rPr>
          <w:rFonts w:ascii="Times New Roman" w:hAnsi="Times New Roman" w:cs="Times New Roman"/>
          <w:b/>
          <w:sz w:val="24"/>
          <w:szCs w:val="24"/>
        </w:rPr>
        <w:t xml:space="preserve"> </w:t>
      </w:r>
    </w:p>
    <w:p w14:paraId="19A94DA8" w14:textId="77777777" w:rsidR="00881032" w:rsidRPr="00881032" w:rsidRDefault="00881032" w:rsidP="00881032">
      <w:pPr>
        <w:spacing w:line="360" w:lineRule="auto"/>
        <w:jc w:val="both"/>
        <w:rPr>
          <w:rFonts w:ascii="Times New Roman" w:hAnsi="Times New Roman" w:cs="Times New Roman"/>
          <w:sz w:val="24"/>
          <w:szCs w:val="24"/>
        </w:rPr>
      </w:pPr>
      <w:r w:rsidRPr="00881032">
        <w:rPr>
          <w:rFonts w:ascii="Times New Roman" w:hAnsi="Times New Roman" w:cs="Times New Roman"/>
          <w:bCs/>
          <w:i/>
          <w:iCs/>
          <w:sz w:val="24"/>
          <w:szCs w:val="24"/>
        </w:rPr>
        <w:t xml:space="preserve">In </w:t>
      </w:r>
      <w:proofErr w:type="spellStart"/>
      <w:r w:rsidRPr="00881032">
        <w:rPr>
          <w:rFonts w:ascii="Times New Roman" w:hAnsi="Times New Roman" w:cs="Times New Roman"/>
          <w:b/>
          <w:bCs/>
          <w:i/>
          <w:iCs/>
          <w:sz w:val="24"/>
          <w:szCs w:val="24"/>
        </w:rPr>
        <w:t>Mulele</w:t>
      </w:r>
      <w:proofErr w:type="spellEnd"/>
      <w:r w:rsidRPr="00881032">
        <w:rPr>
          <w:rFonts w:ascii="Times New Roman" w:hAnsi="Times New Roman" w:cs="Times New Roman"/>
          <w:b/>
          <w:bCs/>
          <w:i/>
          <w:iCs/>
          <w:sz w:val="24"/>
          <w:szCs w:val="24"/>
        </w:rPr>
        <w:t xml:space="preserve"> &amp; </w:t>
      </w:r>
      <w:proofErr w:type="spellStart"/>
      <w:r w:rsidRPr="00881032">
        <w:rPr>
          <w:rFonts w:ascii="Times New Roman" w:hAnsi="Times New Roman" w:cs="Times New Roman"/>
          <w:b/>
          <w:bCs/>
          <w:i/>
          <w:iCs/>
          <w:sz w:val="24"/>
          <w:szCs w:val="24"/>
        </w:rPr>
        <w:t>Tollo</w:t>
      </w:r>
      <w:proofErr w:type="spellEnd"/>
      <w:r w:rsidRPr="00881032">
        <w:rPr>
          <w:rFonts w:ascii="Times New Roman" w:hAnsi="Times New Roman" w:cs="Times New Roman"/>
          <w:b/>
          <w:bCs/>
          <w:i/>
          <w:iCs/>
          <w:sz w:val="24"/>
          <w:szCs w:val="24"/>
        </w:rPr>
        <w:t xml:space="preserve"> Advocates vs Mount Holdings Ltd C.A.75 of 2015</w:t>
      </w:r>
      <w:r w:rsidRPr="00881032">
        <w:rPr>
          <w:rFonts w:ascii="Times New Roman" w:hAnsi="Times New Roman" w:cs="Times New Roman"/>
          <w:sz w:val="24"/>
          <w:szCs w:val="24"/>
        </w:rPr>
        <w:t> the court held;</w:t>
      </w:r>
    </w:p>
    <w:p w14:paraId="0F14DFCE" w14:textId="77777777" w:rsidR="00881032" w:rsidRPr="00881032" w:rsidRDefault="00881032" w:rsidP="00881032">
      <w:pPr>
        <w:spacing w:line="360" w:lineRule="auto"/>
        <w:jc w:val="both"/>
        <w:rPr>
          <w:rFonts w:ascii="Times New Roman" w:hAnsi="Times New Roman" w:cs="Times New Roman"/>
          <w:sz w:val="24"/>
          <w:szCs w:val="24"/>
        </w:rPr>
      </w:pPr>
      <w:r w:rsidRPr="00881032">
        <w:rPr>
          <w:rFonts w:ascii="Times New Roman" w:hAnsi="Times New Roman" w:cs="Times New Roman"/>
          <w:bCs/>
          <w:sz w:val="24"/>
          <w:szCs w:val="24"/>
        </w:rPr>
        <w:t>“A retainer means the instruction, employment or engagement of an advocate by his client.</w:t>
      </w:r>
    </w:p>
    <w:p w14:paraId="2EDA9709" w14:textId="77777777" w:rsidR="00881032" w:rsidRDefault="00881032" w:rsidP="00881032">
      <w:pPr>
        <w:spacing w:line="360" w:lineRule="auto"/>
        <w:jc w:val="both"/>
        <w:rPr>
          <w:rFonts w:ascii="Times New Roman" w:hAnsi="Times New Roman" w:cs="Times New Roman"/>
          <w:bCs/>
          <w:sz w:val="24"/>
          <w:szCs w:val="24"/>
        </w:rPr>
      </w:pPr>
      <w:r w:rsidRPr="00881032">
        <w:rPr>
          <w:rFonts w:ascii="Times New Roman" w:hAnsi="Times New Roman" w:cs="Times New Roman"/>
          <w:bCs/>
          <w:sz w:val="24"/>
          <w:szCs w:val="24"/>
        </w:rPr>
        <w:t>On the other hand, a retainer agreement is merely a contract in writing prescribing the terms of engagement of an advocate by his client, including fees payable. Therefore, it is submitted while a retainer denotes a relationship between parties, the retainer agreement is merely the physical written document or manifestation of such a relationship.</w:t>
      </w:r>
    </w:p>
    <w:p w14:paraId="1EF87075" w14:textId="6C6B7A7E" w:rsidR="00881032" w:rsidRPr="00EA46B1" w:rsidRDefault="00881032" w:rsidP="00881032">
      <w:pPr>
        <w:spacing w:line="360" w:lineRule="auto"/>
        <w:jc w:val="both"/>
        <w:rPr>
          <w:rFonts w:ascii="Times New Roman" w:hAnsi="Times New Roman" w:cs="Times New Roman"/>
          <w:b/>
          <w:sz w:val="24"/>
          <w:szCs w:val="24"/>
          <w:u w:val="single"/>
        </w:rPr>
      </w:pPr>
      <w:r w:rsidRPr="00EA46B1">
        <w:rPr>
          <w:rFonts w:ascii="Times New Roman" w:hAnsi="Times New Roman" w:cs="Times New Roman"/>
          <w:b/>
          <w:sz w:val="24"/>
          <w:szCs w:val="24"/>
          <w:u w:val="single"/>
        </w:rPr>
        <w:t xml:space="preserve">Analysis of </w:t>
      </w:r>
      <w:proofErr w:type="spellStart"/>
      <w:r w:rsidRPr="00EA46B1">
        <w:rPr>
          <w:rFonts w:ascii="Times New Roman" w:hAnsi="Times New Roman" w:cs="Times New Roman"/>
          <w:b/>
          <w:sz w:val="24"/>
          <w:szCs w:val="24"/>
          <w:u w:val="single"/>
        </w:rPr>
        <w:t>Njougoro</w:t>
      </w:r>
      <w:proofErr w:type="spellEnd"/>
      <w:r w:rsidRPr="00EA46B1">
        <w:rPr>
          <w:rFonts w:ascii="Times New Roman" w:hAnsi="Times New Roman" w:cs="Times New Roman"/>
          <w:b/>
          <w:sz w:val="24"/>
          <w:szCs w:val="24"/>
          <w:u w:val="single"/>
        </w:rPr>
        <w:t xml:space="preserve"> &amp; Co. Advocates vs Bank of Kenya Limited</w:t>
      </w:r>
    </w:p>
    <w:p w14:paraId="00000001"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Background of the Case</w:t>
      </w:r>
    </w:p>
    <w:p w14:paraId="2BC80770" w14:textId="77777777" w:rsid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The case of </w:t>
      </w:r>
      <w:proofErr w:type="spellStart"/>
      <w:r w:rsidRPr="00EA46B1">
        <w:rPr>
          <w:rFonts w:ascii="Times New Roman" w:eastAsia="Times New Roman" w:hAnsi="Times New Roman" w:cs="Times New Roman"/>
          <w:b/>
          <w:bCs/>
          <w:i/>
          <w:iCs/>
          <w:sz w:val="24"/>
          <w:szCs w:val="24"/>
        </w:rPr>
        <w:t>Njougoro</w:t>
      </w:r>
      <w:proofErr w:type="spellEnd"/>
      <w:r w:rsidRPr="00EA46B1">
        <w:rPr>
          <w:rFonts w:ascii="Times New Roman" w:eastAsia="Times New Roman" w:hAnsi="Times New Roman" w:cs="Times New Roman"/>
          <w:b/>
          <w:bCs/>
          <w:i/>
          <w:iCs/>
          <w:sz w:val="24"/>
          <w:szCs w:val="24"/>
        </w:rPr>
        <w:t xml:space="preserve"> &amp; Co. Advocates v. Dubai Bank Kenya Limited [2008] </w:t>
      </w:r>
      <w:proofErr w:type="spellStart"/>
      <w:r w:rsidRPr="00EA46B1">
        <w:rPr>
          <w:rFonts w:ascii="Times New Roman" w:eastAsia="Times New Roman" w:hAnsi="Times New Roman" w:cs="Times New Roman"/>
          <w:b/>
          <w:bCs/>
          <w:i/>
          <w:iCs/>
          <w:sz w:val="24"/>
          <w:szCs w:val="24"/>
        </w:rPr>
        <w:t>eKLR</w:t>
      </w:r>
      <w:proofErr w:type="spellEnd"/>
      <w:r w:rsidRPr="00881032">
        <w:rPr>
          <w:rFonts w:ascii="Times New Roman" w:eastAsia="Times New Roman" w:hAnsi="Times New Roman" w:cs="Times New Roman"/>
          <w:sz w:val="24"/>
          <w:szCs w:val="24"/>
        </w:rPr>
        <w:t xml:space="preserve"> revolves around a dispute over legal fees between an advocate firm and a bank. The advocate, </w:t>
      </w:r>
      <w:proofErr w:type="spellStart"/>
      <w:r w:rsidRPr="00881032">
        <w:rPr>
          <w:rFonts w:ascii="Times New Roman" w:eastAsia="Times New Roman" w:hAnsi="Times New Roman" w:cs="Times New Roman"/>
          <w:sz w:val="24"/>
          <w:szCs w:val="24"/>
        </w:rPr>
        <w:t>Njougoro</w:t>
      </w:r>
      <w:proofErr w:type="spellEnd"/>
      <w:r w:rsidRPr="00881032">
        <w:rPr>
          <w:rFonts w:ascii="Times New Roman" w:eastAsia="Times New Roman" w:hAnsi="Times New Roman" w:cs="Times New Roman"/>
          <w:sz w:val="24"/>
          <w:szCs w:val="24"/>
        </w:rPr>
        <w:t xml:space="preserve"> &amp; Co. Advocates, claimed that Dubai Bank Kenya Limited engaged their professional services to prepare and register a debenture for a client company, </w:t>
      </w:r>
      <w:proofErr w:type="spellStart"/>
      <w:r w:rsidRPr="00881032">
        <w:rPr>
          <w:rFonts w:ascii="Times New Roman" w:eastAsia="Times New Roman" w:hAnsi="Times New Roman" w:cs="Times New Roman"/>
          <w:sz w:val="24"/>
          <w:szCs w:val="24"/>
        </w:rPr>
        <w:t>Kensalt</w:t>
      </w:r>
      <w:proofErr w:type="spellEnd"/>
      <w:r w:rsidRPr="00881032">
        <w:rPr>
          <w:rFonts w:ascii="Times New Roman" w:eastAsia="Times New Roman" w:hAnsi="Times New Roman" w:cs="Times New Roman"/>
          <w:sz w:val="24"/>
          <w:szCs w:val="24"/>
        </w:rPr>
        <w:t xml:space="preserve"> Packers Production Limited, which had requested an overdraft facility of </w:t>
      </w:r>
      <w:proofErr w:type="spellStart"/>
      <w:r w:rsidRPr="00881032">
        <w:rPr>
          <w:rFonts w:ascii="Times New Roman" w:eastAsia="Times New Roman" w:hAnsi="Times New Roman" w:cs="Times New Roman"/>
          <w:sz w:val="24"/>
          <w:szCs w:val="24"/>
        </w:rPr>
        <w:t>KSh</w:t>
      </w:r>
      <w:proofErr w:type="spellEnd"/>
      <w:r w:rsidRPr="00881032">
        <w:rPr>
          <w:rFonts w:ascii="Times New Roman" w:eastAsia="Times New Roman" w:hAnsi="Times New Roman" w:cs="Times New Roman"/>
          <w:sz w:val="24"/>
          <w:szCs w:val="24"/>
        </w:rPr>
        <w:t xml:space="preserve">. 50 million from the bank. According to the advocate, they duly prepared the debenture as instructed but alleged that the bank failed to return the document for registration, </w:t>
      </w:r>
      <w:r w:rsidRPr="00881032">
        <w:rPr>
          <w:rFonts w:ascii="Times New Roman" w:eastAsia="Times New Roman" w:hAnsi="Times New Roman" w:cs="Times New Roman"/>
          <w:sz w:val="24"/>
          <w:szCs w:val="24"/>
        </w:rPr>
        <w:t xml:space="preserve">leading to a breakdown in the engagement. </w:t>
      </w:r>
    </w:p>
    <w:p w14:paraId="00000002" w14:textId="7247139B" w:rsidR="00793296" w:rsidRP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Consequently, the advocate filed an advocate-client bill of costs for taxation, which was served on the bank, but the bank did not appear at the taxation proceedings. The bill was taxed ex-</w:t>
      </w:r>
      <w:proofErr w:type="spellStart"/>
      <w:r w:rsidRPr="00881032">
        <w:rPr>
          <w:rFonts w:ascii="Times New Roman" w:eastAsia="Times New Roman" w:hAnsi="Times New Roman" w:cs="Times New Roman"/>
          <w:sz w:val="24"/>
          <w:szCs w:val="24"/>
        </w:rPr>
        <w:t>parte</w:t>
      </w:r>
      <w:proofErr w:type="spellEnd"/>
      <w:r w:rsidRPr="00881032">
        <w:rPr>
          <w:rFonts w:ascii="Times New Roman" w:eastAsia="Times New Roman" w:hAnsi="Times New Roman" w:cs="Times New Roman"/>
          <w:sz w:val="24"/>
          <w:szCs w:val="24"/>
        </w:rPr>
        <w:t xml:space="preserve"> by the Deputy Registrar, who allowed costs amounting to </w:t>
      </w:r>
      <w:proofErr w:type="spellStart"/>
      <w:r w:rsidRPr="00881032">
        <w:rPr>
          <w:rFonts w:ascii="Times New Roman" w:eastAsia="Times New Roman" w:hAnsi="Times New Roman" w:cs="Times New Roman"/>
          <w:sz w:val="24"/>
          <w:szCs w:val="24"/>
        </w:rPr>
        <w:t>KSh</w:t>
      </w:r>
      <w:proofErr w:type="spellEnd"/>
      <w:r w:rsidRPr="00881032">
        <w:rPr>
          <w:rFonts w:ascii="Times New Roman" w:eastAsia="Times New Roman" w:hAnsi="Times New Roman" w:cs="Times New Roman"/>
          <w:sz w:val="24"/>
          <w:szCs w:val="24"/>
        </w:rPr>
        <w:t xml:space="preserve">. 592,070 in </w:t>
      </w:r>
      <w:proofErr w:type="spellStart"/>
      <w:r w:rsidRPr="00881032">
        <w:rPr>
          <w:rFonts w:ascii="Times New Roman" w:eastAsia="Times New Roman" w:hAnsi="Times New Roman" w:cs="Times New Roman"/>
          <w:sz w:val="24"/>
          <w:szCs w:val="24"/>
        </w:rPr>
        <w:t>favour</w:t>
      </w:r>
      <w:proofErr w:type="spellEnd"/>
      <w:r w:rsidRPr="00881032">
        <w:rPr>
          <w:rFonts w:ascii="Times New Roman" w:eastAsia="Times New Roman" w:hAnsi="Times New Roman" w:cs="Times New Roman"/>
          <w:sz w:val="24"/>
          <w:szCs w:val="24"/>
        </w:rPr>
        <w:t xml:space="preserve"> of the advocate. The bank was served with the certificate of taxation but declined to </w:t>
      </w:r>
      <w:proofErr w:type="spellStart"/>
      <w:r w:rsidRPr="00881032">
        <w:rPr>
          <w:rFonts w:ascii="Times New Roman" w:eastAsia="Times New Roman" w:hAnsi="Times New Roman" w:cs="Times New Roman"/>
          <w:sz w:val="24"/>
          <w:szCs w:val="24"/>
        </w:rPr>
        <w:t>honour</w:t>
      </w:r>
      <w:proofErr w:type="spellEnd"/>
      <w:r w:rsidRPr="00881032">
        <w:rPr>
          <w:rFonts w:ascii="Times New Roman" w:eastAsia="Times New Roman" w:hAnsi="Times New Roman" w:cs="Times New Roman"/>
          <w:sz w:val="24"/>
          <w:szCs w:val="24"/>
        </w:rPr>
        <w:t xml:space="preserve"> it, prompting the advocate to initiate legal proceedings seeking an order to enter judgment against the bank for the taxed sum, interest, and costs.</w:t>
      </w:r>
    </w:p>
    <w:p w14:paraId="00000003" w14:textId="77777777" w:rsidR="00793296" w:rsidRPr="00881032" w:rsidRDefault="00793296" w:rsidP="00881032">
      <w:pPr>
        <w:spacing w:after="0" w:line="360" w:lineRule="auto"/>
        <w:jc w:val="both"/>
        <w:rPr>
          <w:rFonts w:ascii="Times New Roman" w:eastAsia="Times New Roman" w:hAnsi="Times New Roman" w:cs="Times New Roman"/>
          <w:b/>
          <w:sz w:val="24"/>
          <w:szCs w:val="24"/>
        </w:rPr>
      </w:pPr>
    </w:p>
    <w:p w14:paraId="00000004"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Nature of the Legal Services Requested</w:t>
      </w:r>
    </w:p>
    <w:p w14:paraId="1EBC81A7" w14:textId="77777777" w:rsid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The nature of the legal services requested by Dubai Bank Kenya Limited from </w:t>
      </w:r>
      <w:proofErr w:type="spellStart"/>
      <w:r w:rsidRPr="00881032">
        <w:rPr>
          <w:rFonts w:ascii="Times New Roman" w:eastAsia="Times New Roman" w:hAnsi="Times New Roman" w:cs="Times New Roman"/>
          <w:sz w:val="24"/>
          <w:szCs w:val="24"/>
        </w:rPr>
        <w:t>Njougoro</w:t>
      </w:r>
      <w:proofErr w:type="spellEnd"/>
      <w:r w:rsidRPr="00881032">
        <w:rPr>
          <w:rFonts w:ascii="Times New Roman" w:eastAsia="Times New Roman" w:hAnsi="Times New Roman" w:cs="Times New Roman"/>
          <w:sz w:val="24"/>
          <w:szCs w:val="24"/>
        </w:rPr>
        <w:t xml:space="preserve"> &amp; Co. Advocates was specifically to prepare and register a debenture over the assets of </w:t>
      </w:r>
      <w:proofErr w:type="spellStart"/>
      <w:r w:rsidRPr="00881032">
        <w:rPr>
          <w:rFonts w:ascii="Times New Roman" w:eastAsia="Times New Roman" w:hAnsi="Times New Roman" w:cs="Times New Roman"/>
          <w:sz w:val="24"/>
          <w:szCs w:val="24"/>
        </w:rPr>
        <w:t>Kensalt</w:t>
      </w:r>
      <w:proofErr w:type="spellEnd"/>
      <w:r w:rsidRPr="00881032">
        <w:rPr>
          <w:rFonts w:ascii="Times New Roman" w:eastAsia="Times New Roman" w:hAnsi="Times New Roman" w:cs="Times New Roman"/>
          <w:sz w:val="24"/>
          <w:szCs w:val="24"/>
        </w:rPr>
        <w:t xml:space="preserve"> Packers Production Limited. A debenture is a written instrument that creates a charge or security interest over a company's assets, typically used as collateral for a loan or other financial obligation. In this case, </w:t>
      </w:r>
      <w:proofErr w:type="spellStart"/>
      <w:r w:rsidRPr="00881032">
        <w:rPr>
          <w:rFonts w:ascii="Times New Roman" w:eastAsia="Times New Roman" w:hAnsi="Times New Roman" w:cs="Times New Roman"/>
          <w:sz w:val="24"/>
          <w:szCs w:val="24"/>
        </w:rPr>
        <w:t>Kensalt</w:t>
      </w:r>
      <w:proofErr w:type="spellEnd"/>
      <w:r w:rsidRPr="00881032">
        <w:rPr>
          <w:rFonts w:ascii="Times New Roman" w:eastAsia="Times New Roman" w:hAnsi="Times New Roman" w:cs="Times New Roman"/>
          <w:sz w:val="24"/>
          <w:szCs w:val="24"/>
        </w:rPr>
        <w:t xml:space="preserve"> Packers Production Limited had applied for an overdraft facility of </w:t>
      </w:r>
      <w:proofErr w:type="spellStart"/>
      <w:r w:rsidRPr="00881032">
        <w:rPr>
          <w:rFonts w:ascii="Times New Roman" w:eastAsia="Times New Roman" w:hAnsi="Times New Roman" w:cs="Times New Roman"/>
          <w:sz w:val="24"/>
          <w:szCs w:val="24"/>
        </w:rPr>
        <w:t>KSh</w:t>
      </w:r>
      <w:proofErr w:type="spellEnd"/>
      <w:r w:rsidRPr="00881032">
        <w:rPr>
          <w:rFonts w:ascii="Times New Roman" w:eastAsia="Times New Roman" w:hAnsi="Times New Roman" w:cs="Times New Roman"/>
          <w:sz w:val="24"/>
          <w:szCs w:val="24"/>
        </w:rPr>
        <w:t>. 50 million from Dubai Bank Kenya Limited, and the bank required a debenture to be registered over the company</w:t>
      </w:r>
      <w:r w:rsidRPr="00881032">
        <w:rPr>
          <w:rFonts w:ascii="Times New Roman" w:eastAsia="Times New Roman" w:hAnsi="Times New Roman" w:cs="Times New Roman"/>
          <w:sz w:val="24"/>
          <w:szCs w:val="24"/>
        </w:rPr>
        <w:t xml:space="preserve">'s assets as security for the loan facility. </w:t>
      </w:r>
    </w:p>
    <w:p w14:paraId="00000005" w14:textId="33D21D58" w:rsidR="00793296" w:rsidRP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The request for these legal services was conveyed through a letter dated 28th March 2006 from the bank's credit department to </w:t>
      </w:r>
      <w:proofErr w:type="spellStart"/>
      <w:r w:rsidRPr="00881032">
        <w:rPr>
          <w:rFonts w:ascii="Times New Roman" w:eastAsia="Times New Roman" w:hAnsi="Times New Roman" w:cs="Times New Roman"/>
          <w:sz w:val="24"/>
          <w:szCs w:val="24"/>
        </w:rPr>
        <w:t>Njougoro</w:t>
      </w:r>
      <w:proofErr w:type="spellEnd"/>
      <w:r w:rsidRPr="00881032">
        <w:rPr>
          <w:rFonts w:ascii="Times New Roman" w:eastAsia="Times New Roman" w:hAnsi="Times New Roman" w:cs="Times New Roman"/>
          <w:sz w:val="24"/>
          <w:szCs w:val="24"/>
        </w:rPr>
        <w:t xml:space="preserve"> &amp; Co. Advocates. The letter explicitly instructed the advocate to "proceed to prepare and register a debenture over the said company's assets as appears in the attached valuation report." This letter, later referred to as Annexure JMN1 in the court proceedings, became a crucial piece of evidence in determining the existence of a retainer or engagement between the parties.</w:t>
      </w:r>
    </w:p>
    <w:p w14:paraId="00000006" w14:textId="77777777" w:rsidR="00793296" w:rsidRPr="00881032" w:rsidRDefault="00793296" w:rsidP="00881032">
      <w:pPr>
        <w:spacing w:after="0" w:line="360" w:lineRule="auto"/>
        <w:jc w:val="both"/>
        <w:rPr>
          <w:rFonts w:ascii="Times New Roman" w:eastAsia="Times New Roman" w:hAnsi="Times New Roman" w:cs="Times New Roman"/>
          <w:sz w:val="24"/>
          <w:szCs w:val="24"/>
        </w:rPr>
      </w:pPr>
    </w:p>
    <w:p w14:paraId="00000007"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Arguments Presented</w:t>
      </w:r>
    </w:p>
    <w:p w14:paraId="00000008"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Respondent's Claim (Bank's Arguments)</w:t>
      </w:r>
    </w:p>
    <w:p w14:paraId="1EBAEB71" w14:textId="77777777" w:rsid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lastRenderedPageBreak/>
        <w:t>The respondent, Dubai Bank Kenya Limited, presented several arguments to contest the advocate's claim for payment of legal fees. Firstly, the bank argued that there was no valid retainer or engagement of the advocate, as the letter of instruction (Annexure JMN1) did not explicitly create an obligation for the bank to pay the advocate's fees. The bank contended that merely issuing instructions to prepare and register a debenture did not automatically translate into a binding agreement to pay for the legal se</w:t>
      </w:r>
      <w:r w:rsidRPr="00881032">
        <w:rPr>
          <w:rFonts w:ascii="Times New Roman" w:eastAsia="Times New Roman" w:hAnsi="Times New Roman" w:cs="Times New Roman"/>
          <w:sz w:val="24"/>
          <w:szCs w:val="24"/>
        </w:rPr>
        <w:t>rvices rendered. Secondly, the bank claimed that the advocate rendered no professional services, implying that the debenture was never prepared or completed.</w:t>
      </w:r>
    </w:p>
    <w:p w14:paraId="61F80911" w14:textId="77777777" w:rsidR="00881032" w:rsidRDefault="00881032" w:rsidP="00881032">
      <w:pPr>
        <w:spacing w:after="0" w:line="360" w:lineRule="auto"/>
        <w:jc w:val="both"/>
        <w:rPr>
          <w:rFonts w:ascii="Times New Roman" w:eastAsia="Times New Roman" w:hAnsi="Times New Roman" w:cs="Times New Roman"/>
          <w:sz w:val="24"/>
          <w:szCs w:val="24"/>
        </w:rPr>
      </w:pPr>
    </w:p>
    <w:p w14:paraId="00000009" w14:textId="03E71337" w:rsidR="00793296" w:rsidRP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This argument was likely to challenge the advocate's assertion that they had fulfilled their part of the engagement by drafting the debenture and forwarding it to the bank for approval. Thirdly, the bank relied on the provisions of the Advocates' Remuneration Order, specifically Schedule 1, Scale 2, Rule 3, Sub-rule 5, which governs debentures. According to these provisions, the bank argued that the obligation to pay the advocate's fees rested with the beneficiary company, </w:t>
      </w:r>
      <w:proofErr w:type="spellStart"/>
      <w:r w:rsidRPr="00881032">
        <w:rPr>
          <w:rFonts w:ascii="Times New Roman" w:eastAsia="Times New Roman" w:hAnsi="Times New Roman" w:cs="Times New Roman"/>
          <w:sz w:val="24"/>
          <w:szCs w:val="24"/>
        </w:rPr>
        <w:t>Kensalt</w:t>
      </w:r>
      <w:proofErr w:type="spellEnd"/>
      <w:r w:rsidRPr="00881032">
        <w:rPr>
          <w:rFonts w:ascii="Times New Roman" w:eastAsia="Times New Roman" w:hAnsi="Times New Roman" w:cs="Times New Roman"/>
          <w:sz w:val="24"/>
          <w:szCs w:val="24"/>
        </w:rPr>
        <w:t xml:space="preserve"> Packers Production Limited, for whom the debenture was being created and not with the bank itself. Finally, the bank asserted that it had filed an "arguable reference" or objection against certain items in the taxed bill of costs, implying that the matter was still under contestation and should not be subject to summary enforcement through the entry of judgment.</w:t>
      </w:r>
    </w:p>
    <w:p w14:paraId="0000000A" w14:textId="77777777" w:rsidR="00793296" w:rsidRPr="00881032" w:rsidRDefault="00793296" w:rsidP="00881032">
      <w:pPr>
        <w:spacing w:after="0" w:line="360" w:lineRule="auto"/>
        <w:jc w:val="both"/>
        <w:rPr>
          <w:rFonts w:ascii="Times New Roman" w:eastAsia="Times New Roman" w:hAnsi="Times New Roman" w:cs="Times New Roman"/>
          <w:b/>
          <w:sz w:val="24"/>
          <w:szCs w:val="24"/>
        </w:rPr>
      </w:pPr>
    </w:p>
    <w:p w14:paraId="0000000B"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Applicant's Claim (Advocate's Arguments)</w:t>
      </w:r>
    </w:p>
    <w:p w14:paraId="28309CAF" w14:textId="77777777" w:rsidR="002C140D"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In response, the applicant, </w:t>
      </w:r>
      <w:proofErr w:type="spellStart"/>
      <w:r w:rsidRPr="00881032">
        <w:rPr>
          <w:rFonts w:ascii="Times New Roman" w:eastAsia="Times New Roman" w:hAnsi="Times New Roman" w:cs="Times New Roman"/>
          <w:sz w:val="24"/>
          <w:szCs w:val="24"/>
        </w:rPr>
        <w:t>Njougoro</w:t>
      </w:r>
      <w:proofErr w:type="spellEnd"/>
      <w:r w:rsidRPr="00881032">
        <w:rPr>
          <w:rFonts w:ascii="Times New Roman" w:eastAsia="Times New Roman" w:hAnsi="Times New Roman" w:cs="Times New Roman"/>
          <w:sz w:val="24"/>
          <w:szCs w:val="24"/>
        </w:rPr>
        <w:t xml:space="preserve"> &amp; Co. Advocates, contended that a valid retainer was established through the letter of instruction from the bank, dated 28th March 2006 (Annexure JMN1), requesting the preparation and registration of the debenture. The advocate argued that this letter constituted an engagement or retainer, as it instructed the advocate to perform specific professional services on behalf of the bank. Furthermore, the advocate maintained that the requested services were rendered by drafting the debenture and forwardi</w:t>
      </w:r>
      <w:r w:rsidRPr="00881032">
        <w:rPr>
          <w:rFonts w:ascii="Times New Roman" w:eastAsia="Times New Roman" w:hAnsi="Times New Roman" w:cs="Times New Roman"/>
          <w:sz w:val="24"/>
          <w:szCs w:val="24"/>
        </w:rPr>
        <w:t xml:space="preserve">ng it to the bank for approval. </w:t>
      </w:r>
    </w:p>
    <w:p w14:paraId="0000000C" w14:textId="6E3FFF43" w:rsidR="00793296" w:rsidRP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However, the bank failed to return the document for registration, effectively terminating the engagement. This assertion aimed to refute the bank's claim that no professional services were rendered. Regarding the bank's reliance on the Advocates' Remuneration Order, the advocate countered that the provisions cited by the bank were not applicable in this case. The advocate argued that the matter fell under Section 51(2) of the Advocates Act, which allows for the summary enforcement of an advocate's taxed bil</w:t>
      </w:r>
      <w:r w:rsidRPr="00881032">
        <w:rPr>
          <w:rFonts w:ascii="Times New Roman" w:eastAsia="Times New Roman" w:hAnsi="Times New Roman" w:cs="Times New Roman"/>
          <w:sz w:val="24"/>
          <w:szCs w:val="24"/>
        </w:rPr>
        <w:t xml:space="preserve">l of costs, provided there is no dispute regarding the retainer. Finally, the advocate contended that the existence of the bank's objection or "arguable reference" </w:t>
      </w:r>
      <w:r w:rsidRPr="00881032">
        <w:rPr>
          <w:rFonts w:ascii="Times New Roman" w:eastAsia="Times New Roman" w:hAnsi="Times New Roman" w:cs="Times New Roman"/>
          <w:sz w:val="24"/>
          <w:szCs w:val="24"/>
        </w:rPr>
        <w:lastRenderedPageBreak/>
        <w:t>against certain items in the taxed bill did not operate as a stay or prevent the court from entering judgment under Section 51(2) of the Advocates Act. The advocate further asserted that if the bank's objection succeeded, the advocate would be willing to refund any disallowed amount without prejudice to either party.</w:t>
      </w:r>
    </w:p>
    <w:p w14:paraId="0000000D" w14:textId="77777777" w:rsidR="00793296" w:rsidRPr="00881032" w:rsidRDefault="00793296" w:rsidP="00881032">
      <w:pPr>
        <w:spacing w:after="0" w:line="360" w:lineRule="auto"/>
        <w:jc w:val="both"/>
        <w:rPr>
          <w:rFonts w:ascii="Times New Roman" w:eastAsia="Times New Roman" w:hAnsi="Times New Roman" w:cs="Times New Roman"/>
          <w:sz w:val="24"/>
          <w:szCs w:val="24"/>
        </w:rPr>
      </w:pPr>
    </w:p>
    <w:p w14:paraId="0000000E"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Court's Findings</w:t>
      </w:r>
    </w:p>
    <w:p w14:paraId="0000000F"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Importance of the Letter of Instruction and Use of Letters and Communications as Evidence of a Retainer</w:t>
      </w:r>
    </w:p>
    <w:p w14:paraId="1A041C5B" w14:textId="77777777" w:rsidR="002C140D"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In adjudicating this case, the court placed significant weight on the letter of instruction from Dubai Bank Kenya Limited to </w:t>
      </w:r>
      <w:proofErr w:type="spellStart"/>
      <w:r w:rsidRPr="00881032">
        <w:rPr>
          <w:rFonts w:ascii="Times New Roman" w:eastAsia="Times New Roman" w:hAnsi="Times New Roman" w:cs="Times New Roman"/>
          <w:sz w:val="24"/>
          <w:szCs w:val="24"/>
        </w:rPr>
        <w:t>Njougoro</w:t>
      </w:r>
      <w:proofErr w:type="spellEnd"/>
      <w:r w:rsidRPr="00881032">
        <w:rPr>
          <w:rFonts w:ascii="Times New Roman" w:eastAsia="Times New Roman" w:hAnsi="Times New Roman" w:cs="Times New Roman"/>
          <w:sz w:val="24"/>
          <w:szCs w:val="24"/>
        </w:rPr>
        <w:t xml:space="preserve"> &amp; Co. Advocates, dated 28th March 2006 (Annexure JMN1). The court considered this letter admissible evidence under Section 35(1) of the Evidence Act, which allows for the admission of statements made in documents tending to establish a fact, provided certain conditions are met. The court found that the content of Annexure JMN1 satisfied the definition of a "retainer" – an engagement or employment of a solicitor (lawyer) by a client for specific professional services. </w:t>
      </w:r>
    </w:p>
    <w:p w14:paraId="00000010" w14:textId="6BF7BC6A" w:rsidR="00793296" w:rsidRP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The letter explicitly instructed the advocate to "proceed to prepare and register a debenture over the said company's assets as appears in the attached valuation report." This clear directive to perform legal tasks constituted a retainer in the eyes of the court. Furthermore, the court noted that there was no evidence on record to suggest that the advocate could have fabricated or imagined services that were not requested. The advocate's assertion that they rendered the requested services by drafting the de</w:t>
      </w:r>
      <w:r w:rsidRPr="00881032">
        <w:rPr>
          <w:rFonts w:ascii="Times New Roman" w:eastAsia="Times New Roman" w:hAnsi="Times New Roman" w:cs="Times New Roman"/>
          <w:sz w:val="24"/>
          <w:szCs w:val="24"/>
        </w:rPr>
        <w:t>benture and forwarding it to the bank for approval was accepted by the court in the absence of any contrary evidence from the bank.</w:t>
      </w:r>
    </w:p>
    <w:p w14:paraId="00000011" w14:textId="77777777" w:rsidR="00793296" w:rsidRPr="00881032" w:rsidRDefault="00793296" w:rsidP="00881032">
      <w:pPr>
        <w:spacing w:after="0" w:line="360" w:lineRule="auto"/>
        <w:jc w:val="both"/>
        <w:rPr>
          <w:rFonts w:ascii="Times New Roman" w:eastAsia="Times New Roman" w:hAnsi="Times New Roman" w:cs="Times New Roman"/>
          <w:sz w:val="24"/>
          <w:szCs w:val="24"/>
        </w:rPr>
      </w:pPr>
    </w:p>
    <w:p w14:paraId="00000012" w14:textId="77777777" w:rsidR="00793296" w:rsidRPr="00881032"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Establishment of a Retainer through Specific Task Engagement</w:t>
      </w:r>
    </w:p>
    <w:p w14:paraId="00000013" w14:textId="77777777" w:rsidR="00793296" w:rsidRPr="00881032"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Building upon the significance of the letter of instruction (Annexure JMN1), the court determined that this document constituted a valid retainer or engagement of the advocate by the bank client for the specific task of preparing and registering a debenture over the assets of </w:t>
      </w:r>
      <w:proofErr w:type="spellStart"/>
      <w:r w:rsidRPr="00881032">
        <w:rPr>
          <w:rFonts w:ascii="Times New Roman" w:eastAsia="Times New Roman" w:hAnsi="Times New Roman" w:cs="Times New Roman"/>
          <w:sz w:val="24"/>
          <w:szCs w:val="24"/>
        </w:rPr>
        <w:t>Kensalt</w:t>
      </w:r>
      <w:proofErr w:type="spellEnd"/>
      <w:r w:rsidRPr="00881032">
        <w:rPr>
          <w:rFonts w:ascii="Times New Roman" w:eastAsia="Times New Roman" w:hAnsi="Times New Roman" w:cs="Times New Roman"/>
          <w:sz w:val="24"/>
          <w:szCs w:val="24"/>
        </w:rPr>
        <w:t xml:space="preserve"> Packers Production Limited. The court reasoned that the contents of the letter, coupled with the advocate's claim of having rendered the requested services, established a client-advocate relationship and the existence of a retainer. The court rejected the bank's argument that the letter did not create an obligation to pay, finding that the mere issuance of instructions to perform professional legal services was sufficient to constitute a retainer, regardless of whether an explicit obligation to pay </w:t>
      </w:r>
      <w:r w:rsidRPr="00881032">
        <w:rPr>
          <w:rFonts w:ascii="Times New Roman" w:eastAsia="Times New Roman" w:hAnsi="Times New Roman" w:cs="Times New Roman"/>
          <w:sz w:val="24"/>
          <w:szCs w:val="24"/>
        </w:rPr>
        <w:t>was stated in the letter.</w:t>
      </w:r>
    </w:p>
    <w:p w14:paraId="00000014" w14:textId="77777777" w:rsidR="00793296" w:rsidRPr="00881032" w:rsidRDefault="00793296" w:rsidP="00881032">
      <w:pPr>
        <w:spacing w:after="0" w:line="360" w:lineRule="auto"/>
        <w:jc w:val="both"/>
        <w:rPr>
          <w:rFonts w:ascii="Times New Roman" w:eastAsia="Times New Roman" w:hAnsi="Times New Roman" w:cs="Times New Roman"/>
          <w:b/>
          <w:sz w:val="24"/>
          <w:szCs w:val="24"/>
        </w:rPr>
      </w:pPr>
    </w:p>
    <w:p w14:paraId="00000015" w14:textId="77777777" w:rsidR="00793296" w:rsidRPr="00881032" w:rsidRDefault="00793296" w:rsidP="00881032">
      <w:pPr>
        <w:spacing w:after="0" w:line="360" w:lineRule="auto"/>
        <w:jc w:val="both"/>
        <w:rPr>
          <w:rFonts w:ascii="Times New Roman" w:eastAsia="Times New Roman" w:hAnsi="Times New Roman" w:cs="Times New Roman"/>
          <w:b/>
          <w:sz w:val="24"/>
          <w:szCs w:val="24"/>
        </w:rPr>
      </w:pPr>
    </w:p>
    <w:p w14:paraId="00000016" w14:textId="77777777" w:rsidR="00793296" w:rsidRDefault="00ED6E19" w:rsidP="00881032">
      <w:pPr>
        <w:spacing w:after="0" w:line="360" w:lineRule="auto"/>
        <w:jc w:val="both"/>
        <w:rPr>
          <w:rFonts w:ascii="Times New Roman" w:eastAsia="Times New Roman" w:hAnsi="Times New Roman" w:cs="Times New Roman"/>
          <w:b/>
          <w:sz w:val="24"/>
          <w:szCs w:val="24"/>
        </w:rPr>
      </w:pPr>
      <w:r w:rsidRPr="00881032">
        <w:rPr>
          <w:rFonts w:ascii="Times New Roman" w:eastAsia="Times New Roman" w:hAnsi="Times New Roman" w:cs="Times New Roman"/>
          <w:b/>
          <w:sz w:val="24"/>
          <w:szCs w:val="24"/>
        </w:rPr>
        <w:t>Application of Section 51(2) of the Advocates Act</w:t>
      </w:r>
    </w:p>
    <w:p w14:paraId="2660F278" w14:textId="6A77C5E7" w:rsidR="00D349AC" w:rsidRPr="00D349AC" w:rsidRDefault="00D349AC" w:rsidP="00881032">
      <w:pPr>
        <w:spacing w:after="0" w:line="360" w:lineRule="auto"/>
        <w:jc w:val="both"/>
        <w:rPr>
          <w:rFonts w:ascii="Times New Roman" w:eastAsia="Times New Roman" w:hAnsi="Times New Roman" w:cs="Times New Roman"/>
          <w:bCs/>
          <w:sz w:val="24"/>
          <w:szCs w:val="24"/>
        </w:rPr>
      </w:pPr>
      <w:r w:rsidRPr="00D349AC">
        <w:rPr>
          <w:rFonts w:ascii="Times New Roman" w:eastAsia="Times New Roman" w:hAnsi="Times New Roman" w:cs="Times New Roman"/>
          <w:bCs/>
          <w:sz w:val="24"/>
          <w:szCs w:val="24"/>
        </w:rPr>
        <w:t>The court construed the word retainer as used in section 51(2) of the Advocates Act to be synonymous with employment, engagement, or instruction.</w:t>
      </w:r>
    </w:p>
    <w:p w14:paraId="2D66A454" w14:textId="77777777" w:rsidR="00CB6848"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After establishing the existence of a retainer between the parties, the court turned its attention to the appropriate procedure for resolving the dispute over legal fees. The court found that this case fell squarely under the purview of Section 51(2) of the Advocates Act, which allows for the summary enforcement of an advocate's taxed bill of costs, provided there is no dispute regarding the retainer. The court reasoned that there were no weighty matters concerning the client-advocate relationship that warr</w:t>
      </w:r>
      <w:r w:rsidRPr="00881032">
        <w:rPr>
          <w:rFonts w:ascii="Times New Roman" w:eastAsia="Times New Roman" w:hAnsi="Times New Roman" w:cs="Times New Roman"/>
          <w:sz w:val="24"/>
          <w:szCs w:val="24"/>
        </w:rPr>
        <w:t>anted directing the advocate to file a separate suit for the recovery of costs under Sections 45-49 of the Advocates Act. The existence of the bank's objection to certain items in the taxed bill did not constitute a valid reason to deviate from the summary procedure under Section 51(2).</w:t>
      </w:r>
    </w:p>
    <w:p w14:paraId="00000017" w14:textId="65ACB347" w:rsidR="00793296" w:rsidRDefault="00ED6E19" w:rsidP="00881032">
      <w:pPr>
        <w:spacing w:after="0" w:line="360" w:lineRule="auto"/>
        <w:jc w:val="both"/>
        <w:rPr>
          <w:rFonts w:ascii="Times New Roman" w:eastAsia="Times New Roman" w:hAnsi="Times New Roman" w:cs="Times New Roman"/>
          <w:sz w:val="24"/>
          <w:szCs w:val="24"/>
        </w:rPr>
      </w:pPr>
      <w:r w:rsidRPr="00881032">
        <w:rPr>
          <w:rFonts w:ascii="Times New Roman" w:eastAsia="Times New Roman" w:hAnsi="Times New Roman" w:cs="Times New Roman"/>
          <w:sz w:val="24"/>
          <w:szCs w:val="24"/>
        </w:rPr>
        <w:t xml:space="preserve"> Furthermore, the court noted that even if the bank's objection succeeded, it would not cause prejudice to the bank, as the advocate had expressed willingness to refund any disallowed amount without issue. The court found no evidence to suggest that the advocate would be unable to comply with such a refund. Ultimately, after considering the arguments and evidence presented, the court allowed the advocate's application for judgment against Dubai Bank Kenya Limited in the sum of </w:t>
      </w:r>
      <w:proofErr w:type="spellStart"/>
      <w:r w:rsidRPr="00881032">
        <w:rPr>
          <w:rFonts w:ascii="Times New Roman" w:eastAsia="Times New Roman" w:hAnsi="Times New Roman" w:cs="Times New Roman"/>
          <w:sz w:val="24"/>
          <w:szCs w:val="24"/>
        </w:rPr>
        <w:t>KSh</w:t>
      </w:r>
      <w:proofErr w:type="spellEnd"/>
      <w:r w:rsidRPr="00881032">
        <w:rPr>
          <w:rFonts w:ascii="Times New Roman" w:eastAsia="Times New Roman" w:hAnsi="Times New Roman" w:cs="Times New Roman"/>
          <w:sz w:val="24"/>
          <w:szCs w:val="24"/>
        </w:rPr>
        <w:t>. 592,070, being the taxed and certified amount due for legal services rendered in preparing the debenture. The court also awarded interest on the sum and costs of the application to the advocate.</w:t>
      </w:r>
    </w:p>
    <w:p w14:paraId="223D30CF" w14:textId="77777777" w:rsidR="00EA46B1" w:rsidRDefault="00EA46B1" w:rsidP="00881032">
      <w:pPr>
        <w:spacing w:after="0" w:line="360" w:lineRule="auto"/>
        <w:jc w:val="both"/>
        <w:rPr>
          <w:rFonts w:ascii="Times New Roman" w:eastAsia="Times New Roman" w:hAnsi="Times New Roman" w:cs="Times New Roman"/>
          <w:sz w:val="24"/>
          <w:szCs w:val="24"/>
        </w:rPr>
      </w:pPr>
    </w:p>
    <w:p w14:paraId="5A73913C" w14:textId="079DC04B" w:rsidR="00EA46B1" w:rsidRPr="00EA46B1" w:rsidRDefault="00EA46B1" w:rsidP="00881032">
      <w:pPr>
        <w:spacing w:after="0" w:line="360" w:lineRule="auto"/>
        <w:jc w:val="both"/>
        <w:rPr>
          <w:rFonts w:ascii="Times New Roman" w:eastAsia="Times New Roman" w:hAnsi="Times New Roman" w:cs="Times New Roman"/>
          <w:b/>
          <w:bCs/>
          <w:sz w:val="24"/>
          <w:szCs w:val="24"/>
        </w:rPr>
      </w:pPr>
      <w:r w:rsidRPr="00EA46B1">
        <w:rPr>
          <w:rFonts w:ascii="Times New Roman" w:eastAsia="Times New Roman" w:hAnsi="Times New Roman" w:cs="Times New Roman"/>
          <w:b/>
          <w:bCs/>
          <w:sz w:val="24"/>
          <w:szCs w:val="24"/>
        </w:rPr>
        <w:t>Conclusion</w:t>
      </w:r>
    </w:p>
    <w:p w14:paraId="34DD1D80" w14:textId="310EC784" w:rsidR="00EA46B1" w:rsidRPr="00EA46B1" w:rsidRDefault="00EA46B1" w:rsidP="00EA46B1">
      <w:pPr>
        <w:spacing w:line="360" w:lineRule="auto"/>
        <w:jc w:val="both"/>
        <w:rPr>
          <w:rFonts w:ascii="Times New Roman" w:eastAsia="Times New Roman" w:hAnsi="Times New Roman" w:cs="Times New Roman"/>
          <w:sz w:val="24"/>
          <w:szCs w:val="24"/>
          <w:lang w:val="en-GB"/>
        </w:rPr>
      </w:pPr>
      <w:r w:rsidRPr="00EA46B1">
        <w:rPr>
          <w:rFonts w:ascii="Times New Roman" w:eastAsia="Times New Roman" w:hAnsi="Times New Roman" w:cs="Times New Roman"/>
          <w:sz w:val="24"/>
          <w:szCs w:val="24"/>
        </w:rPr>
        <w:t>A retainer can be established through specific task engagement</w:t>
      </w:r>
      <w:r w:rsidRPr="00EA46B1">
        <w:rPr>
          <w:rFonts w:ascii="Times New Roman" w:eastAsia="Times New Roman" w:hAnsi="Times New Roman" w:cs="Times New Roman"/>
          <w:sz w:val="24"/>
          <w:szCs w:val="24"/>
        </w:rPr>
        <w:t xml:space="preserve">. </w:t>
      </w:r>
      <w:r w:rsidRPr="00EA46B1">
        <w:rPr>
          <w:rFonts w:ascii="Times New Roman" w:eastAsia="Times New Roman" w:hAnsi="Times New Roman" w:cs="Times New Roman"/>
          <w:sz w:val="24"/>
          <w:szCs w:val="24"/>
          <w:lang w:val="en-GB"/>
        </w:rPr>
        <w:t>In</w:t>
      </w:r>
      <w:r w:rsidRPr="00EA46B1">
        <w:rPr>
          <w:rFonts w:ascii="Times New Roman" w:eastAsia="Times New Roman" w:hAnsi="Times New Roman" w:cs="Times New Roman"/>
          <w:b/>
          <w:bCs/>
          <w:i/>
          <w:iCs/>
          <w:sz w:val="24"/>
          <w:szCs w:val="24"/>
        </w:rPr>
        <w:t xml:space="preserve"> </w:t>
      </w:r>
      <w:proofErr w:type="spellStart"/>
      <w:r w:rsidRPr="00EA46B1">
        <w:rPr>
          <w:rFonts w:ascii="Times New Roman" w:eastAsia="Times New Roman" w:hAnsi="Times New Roman" w:cs="Times New Roman"/>
          <w:b/>
          <w:bCs/>
          <w:i/>
          <w:iCs/>
          <w:sz w:val="24"/>
          <w:szCs w:val="24"/>
        </w:rPr>
        <w:t>Njougoro</w:t>
      </w:r>
      <w:proofErr w:type="spellEnd"/>
      <w:r w:rsidRPr="00EA46B1">
        <w:rPr>
          <w:rFonts w:ascii="Times New Roman" w:eastAsia="Times New Roman" w:hAnsi="Times New Roman" w:cs="Times New Roman"/>
          <w:b/>
          <w:bCs/>
          <w:i/>
          <w:iCs/>
          <w:sz w:val="24"/>
          <w:szCs w:val="24"/>
        </w:rPr>
        <w:t xml:space="preserve"> &amp; Co. Advocates v. Dubai Bank Kenya Limited [2008] </w:t>
      </w:r>
      <w:proofErr w:type="spellStart"/>
      <w:r w:rsidRPr="00EA46B1">
        <w:rPr>
          <w:rFonts w:ascii="Times New Roman" w:eastAsia="Times New Roman" w:hAnsi="Times New Roman" w:cs="Times New Roman"/>
          <w:b/>
          <w:bCs/>
          <w:i/>
          <w:iCs/>
          <w:sz w:val="24"/>
          <w:szCs w:val="24"/>
        </w:rPr>
        <w:t>eKLR</w:t>
      </w:r>
      <w:proofErr w:type="spellEnd"/>
      <w:r w:rsidRPr="00EA46B1">
        <w:rPr>
          <w:rFonts w:ascii="Times New Roman" w:eastAsia="Times New Roman" w:hAnsi="Times New Roman" w:cs="Times New Roman"/>
          <w:sz w:val="24"/>
          <w:szCs w:val="24"/>
          <w:lang w:val="en-GB"/>
        </w:rPr>
        <w:t xml:space="preserve">, the letter of instruction constituted a valid retainer or engagement of the advocate by the bank client for the specific task of preparing and registering a debenture over the assets of </w:t>
      </w:r>
      <w:proofErr w:type="spellStart"/>
      <w:r w:rsidRPr="00EA46B1">
        <w:rPr>
          <w:rFonts w:ascii="Times New Roman" w:eastAsia="Times New Roman" w:hAnsi="Times New Roman" w:cs="Times New Roman"/>
          <w:sz w:val="24"/>
          <w:szCs w:val="24"/>
          <w:lang w:val="en-GB"/>
        </w:rPr>
        <w:t>Kensalt</w:t>
      </w:r>
      <w:proofErr w:type="spellEnd"/>
      <w:r w:rsidRPr="00EA46B1">
        <w:rPr>
          <w:rFonts w:ascii="Times New Roman" w:eastAsia="Times New Roman" w:hAnsi="Times New Roman" w:cs="Times New Roman"/>
          <w:sz w:val="24"/>
          <w:szCs w:val="24"/>
          <w:lang w:val="en-GB"/>
        </w:rPr>
        <w:t xml:space="preserve"> Packers Production Limited</w:t>
      </w:r>
      <w:r>
        <w:rPr>
          <w:rFonts w:ascii="Times New Roman" w:eastAsia="Times New Roman" w:hAnsi="Times New Roman" w:cs="Times New Roman"/>
          <w:sz w:val="24"/>
          <w:szCs w:val="24"/>
          <w:lang w:val="en-GB"/>
        </w:rPr>
        <w:t>.</w:t>
      </w:r>
    </w:p>
    <w:sectPr w:rsidR="00EA46B1" w:rsidRPr="00EA46B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C771B" w14:textId="77777777" w:rsidR="00881032" w:rsidRDefault="00881032" w:rsidP="00881032">
      <w:pPr>
        <w:spacing w:after="0" w:line="240" w:lineRule="auto"/>
      </w:pPr>
      <w:r>
        <w:separator/>
      </w:r>
    </w:p>
  </w:endnote>
  <w:endnote w:type="continuationSeparator" w:id="0">
    <w:p w14:paraId="55CD64D1" w14:textId="77777777" w:rsidR="00881032" w:rsidRDefault="00881032" w:rsidP="00881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037B5" w14:textId="77777777" w:rsidR="00881032" w:rsidRDefault="00881032" w:rsidP="00881032">
      <w:pPr>
        <w:spacing w:after="0" w:line="240" w:lineRule="auto"/>
      </w:pPr>
      <w:r>
        <w:separator/>
      </w:r>
    </w:p>
  </w:footnote>
  <w:footnote w:type="continuationSeparator" w:id="0">
    <w:p w14:paraId="082509DF" w14:textId="77777777" w:rsidR="00881032" w:rsidRDefault="00881032" w:rsidP="00881032">
      <w:pPr>
        <w:spacing w:after="0" w:line="240" w:lineRule="auto"/>
      </w:pPr>
      <w:r>
        <w:continuationSeparator/>
      </w:r>
    </w:p>
  </w:footnote>
  <w:footnote w:id="1">
    <w:p w14:paraId="21E3DAD4" w14:textId="77777777" w:rsidR="00881032" w:rsidRPr="00707169" w:rsidRDefault="00881032" w:rsidP="00881032">
      <w:pPr>
        <w:pStyle w:val="FootnoteText"/>
        <w:rPr>
          <w:rFonts w:ascii="Times New Roman" w:hAnsi="Times New Roman" w:cs="Times New Roman"/>
        </w:rPr>
      </w:pPr>
      <w:r w:rsidRPr="00707169">
        <w:rPr>
          <w:rStyle w:val="FootnoteReference"/>
          <w:rFonts w:ascii="Times New Roman" w:hAnsi="Times New Roman" w:cs="Times New Roman"/>
        </w:rPr>
        <w:footnoteRef/>
      </w:r>
      <w:r w:rsidRPr="00707169">
        <w:rPr>
          <w:rFonts w:ascii="Times New Roman" w:hAnsi="Times New Roman" w:cs="Times New Roman"/>
        </w:rPr>
        <w:t xml:space="preserve"> </w:t>
      </w:r>
      <w:r w:rsidRPr="00707169">
        <w:rPr>
          <w:rFonts w:ascii="Times New Roman" w:hAnsi="Times New Roman" w:cs="Times New Roman"/>
          <w:bCs/>
        </w:rPr>
        <w:t xml:space="preserve">ORIENTAL COMMERCIAL BANK LIMITED v CENTRAL BANK OF KENYA [2012] </w:t>
      </w:r>
      <w:proofErr w:type="spellStart"/>
      <w:r w:rsidRPr="00707169">
        <w:rPr>
          <w:rFonts w:ascii="Times New Roman" w:hAnsi="Times New Roman" w:cs="Times New Roman"/>
          <w:bCs/>
        </w:rPr>
        <w:t>eKLR</w:t>
      </w:r>
      <w:proofErr w:type="spellEnd"/>
      <w:r w:rsidRPr="00707169">
        <w:rPr>
          <w:rFonts w:ascii="Times New Roman" w:hAnsi="Times New Roman" w:cs="Times New Roman"/>
          <w:bCs/>
        </w:rPr>
        <w:t xml:space="preserve">. </w:t>
      </w:r>
    </w:p>
  </w:footnote>
  <w:footnote w:id="2">
    <w:p w14:paraId="3D4EBE7F" w14:textId="77777777" w:rsidR="00881032" w:rsidRPr="00707169" w:rsidRDefault="00881032" w:rsidP="00881032">
      <w:pPr>
        <w:pStyle w:val="FootnoteText"/>
        <w:rPr>
          <w:rFonts w:ascii="Times New Roman" w:hAnsi="Times New Roman" w:cs="Times New Roman"/>
        </w:rPr>
      </w:pPr>
      <w:r w:rsidRPr="00707169">
        <w:rPr>
          <w:rStyle w:val="FootnoteReference"/>
          <w:rFonts w:ascii="Times New Roman" w:hAnsi="Times New Roman" w:cs="Times New Roman"/>
        </w:rPr>
        <w:footnoteRef/>
      </w:r>
      <w:r w:rsidRPr="00707169">
        <w:rPr>
          <w:rFonts w:ascii="Times New Roman" w:hAnsi="Times New Roman" w:cs="Times New Roman"/>
        </w:rPr>
        <w:t xml:space="preserve"> </w:t>
      </w:r>
      <w:hyperlink r:id="rId1" w:history="1">
        <w:r w:rsidRPr="00707169">
          <w:rPr>
            <w:rStyle w:val="Hyperlink"/>
            <w:rFonts w:ascii="Times New Roman" w:hAnsi="Times New Roman" w:cs="Times New Roman"/>
          </w:rPr>
          <w:t>https://www.teamwork.com/blog/retainer-agreement/</w:t>
        </w:r>
      </w:hyperlink>
      <w:r w:rsidRPr="00707169">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F00982"/>
    <w:multiLevelType w:val="hybridMultilevel"/>
    <w:tmpl w:val="F81AC64A"/>
    <w:lvl w:ilvl="0" w:tplc="0809000F">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1" w15:restartNumberingAfterBreak="0">
    <w:nsid w:val="63797332"/>
    <w:multiLevelType w:val="hybridMultilevel"/>
    <w:tmpl w:val="4DD2FC4E"/>
    <w:lvl w:ilvl="0" w:tplc="C9DEBD58">
      <w:start w:val="1"/>
      <w:numFmt w:val="bullet"/>
      <w:lvlText w:val="•"/>
      <w:lvlJc w:val="left"/>
      <w:pPr>
        <w:tabs>
          <w:tab w:val="num" w:pos="720"/>
        </w:tabs>
        <w:ind w:left="720" w:hanging="360"/>
      </w:pPr>
      <w:rPr>
        <w:rFonts w:ascii="Times New Roman" w:hAnsi="Times New Roman" w:hint="default"/>
      </w:rPr>
    </w:lvl>
    <w:lvl w:ilvl="1" w:tplc="6E22A29A" w:tentative="1">
      <w:start w:val="1"/>
      <w:numFmt w:val="bullet"/>
      <w:lvlText w:val="•"/>
      <w:lvlJc w:val="left"/>
      <w:pPr>
        <w:tabs>
          <w:tab w:val="num" w:pos="1440"/>
        </w:tabs>
        <w:ind w:left="1440" w:hanging="360"/>
      </w:pPr>
      <w:rPr>
        <w:rFonts w:ascii="Times New Roman" w:hAnsi="Times New Roman" w:hint="default"/>
      </w:rPr>
    </w:lvl>
    <w:lvl w:ilvl="2" w:tplc="5A6E9774" w:tentative="1">
      <w:start w:val="1"/>
      <w:numFmt w:val="bullet"/>
      <w:lvlText w:val="•"/>
      <w:lvlJc w:val="left"/>
      <w:pPr>
        <w:tabs>
          <w:tab w:val="num" w:pos="2160"/>
        </w:tabs>
        <w:ind w:left="2160" w:hanging="360"/>
      </w:pPr>
      <w:rPr>
        <w:rFonts w:ascii="Times New Roman" w:hAnsi="Times New Roman" w:hint="default"/>
      </w:rPr>
    </w:lvl>
    <w:lvl w:ilvl="3" w:tplc="A748EC14" w:tentative="1">
      <w:start w:val="1"/>
      <w:numFmt w:val="bullet"/>
      <w:lvlText w:val="•"/>
      <w:lvlJc w:val="left"/>
      <w:pPr>
        <w:tabs>
          <w:tab w:val="num" w:pos="2880"/>
        </w:tabs>
        <w:ind w:left="2880" w:hanging="360"/>
      </w:pPr>
      <w:rPr>
        <w:rFonts w:ascii="Times New Roman" w:hAnsi="Times New Roman" w:hint="default"/>
      </w:rPr>
    </w:lvl>
    <w:lvl w:ilvl="4" w:tplc="3850E5F8" w:tentative="1">
      <w:start w:val="1"/>
      <w:numFmt w:val="bullet"/>
      <w:lvlText w:val="•"/>
      <w:lvlJc w:val="left"/>
      <w:pPr>
        <w:tabs>
          <w:tab w:val="num" w:pos="3600"/>
        </w:tabs>
        <w:ind w:left="3600" w:hanging="360"/>
      </w:pPr>
      <w:rPr>
        <w:rFonts w:ascii="Times New Roman" w:hAnsi="Times New Roman" w:hint="default"/>
      </w:rPr>
    </w:lvl>
    <w:lvl w:ilvl="5" w:tplc="EBD63340" w:tentative="1">
      <w:start w:val="1"/>
      <w:numFmt w:val="bullet"/>
      <w:lvlText w:val="•"/>
      <w:lvlJc w:val="left"/>
      <w:pPr>
        <w:tabs>
          <w:tab w:val="num" w:pos="4320"/>
        </w:tabs>
        <w:ind w:left="4320" w:hanging="360"/>
      </w:pPr>
      <w:rPr>
        <w:rFonts w:ascii="Times New Roman" w:hAnsi="Times New Roman" w:hint="default"/>
      </w:rPr>
    </w:lvl>
    <w:lvl w:ilvl="6" w:tplc="8104FAD6" w:tentative="1">
      <w:start w:val="1"/>
      <w:numFmt w:val="bullet"/>
      <w:lvlText w:val="•"/>
      <w:lvlJc w:val="left"/>
      <w:pPr>
        <w:tabs>
          <w:tab w:val="num" w:pos="5040"/>
        </w:tabs>
        <w:ind w:left="5040" w:hanging="360"/>
      </w:pPr>
      <w:rPr>
        <w:rFonts w:ascii="Times New Roman" w:hAnsi="Times New Roman" w:hint="default"/>
      </w:rPr>
    </w:lvl>
    <w:lvl w:ilvl="7" w:tplc="A6BC046E" w:tentative="1">
      <w:start w:val="1"/>
      <w:numFmt w:val="bullet"/>
      <w:lvlText w:val="•"/>
      <w:lvlJc w:val="left"/>
      <w:pPr>
        <w:tabs>
          <w:tab w:val="num" w:pos="5760"/>
        </w:tabs>
        <w:ind w:left="5760" w:hanging="360"/>
      </w:pPr>
      <w:rPr>
        <w:rFonts w:ascii="Times New Roman" w:hAnsi="Times New Roman" w:hint="default"/>
      </w:rPr>
    </w:lvl>
    <w:lvl w:ilvl="8" w:tplc="42B222D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F3F5A27"/>
    <w:multiLevelType w:val="hybridMultilevel"/>
    <w:tmpl w:val="A6523FD4"/>
    <w:lvl w:ilvl="0" w:tplc="33F24566">
      <w:start w:val="1"/>
      <w:numFmt w:val="bullet"/>
      <w:lvlText w:val="•"/>
      <w:lvlJc w:val="left"/>
      <w:pPr>
        <w:tabs>
          <w:tab w:val="num" w:pos="720"/>
        </w:tabs>
        <w:ind w:left="720" w:hanging="360"/>
      </w:pPr>
      <w:rPr>
        <w:rFonts w:ascii="Times New Roman" w:hAnsi="Times New Roman" w:hint="default"/>
      </w:rPr>
    </w:lvl>
    <w:lvl w:ilvl="1" w:tplc="B994DF5C" w:tentative="1">
      <w:start w:val="1"/>
      <w:numFmt w:val="bullet"/>
      <w:lvlText w:val="•"/>
      <w:lvlJc w:val="left"/>
      <w:pPr>
        <w:tabs>
          <w:tab w:val="num" w:pos="1440"/>
        </w:tabs>
        <w:ind w:left="1440" w:hanging="360"/>
      </w:pPr>
      <w:rPr>
        <w:rFonts w:ascii="Times New Roman" w:hAnsi="Times New Roman" w:hint="default"/>
      </w:rPr>
    </w:lvl>
    <w:lvl w:ilvl="2" w:tplc="8C984A90" w:tentative="1">
      <w:start w:val="1"/>
      <w:numFmt w:val="bullet"/>
      <w:lvlText w:val="•"/>
      <w:lvlJc w:val="left"/>
      <w:pPr>
        <w:tabs>
          <w:tab w:val="num" w:pos="2160"/>
        </w:tabs>
        <w:ind w:left="2160" w:hanging="360"/>
      </w:pPr>
      <w:rPr>
        <w:rFonts w:ascii="Times New Roman" w:hAnsi="Times New Roman" w:hint="default"/>
      </w:rPr>
    </w:lvl>
    <w:lvl w:ilvl="3" w:tplc="C3760BEC" w:tentative="1">
      <w:start w:val="1"/>
      <w:numFmt w:val="bullet"/>
      <w:lvlText w:val="•"/>
      <w:lvlJc w:val="left"/>
      <w:pPr>
        <w:tabs>
          <w:tab w:val="num" w:pos="2880"/>
        </w:tabs>
        <w:ind w:left="2880" w:hanging="360"/>
      </w:pPr>
      <w:rPr>
        <w:rFonts w:ascii="Times New Roman" w:hAnsi="Times New Roman" w:hint="default"/>
      </w:rPr>
    </w:lvl>
    <w:lvl w:ilvl="4" w:tplc="DFC881FC" w:tentative="1">
      <w:start w:val="1"/>
      <w:numFmt w:val="bullet"/>
      <w:lvlText w:val="•"/>
      <w:lvlJc w:val="left"/>
      <w:pPr>
        <w:tabs>
          <w:tab w:val="num" w:pos="3600"/>
        </w:tabs>
        <w:ind w:left="3600" w:hanging="360"/>
      </w:pPr>
      <w:rPr>
        <w:rFonts w:ascii="Times New Roman" w:hAnsi="Times New Roman" w:hint="default"/>
      </w:rPr>
    </w:lvl>
    <w:lvl w:ilvl="5" w:tplc="2B70ADE2" w:tentative="1">
      <w:start w:val="1"/>
      <w:numFmt w:val="bullet"/>
      <w:lvlText w:val="•"/>
      <w:lvlJc w:val="left"/>
      <w:pPr>
        <w:tabs>
          <w:tab w:val="num" w:pos="4320"/>
        </w:tabs>
        <w:ind w:left="4320" w:hanging="360"/>
      </w:pPr>
      <w:rPr>
        <w:rFonts w:ascii="Times New Roman" w:hAnsi="Times New Roman" w:hint="default"/>
      </w:rPr>
    </w:lvl>
    <w:lvl w:ilvl="6" w:tplc="4EE8891E" w:tentative="1">
      <w:start w:val="1"/>
      <w:numFmt w:val="bullet"/>
      <w:lvlText w:val="•"/>
      <w:lvlJc w:val="left"/>
      <w:pPr>
        <w:tabs>
          <w:tab w:val="num" w:pos="5040"/>
        </w:tabs>
        <w:ind w:left="5040" w:hanging="360"/>
      </w:pPr>
      <w:rPr>
        <w:rFonts w:ascii="Times New Roman" w:hAnsi="Times New Roman" w:hint="default"/>
      </w:rPr>
    </w:lvl>
    <w:lvl w:ilvl="7" w:tplc="C9B6E262" w:tentative="1">
      <w:start w:val="1"/>
      <w:numFmt w:val="bullet"/>
      <w:lvlText w:val="•"/>
      <w:lvlJc w:val="left"/>
      <w:pPr>
        <w:tabs>
          <w:tab w:val="num" w:pos="5760"/>
        </w:tabs>
        <w:ind w:left="5760" w:hanging="360"/>
      </w:pPr>
      <w:rPr>
        <w:rFonts w:ascii="Times New Roman" w:hAnsi="Times New Roman" w:hint="default"/>
      </w:rPr>
    </w:lvl>
    <w:lvl w:ilvl="8" w:tplc="8D624C7E" w:tentative="1">
      <w:start w:val="1"/>
      <w:numFmt w:val="bullet"/>
      <w:lvlText w:val="•"/>
      <w:lvlJc w:val="left"/>
      <w:pPr>
        <w:tabs>
          <w:tab w:val="num" w:pos="6480"/>
        </w:tabs>
        <w:ind w:left="6480" w:hanging="360"/>
      </w:pPr>
      <w:rPr>
        <w:rFonts w:ascii="Times New Roman" w:hAnsi="Times New Roman" w:hint="default"/>
      </w:rPr>
    </w:lvl>
  </w:abstractNum>
  <w:num w:numId="1" w16cid:durableId="565795957">
    <w:abstractNumId w:val="0"/>
  </w:num>
  <w:num w:numId="2" w16cid:durableId="106627438">
    <w:abstractNumId w:val="2"/>
  </w:num>
  <w:num w:numId="3" w16cid:durableId="1985549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296"/>
    <w:rsid w:val="002C140D"/>
    <w:rsid w:val="00735148"/>
    <w:rsid w:val="00793296"/>
    <w:rsid w:val="00881032"/>
    <w:rsid w:val="00CB6848"/>
    <w:rsid w:val="00D349AC"/>
    <w:rsid w:val="00EA46B1"/>
    <w:rsid w:val="00ED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8905"/>
  <w15:docId w15:val="{4CCF43EB-EF04-493B-837D-CDCE4721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noteText">
    <w:name w:val="footnote text"/>
    <w:basedOn w:val="Normal"/>
    <w:link w:val="FootnoteTextChar"/>
    <w:uiPriority w:val="99"/>
    <w:semiHidden/>
    <w:unhideWhenUsed/>
    <w:rsid w:val="00881032"/>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881032"/>
    <w:rPr>
      <w:rFonts w:asciiTheme="minorHAnsi" w:eastAsiaTheme="minorHAnsi" w:hAnsiTheme="minorHAnsi" w:cstheme="minorBidi"/>
      <w:sz w:val="20"/>
      <w:szCs w:val="20"/>
    </w:rPr>
  </w:style>
  <w:style w:type="character" w:styleId="FootnoteReference">
    <w:name w:val="footnote reference"/>
    <w:basedOn w:val="DefaultParagraphFont"/>
    <w:uiPriority w:val="99"/>
    <w:unhideWhenUsed/>
    <w:rsid w:val="00881032"/>
    <w:rPr>
      <w:vertAlign w:val="superscript"/>
    </w:rPr>
  </w:style>
  <w:style w:type="character" w:styleId="Hyperlink">
    <w:name w:val="Hyperlink"/>
    <w:basedOn w:val="DefaultParagraphFont"/>
    <w:uiPriority w:val="99"/>
    <w:unhideWhenUsed/>
    <w:rsid w:val="00881032"/>
    <w:rPr>
      <w:color w:val="0563C1" w:themeColor="hyperlink"/>
      <w:u w:val="single"/>
    </w:rPr>
  </w:style>
  <w:style w:type="paragraph" w:styleId="ListParagraph">
    <w:name w:val="List Paragraph"/>
    <w:basedOn w:val="Normal"/>
    <w:uiPriority w:val="34"/>
    <w:qFormat/>
    <w:rsid w:val="00881032"/>
    <w:pPr>
      <w:ind w:left="720"/>
      <w:contextualSpacing/>
    </w:pPr>
    <w:rPr>
      <w:rFonts w:eastAsiaTheme="minorHAnsi" w:cstheme="minorBidi"/>
      <w:kern w:val="2"/>
      <w:sz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92378">
      <w:bodyDiv w:val="1"/>
      <w:marLeft w:val="0"/>
      <w:marRight w:val="0"/>
      <w:marTop w:val="0"/>
      <w:marBottom w:val="0"/>
      <w:divBdr>
        <w:top w:val="none" w:sz="0" w:space="0" w:color="auto"/>
        <w:left w:val="none" w:sz="0" w:space="0" w:color="auto"/>
        <w:bottom w:val="none" w:sz="0" w:space="0" w:color="auto"/>
        <w:right w:val="none" w:sz="0" w:space="0" w:color="auto"/>
      </w:divBdr>
      <w:divsChild>
        <w:div w:id="144207089">
          <w:marLeft w:val="547"/>
          <w:marRight w:val="0"/>
          <w:marTop w:val="0"/>
          <w:marBottom w:val="0"/>
          <w:divBdr>
            <w:top w:val="none" w:sz="0" w:space="0" w:color="auto"/>
            <w:left w:val="none" w:sz="0" w:space="0" w:color="auto"/>
            <w:bottom w:val="none" w:sz="0" w:space="0" w:color="auto"/>
            <w:right w:val="none" w:sz="0" w:space="0" w:color="auto"/>
          </w:divBdr>
        </w:div>
      </w:divsChild>
    </w:div>
    <w:div w:id="575482342">
      <w:bodyDiv w:val="1"/>
      <w:marLeft w:val="0"/>
      <w:marRight w:val="0"/>
      <w:marTop w:val="0"/>
      <w:marBottom w:val="0"/>
      <w:divBdr>
        <w:top w:val="none" w:sz="0" w:space="0" w:color="auto"/>
        <w:left w:val="none" w:sz="0" w:space="0" w:color="auto"/>
        <w:bottom w:val="none" w:sz="0" w:space="0" w:color="auto"/>
        <w:right w:val="none" w:sz="0" w:space="0" w:color="auto"/>
      </w:divBdr>
      <w:divsChild>
        <w:div w:id="146558425">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teamwork.com/blog/retainer-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iiea0TMz3nyLunViBt8UxeUGDw==">CgMxLjA4AHIhMW9qaHRkalA5cDFBYWpodjJ3YkVHemI1Q2FXTGt4cGdx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Nicole Gacheche</cp:lastModifiedBy>
  <cp:revision>4</cp:revision>
  <dcterms:created xsi:type="dcterms:W3CDTF">2024-05-28T20:18:00Z</dcterms:created>
  <dcterms:modified xsi:type="dcterms:W3CDTF">2024-05-28T20:19:00Z</dcterms:modified>
</cp:coreProperties>
</file>