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76C0A" w:rsidRDefault="00E76C0A">
      <w:pPr>
        <w:rPr>
          <w:rFonts w:ascii="Times New Roman" w:hAnsi="Times New Roman" w:cs="Times New Roman"/>
        </w:rPr>
      </w:pPr>
      <w:bookmarkStart w:id="0" w:name="_GoBack"/>
      <w:bookmarkEnd w:id="0"/>
      <w:r>
        <w:rPr>
          <w:rFonts w:ascii="Times New Roman" w:hAnsi="Times New Roman" w:cs="Times New Roman"/>
          <w:b/>
          <w:bCs/>
          <w:sz w:val="28"/>
          <w:szCs w:val="28"/>
        </w:rPr>
        <w:t>Paper on The Advocates disciplinary machinery a. The Advocates Complaints Commission b. The Advocate Disciplinary Committee</w:t>
      </w:r>
    </w:p>
    <w:p w:rsidR="00E76C0A" w:rsidRDefault="00E76C0A">
      <w:pPr>
        <w:rPr>
          <w:rFonts w:ascii="Times New Roman" w:hAnsi="Times New Roman" w:cs="Times New Roman"/>
          <w:color w:val="auto"/>
        </w:rPr>
      </w:pPr>
    </w:p>
    <w:tbl>
      <w:tblPr>
        <w:tblW w:w="10802" w:type="dxa"/>
        <w:jc w:val="center"/>
        <w:tblLayout w:type="fixed"/>
        <w:tblCellMar>
          <w:left w:w="0" w:type="dxa"/>
          <w:right w:w="0" w:type="dxa"/>
        </w:tblCellMar>
        <w:tblLook w:val="0000" w:firstRow="0" w:lastRow="0" w:firstColumn="0" w:lastColumn="0" w:noHBand="0" w:noVBand="0"/>
      </w:tblPr>
      <w:tblGrid>
        <w:gridCol w:w="5401"/>
        <w:gridCol w:w="5401"/>
      </w:tblGrid>
      <w:tr w:rsidR="00E76C0A" w:rsidRPr="00DE6E90">
        <w:trPr>
          <w:tblHeader/>
          <w:jc w:val="center"/>
        </w:trPr>
        <w:tc>
          <w:tcPr>
            <w:tcW w:w="29165" w:type="dxa"/>
            <w:tcBorders>
              <w:top w:val="nil"/>
              <w:left w:val="nil"/>
              <w:bottom w:val="nil"/>
              <w:right w:val="nil"/>
            </w:tcBorders>
            <w:shd w:val="clear" w:color="auto" w:fill="FFFFFF"/>
            <w:vAlign w:val="center"/>
          </w:tcPr>
          <w:p w:rsidR="00E76C0A" w:rsidRPr="00DE6E90" w:rsidRDefault="00E76C0A">
            <w:pPr>
              <w:rPr>
                <w:rFonts w:ascii="Times New Roman" w:hAnsi="Times New Roman" w:cs="Times New Roman"/>
                <w:color w:val="auto"/>
              </w:rPr>
            </w:pPr>
          </w:p>
        </w:tc>
        <w:tc>
          <w:tcPr>
            <w:tcW w:w="29165" w:type="dxa"/>
            <w:tcBorders>
              <w:top w:val="nil"/>
              <w:left w:val="nil"/>
              <w:bottom w:val="nil"/>
              <w:right w:val="nil"/>
            </w:tcBorders>
            <w:shd w:val="clear" w:color="auto" w:fill="FFFFFF"/>
            <w:vAlign w:val="center"/>
          </w:tcPr>
          <w:p w:rsidR="00E76C0A" w:rsidRPr="00DE6E90" w:rsidRDefault="00E76C0A">
            <w:pPr>
              <w:jc w:val="right"/>
              <w:rPr>
                <w:rFonts w:ascii="Times New Roman" w:hAnsi="Times New Roman" w:cs="Times New Roman"/>
              </w:rPr>
            </w:pPr>
          </w:p>
        </w:tc>
      </w:tr>
    </w:tbl>
    <w:p w:rsidR="00E76C0A" w:rsidRDefault="00636F34">
      <w:pPr>
        <w:rPr>
          <w:rFonts w:ascii="Times New Roman" w:hAnsi="Times New Roman" w:cs="Times New Roman"/>
          <w:color w:val="auto"/>
        </w:rPr>
      </w:pPr>
      <w:r>
        <w:rPr>
          <w:noProof/>
        </w:rPr>
        <mc:AlternateContent>
          <mc:Choice Requires="wps">
            <w:drawing>
              <wp:anchor distT="0" distB="0" distL="114300" distR="114300" simplePos="0" relativeHeight="251657728" behindDoc="0" locked="0" layoutInCell="0" allowOverlap="1">
                <wp:simplePos x="0" y="0"/>
                <wp:positionH relativeFrom="margin">
                  <wp:posOffset>0</wp:posOffset>
                </wp:positionH>
                <wp:positionV relativeFrom="paragraph">
                  <wp:posOffset>95250</wp:posOffset>
                </wp:positionV>
                <wp:extent cx="6858000" cy="25400"/>
                <wp:effectExtent l="0" t="0" r="0" b="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25400"/>
                        </a:xfrm>
                        <a:prstGeom prst="rect">
                          <a:avLst/>
                        </a:prstGeom>
                        <a:solidFill>
                          <a:srgbClr val="C0C0C0"/>
                        </a:solidFill>
                        <a:ln w="9525">
                          <a:solidFill>
                            <a:srgbClr val="C0C0C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288FC" id="Rectangle 2" o:spid="_x0000_s1026" style="position:absolute;margin-left:0;margin-top:7.5pt;width:540pt;height:2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" o:allowincell="f" fillcolor="silver" strokecolor="silver">
                <v:path arrowok="t"/>
                <w10:wrap anchorx="margin"/>
              </v:rect>
            </w:pict>
          </mc:Fallback>
        </mc:AlternateConten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NOVEMBER 2015</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b/>
          <w:bCs/>
        </w:rPr>
        <w:t>Introduction</w:t>
      </w:r>
    </w:p>
    <w:p w:rsidR="00E76C0A" w:rsidRDefault="00E76C0A">
      <w:pPr>
        <w:rPr>
          <w:rFonts w:ascii="Times New Roman" w:hAnsi="Times New Roman" w:cs="Times New Roman"/>
        </w:rPr>
      </w:pPr>
      <w:r>
        <w:rPr>
          <w:rFonts w:ascii="Times New Roman" w:hAnsi="Times New Roman" w:cs="Times New Roman"/>
        </w:rPr>
        <w:t>The disciplinary system for advocates in Kenya is found in Part X and Part XI of the Advocates Act (Chapter 16, Laws of Kenya, revised edition 2012). This legislation establishes two institutions, that is, the Advocates’ Complaints Commission and the Advocates’ Disciplinary Tribunal.</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b/>
          <w:bCs/>
        </w:rPr>
        <w:t>Historical Development</w:t>
      </w:r>
    </w:p>
    <w:p w:rsidR="00E76C0A" w:rsidRDefault="00E76C0A">
      <w:pPr>
        <w:rPr>
          <w:rFonts w:ascii="Times New Roman" w:hAnsi="Times New Roman" w:cs="Times New Roman"/>
        </w:rPr>
      </w:pPr>
      <w:r>
        <w:rPr>
          <w:rFonts w:ascii="Times New Roman" w:hAnsi="Times New Roman" w:cs="Times New Roman"/>
        </w:rPr>
        <w:t>The disciplinary regime in Kenya has undergone a metamorphosis at a given historical epoch. The period between 1901 to1949, the legal profession was under an independent regime. The first regulatory regime was placed under the Chief Justice as a measure of control by the public through this office.</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Complaints against advocates were referred to a High Court Judge. This was done by way of an application by the aggrieved person to the Judge for the advocate to show cause why he or she should not be suspended. During this period several amendments were made aimed at limiting the profession to trained advocates. These amendments included the 1906 Legal Practitioners</w:t>
      </w:r>
    </w:p>
    <w:p w:rsidR="00E76C0A" w:rsidRDefault="00E76C0A">
      <w:pPr>
        <w:rPr>
          <w:rFonts w:ascii="Times New Roman" w:hAnsi="Times New Roman" w:cs="Times New Roman"/>
        </w:rPr>
      </w:pPr>
      <w:r>
        <w:rPr>
          <w:rFonts w:ascii="Times New Roman" w:hAnsi="Times New Roman" w:cs="Times New Roman"/>
        </w:rPr>
        <w:t>Act, which forbade applicants who had not been enrolled before an Indian High Court, and notaries public, to practice in East Africa Protectorate. Further amendments in 1911 omitted the licensing of non-lawyers from practicing, while in 1926 the requirements that one must have been a resident of Kenya for the last six months before one is allowed to practice was introduced.</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In 1929 penalties were introduced for wrongfully acting as an advocate. The second regulatory regime ran from the period 1945-1989. Towards the end of the first regulatory regime, specifically around 1935, both the Nairobi Law Society and Mombasa Law Society started agitating for a society replica to that of England. The result of this agitation was the enactment of the Advocates Act and the Law Society of Kenya Act of 1949. These Acts brought the regulation of the profession under self-regulation. The Law Society of Kenya (LSK) was tasked with the role of maintenance and improvement of the standards of conduct of the legal profession, protection of their members and the members of the public as regards their condition of practice among other responsibilities.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Despite these provisions, amendments to the Advocates Act which introduced the Advocates’ Committee and the Remuneration Committee seemed to introduce a limitation on the powers of the society. In the Advocates’ Committee the composition included the Attorney General, the Solicitor General, and three members from the society. Its mandate included hearing of a complaint concerning the conduct of an advocate and filtering the complaints filed before forwarding to the High Court. Similarly, the composition of the Remuneration Committee included five members of the Law Society of Kenya who worked together with the Chief Justice. Its mandate was to enforce or set aside a remuneration agreement, recommend to the Chief Justice the rates of remuneration for both contentious and non-contentious business and </w:t>
      </w:r>
      <w:r>
        <w:rPr>
          <w:rFonts w:ascii="Times New Roman" w:hAnsi="Times New Roman" w:cs="Times New Roman"/>
        </w:rPr>
        <w:lastRenderedPageBreak/>
        <w:t>set the minimum rates to be charged by advocates. The Committee later formulated policy guidelines on issues of conveyance by prohibiting non-lawyers from preparing documents on such transactions.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Following further agitations, the Disciplinary Committee was formed with full executive powers over the disciplinary process. A board of inquiry was established to act as the investigating arm of the Disciplinary Committee. The board consisted of three advocates of not less than five years standing appointed by the Council of the Law Society of Kenya. All complaints to the Disciplinary Committee were forwarded to the boards whose mandate was to inquire into the complaints with a view to either dismiss the complaint if the complaint in their view does not warrant forwarding to the Disciplinary Committee. The board could refer the complaints to the Disciplinary committee.</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Disciplinary Committee would first look at the complaint as forwarded to it and on its own motion determine whether or not there is prima facie case established before it. It may therefore decide to dismiss the case or call the advocate complained against to answer to the complaint.</w:t>
      </w:r>
    </w:p>
    <w:p w:rsidR="00E76C0A" w:rsidRDefault="00E76C0A">
      <w:pPr>
        <w:rPr>
          <w:rFonts w:ascii="Times New Roman" w:hAnsi="Times New Roman" w:cs="Times New Roman"/>
        </w:rPr>
      </w:pPr>
      <w:r>
        <w:rPr>
          <w:rFonts w:ascii="Times New Roman" w:hAnsi="Times New Roman" w:cs="Times New Roman"/>
        </w:rPr>
        <w:t>After the hearing, the advocate maybe acquitted, admonished, fined, or suspended or order struck off the Roll. Appeal lay before a two Judge bench in the High Court.</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An amendment to the Advocates Act in 2012 replaced the Disciplinary Committee with the current Advocates’ Disciplinary Tribunal. In 1989 amendments were made to the Advocates Act wherein the Advocates’ Complaints Commission was established under section 53 as a department within the office of the Attorney General to inquire into complaints against any advocate, firm of advocates or any member or employee thereof. The Commission replaced the board of inquiry therefore bringing back the government at the </w:t>
      </w:r>
      <w:proofErr w:type="spellStart"/>
      <w:r>
        <w:rPr>
          <w:rFonts w:ascii="Times New Roman" w:hAnsi="Times New Roman" w:cs="Times New Roman"/>
        </w:rPr>
        <w:t>center</w:t>
      </w:r>
      <w:proofErr w:type="spellEnd"/>
      <w:r>
        <w:rPr>
          <w:rFonts w:ascii="Times New Roman" w:hAnsi="Times New Roman" w:cs="Times New Roman"/>
        </w:rPr>
        <w:t xml:space="preserve"> of the disciplinary process of the advocates.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This model is that of co-regulation. The Advocates’ Complaints Commission works together with the Advocates’ Disciplinary Tribunal to regulate the conduct of advocates and to </w:t>
      </w:r>
      <w:proofErr w:type="spellStart"/>
      <w:r>
        <w:rPr>
          <w:rFonts w:ascii="Times New Roman" w:hAnsi="Times New Roman" w:cs="Times New Roman"/>
        </w:rPr>
        <w:t>instill</w:t>
      </w:r>
      <w:proofErr w:type="spellEnd"/>
      <w:r>
        <w:rPr>
          <w:rFonts w:ascii="Times New Roman" w:hAnsi="Times New Roman" w:cs="Times New Roman"/>
        </w:rPr>
        <w:t xml:space="preserve"> the </w:t>
      </w:r>
      <w:proofErr w:type="gramStart"/>
      <w:r>
        <w:rPr>
          <w:rFonts w:ascii="Times New Roman" w:hAnsi="Times New Roman" w:cs="Times New Roman"/>
        </w:rPr>
        <w:t>much needed</w:t>
      </w:r>
      <w:proofErr w:type="gramEnd"/>
      <w:r>
        <w:rPr>
          <w:rFonts w:ascii="Times New Roman" w:hAnsi="Times New Roman" w:cs="Times New Roman"/>
        </w:rPr>
        <w:t xml:space="preserve"> discipline in the legal profession in Kenya.</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bCs/>
        </w:rPr>
        <w:t>Advocates’ Complaints Commission</w:t>
      </w:r>
    </w:p>
    <w:p w:rsidR="00E76C0A" w:rsidRDefault="00E76C0A">
      <w:pPr>
        <w:rPr>
          <w:rFonts w:ascii="Times New Roman" w:hAnsi="Times New Roman" w:cs="Times New Roman"/>
        </w:rPr>
      </w:pPr>
      <w:r>
        <w:rPr>
          <w:rFonts w:ascii="Times New Roman" w:hAnsi="Times New Roman" w:cs="Times New Roman"/>
          <w:b/>
          <w:bCs/>
        </w:rPr>
        <w:t>The Structure</w:t>
      </w:r>
    </w:p>
    <w:p w:rsidR="00E76C0A" w:rsidRDefault="00E76C0A">
      <w:pPr>
        <w:rPr>
          <w:rFonts w:ascii="Times New Roman" w:hAnsi="Times New Roman" w:cs="Times New Roman"/>
        </w:rPr>
      </w:pPr>
      <w:r>
        <w:rPr>
          <w:rFonts w:ascii="Times New Roman" w:hAnsi="Times New Roman" w:cs="Times New Roman"/>
        </w:rPr>
        <w:t>The Advocates’ Complaints Commission was established in 1989 and it became operational in 1990. The purpose of its establishment was inter alia; to receive, investigate and prosecute complaints of professional misconduct against advocates, firm of advocates or any member or employees thereof as provided for under section 53 of the Advocates Act.</w:t>
      </w:r>
    </w:p>
    <w:p w:rsidR="00E76C0A" w:rsidRDefault="00E76C0A">
      <w:pPr>
        <w:rPr>
          <w:rFonts w:ascii="Times New Roman" w:hAnsi="Times New Roman" w:cs="Times New Roman"/>
        </w:rPr>
      </w:pPr>
      <w:r>
        <w:rPr>
          <w:rFonts w:ascii="Times New Roman" w:hAnsi="Times New Roman" w:cs="Times New Roman"/>
        </w:rPr>
        <w:t xml:space="preserve">It is a technical department within the Office of the Attorney General situated at </w:t>
      </w:r>
      <w:proofErr w:type="spellStart"/>
      <w:r>
        <w:rPr>
          <w:rFonts w:ascii="Times New Roman" w:hAnsi="Times New Roman" w:cs="Times New Roman"/>
        </w:rPr>
        <w:t>Sheria</w:t>
      </w:r>
      <w:proofErr w:type="spellEnd"/>
      <w:r>
        <w:rPr>
          <w:rFonts w:ascii="Times New Roman" w:hAnsi="Times New Roman" w:cs="Times New Roman"/>
        </w:rPr>
        <w:t xml:space="preserve"> house in Nairobi. Currently the Commission does not have offices outside Nairobi.</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The Commission has two Commissioners who are appointed by the President and who also prescribe remuneration for them. One of the Commissioners is the chair of the Commission. Both Commissioners are advocates of the High Court of Kenya and are qualified to be appointed as a judge of the High Court under Chapter VI of the Constitution. The Secretary is an advocate and the accounting as well as the administrative officer. The Commission is currently made up of </w:t>
      </w:r>
      <w:proofErr w:type="gramStart"/>
      <w:r>
        <w:rPr>
          <w:rFonts w:ascii="Times New Roman" w:hAnsi="Times New Roman" w:cs="Times New Roman"/>
        </w:rPr>
        <w:t>twenty three</w:t>
      </w:r>
      <w:proofErr w:type="gramEnd"/>
      <w:r>
        <w:rPr>
          <w:rFonts w:ascii="Times New Roman" w:hAnsi="Times New Roman" w:cs="Times New Roman"/>
        </w:rPr>
        <w:t xml:space="preserve"> legal officers and seventeen non-legal officers who are appointed by the Attorney General through the Public Service Commission.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Powers and Functions</w:t>
      </w:r>
    </w:p>
    <w:p w:rsidR="00E76C0A" w:rsidRDefault="00E76C0A">
      <w:pPr>
        <w:rPr>
          <w:rFonts w:ascii="Times New Roman" w:hAnsi="Times New Roman" w:cs="Times New Roman"/>
        </w:rPr>
      </w:pPr>
      <w:r>
        <w:rPr>
          <w:rFonts w:ascii="Times New Roman" w:hAnsi="Times New Roman" w:cs="Times New Roman"/>
        </w:rPr>
        <w:lastRenderedPageBreak/>
        <w:t>In accordance with the Advocates’ Act, the Commission’s powers include:</w:t>
      </w:r>
    </w:p>
    <w:p w:rsidR="00E76C0A" w:rsidRDefault="00E76C0A">
      <w:pPr>
        <w:rPr>
          <w:rFonts w:ascii="Times New Roman" w:hAnsi="Times New Roman" w:cs="Times New Roman"/>
        </w:rPr>
      </w:pPr>
      <w:r>
        <w:rPr>
          <w:rFonts w:ascii="Times New Roman" w:hAnsi="Times New Roman" w:cs="Times New Roman"/>
        </w:rPr>
        <w:t>a. to receive and consider complaints against advocates in Kenya</w:t>
      </w:r>
    </w:p>
    <w:p w:rsidR="00E76C0A" w:rsidRDefault="00E76C0A">
      <w:pPr>
        <w:rPr>
          <w:rFonts w:ascii="Times New Roman" w:hAnsi="Times New Roman" w:cs="Times New Roman"/>
        </w:rPr>
      </w:pPr>
      <w:r>
        <w:rPr>
          <w:rFonts w:ascii="Times New Roman" w:hAnsi="Times New Roman" w:cs="Times New Roman"/>
        </w:rPr>
        <w:t>b. to reject the complaint</w:t>
      </w:r>
    </w:p>
    <w:p w:rsidR="00E76C0A" w:rsidRDefault="00E76C0A">
      <w:pPr>
        <w:rPr>
          <w:rFonts w:ascii="Times New Roman" w:hAnsi="Times New Roman" w:cs="Times New Roman"/>
        </w:rPr>
      </w:pPr>
      <w:r>
        <w:rPr>
          <w:rFonts w:ascii="Times New Roman" w:hAnsi="Times New Roman" w:cs="Times New Roman"/>
        </w:rPr>
        <w:t>c. to institute investigations</w:t>
      </w:r>
    </w:p>
    <w:p w:rsidR="00E76C0A" w:rsidRDefault="00E76C0A">
      <w:pPr>
        <w:rPr>
          <w:rFonts w:ascii="Times New Roman" w:hAnsi="Times New Roman" w:cs="Times New Roman"/>
        </w:rPr>
      </w:pPr>
      <w:r>
        <w:rPr>
          <w:rFonts w:ascii="Times New Roman" w:hAnsi="Times New Roman" w:cs="Times New Roman"/>
        </w:rPr>
        <w:t>d. to require any person to assist it in carrying out its duties</w:t>
      </w:r>
    </w:p>
    <w:p w:rsidR="00E76C0A" w:rsidRDefault="00E76C0A">
      <w:pPr>
        <w:rPr>
          <w:rFonts w:ascii="Times New Roman" w:hAnsi="Times New Roman" w:cs="Times New Roman"/>
        </w:rPr>
      </w:pPr>
      <w:r>
        <w:rPr>
          <w:rFonts w:ascii="Times New Roman" w:hAnsi="Times New Roman" w:cs="Times New Roman"/>
        </w:rPr>
        <w:t>e. to summon witnesses in the process of investigations</w:t>
      </w:r>
    </w:p>
    <w:p w:rsidR="00E76C0A" w:rsidRDefault="00E76C0A">
      <w:pPr>
        <w:rPr>
          <w:rFonts w:ascii="Times New Roman" w:hAnsi="Times New Roman" w:cs="Times New Roman"/>
        </w:rPr>
      </w:pPr>
      <w:r>
        <w:rPr>
          <w:rFonts w:ascii="Times New Roman" w:hAnsi="Times New Roman" w:cs="Times New Roman"/>
        </w:rPr>
        <w:t>f. to examine witnesses on oath, to order an advocate to produce all relevant books and documents relating to a matter being investigated</w:t>
      </w:r>
    </w:p>
    <w:p w:rsidR="00E76C0A" w:rsidRDefault="00E76C0A">
      <w:pPr>
        <w:rPr>
          <w:rFonts w:ascii="Times New Roman" w:hAnsi="Times New Roman" w:cs="Times New Roman"/>
        </w:rPr>
      </w:pPr>
      <w:r>
        <w:rPr>
          <w:rFonts w:ascii="Times New Roman" w:hAnsi="Times New Roman" w:cs="Times New Roman"/>
        </w:rPr>
        <w:t>g. to engage an accountant to assist in the investigations of an advocate’s accounts</w:t>
      </w:r>
    </w:p>
    <w:p w:rsidR="00E76C0A" w:rsidRDefault="00E76C0A">
      <w:pPr>
        <w:rPr>
          <w:rFonts w:ascii="Times New Roman" w:hAnsi="Times New Roman" w:cs="Times New Roman"/>
        </w:rPr>
      </w:pPr>
      <w:r>
        <w:rPr>
          <w:rFonts w:ascii="Times New Roman" w:hAnsi="Times New Roman" w:cs="Times New Roman"/>
        </w:rPr>
        <w:t>h. to make such order of award as it shall consider just and proper within</w:t>
      </w:r>
    </w:p>
    <w:p w:rsidR="00E76C0A" w:rsidRDefault="00E76C0A">
      <w:pPr>
        <w:rPr>
          <w:rFonts w:ascii="Times New Roman" w:hAnsi="Times New Roman" w:cs="Times New Roman"/>
        </w:rPr>
      </w:pPr>
      <w:r>
        <w:rPr>
          <w:rFonts w:ascii="Times New Roman" w:hAnsi="Times New Roman" w:cs="Times New Roman"/>
        </w:rPr>
        <w:t>its mandate</w:t>
      </w:r>
    </w:p>
    <w:p w:rsidR="00E76C0A" w:rsidRDefault="00E76C0A">
      <w:pPr>
        <w:rPr>
          <w:rFonts w:ascii="Times New Roman" w:hAnsi="Times New Roman" w:cs="Times New Roman"/>
        </w:rPr>
      </w:pPr>
      <w:proofErr w:type="spellStart"/>
      <w:r>
        <w:rPr>
          <w:rFonts w:ascii="Times New Roman" w:hAnsi="Times New Roman" w:cs="Times New Roman"/>
        </w:rPr>
        <w:t>i</w:t>
      </w:r>
      <w:proofErr w:type="spellEnd"/>
      <w:r>
        <w:rPr>
          <w:rFonts w:ascii="Times New Roman" w:hAnsi="Times New Roman" w:cs="Times New Roman"/>
        </w:rPr>
        <w:t>. to promote reconciliation and facilitate amicable settlement between advocates and their clients</w:t>
      </w:r>
    </w:p>
    <w:p w:rsidR="00E76C0A" w:rsidRDefault="00E76C0A">
      <w:pPr>
        <w:rPr>
          <w:rFonts w:ascii="Times New Roman" w:hAnsi="Times New Roman" w:cs="Times New Roman"/>
        </w:rPr>
      </w:pPr>
      <w:r>
        <w:rPr>
          <w:rFonts w:ascii="Times New Roman" w:hAnsi="Times New Roman" w:cs="Times New Roman"/>
        </w:rPr>
        <w:t>j. to award to the complainant compensation or reimbursement of expenses</w:t>
      </w:r>
    </w:p>
    <w:p w:rsidR="00E76C0A" w:rsidRDefault="00E76C0A">
      <w:pPr>
        <w:rPr>
          <w:rFonts w:ascii="Times New Roman" w:hAnsi="Times New Roman" w:cs="Times New Roman"/>
        </w:rPr>
      </w:pPr>
      <w:r>
        <w:rPr>
          <w:rFonts w:ascii="Times New Roman" w:hAnsi="Times New Roman" w:cs="Times New Roman"/>
        </w:rPr>
        <w:t>k. to order the surrender to the client of all funds or property which the advocate does not dispute</w:t>
      </w:r>
    </w:p>
    <w:p w:rsidR="00E76C0A" w:rsidRDefault="00E76C0A">
      <w:pPr>
        <w:rPr>
          <w:rFonts w:ascii="Times New Roman" w:hAnsi="Times New Roman" w:cs="Times New Roman"/>
        </w:rPr>
      </w:pPr>
      <w:r>
        <w:rPr>
          <w:rFonts w:ascii="Times New Roman" w:hAnsi="Times New Roman" w:cs="Times New Roman"/>
        </w:rPr>
        <w:t>l. to issue a warrant for the levy by distress or sale of the amount of any sum ordered to be paid by it on the immovable property of the person or firm so ordered to pay the compensation</w:t>
      </w:r>
    </w:p>
    <w:p w:rsidR="00E76C0A" w:rsidRDefault="00E76C0A">
      <w:pPr>
        <w:rPr>
          <w:rFonts w:ascii="Times New Roman" w:hAnsi="Times New Roman" w:cs="Times New Roman"/>
        </w:rPr>
      </w:pPr>
      <w:r>
        <w:rPr>
          <w:rFonts w:ascii="Times New Roman" w:hAnsi="Times New Roman" w:cs="Times New Roman"/>
        </w:rPr>
        <w:t>m. to refer complaints to the disciplinary tribunal or refer the complaints to the courts if it considers that they are the most appropriate forum to resolve the dispute; and</w:t>
      </w:r>
    </w:p>
    <w:p w:rsidR="00E76C0A" w:rsidRDefault="00E76C0A">
      <w:pPr>
        <w:rPr>
          <w:rFonts w:ascii="Times New Roman" w:hAnsi="Times New Roman" w:cs="Times New Roman"/>
        </w:rPr>
      </w:pPr>
      <w:r>
        <w:rPr>
          <w:rFonts w:ascii="Times New Roman" w:hAnsi="Times New Roman" w:cs="Times New Roman"/>
        </w:rPr>
        <w:t>n. to take all such steps as it may consider proper and necessary for the purpose of its enquiry.</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Notably, an order made by the Commission is enforceable in the same manner as an order of the court once it is registered with the court. Advocates aggrieved by a decision can appeal to the High Court from any decision of the Commission.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Commission has a duty to publish quarterly reports with regards to its mandate. In addition, the Commission conducts public sensitization programmes in various counties every year to continuously reach out to various stakeholders such as members of the public, advocates, other government departments, political leaders, religious leaders, school teachers, social groups, professional bodies, nongovernmental organizations and the business community in the region.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programme entails public dissemination of information and knowledge of rights and obligations in an advocate-client relationship and the mandate and functions of the Commission. This is in line with the country’s Vision 2030 and a pro-poor approach in development programme of enhancing the rule of law and administration of justice.</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b/>
          <w:bCs/>
        </w:rPr>
        <w:t>Types of Complaints</w:t>
      </w:r>
    </w:p>
    <w:p w:rsidR="00E76C0A" w:rsidRDefault="00E76C0A">
      <w:pPr>
        <w:rPr>
          <w:rFonts w:ascii="Times New Roman" w:hAnsi="Times New Roman" w:cs="Times New Roman"/>
        </w:rPr>
      </w:pPr>
      <w:r>
        <w:rPr>
          <w:rFonts w:ascii="Times New Roman" w:hAnsi="Times New Roman" w:cs="Times New Roman"/>
        </w:rPr>
        <w:t>At the Commission, professional misconduct covers a broad range of acts. These acts are classified as follows: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a. Serious acts of professional misconduct</w:t>
      </w:r>
    </w:p>
    <w:p w:rsidR="00E76C0A" w:rsidRDefault="00E76C0A">
      <w:pPr>
        <w:rPr>
          <w:rFonts w:ascii="Times New Roman" w:hAnsi="Times New Roman" w:cs="Times New Roman"/>
        </w:rPr>
      </w:pPr>
      <w:r>
        <w:rPr>
          <w:rFonts w:ascii="Times New Roman" w:hAnsi="Times New Roman" w:cs="Times New Roman"/>
        </w:rPr>
        <w:t>These are acts which involve a substantial or consistent failure to reach or maintain a reasonable standard or competence and diligence or conduct happening in connection with the practice of law or otherwise that would, if established, justify a finding that the advocate is not a fit and proper person to engage in legal practice.</w:t>
      </w:r>
    </w:p>
    <w:p w:rsidR="00E76C0A" w:rsidRDefault="00E76C0A">
      <w:pPr>
        <w:rPr>
          <w:rFonts w:ascii="Times New Roman" w:hAnsi="Times New Roman" w:cs="Times New Roman"/>
        </w:rPr>
      </w:pPr>
      <w:r>
        <w:rPr>
          <w:rFonts w:ascii="Times New Roman" w:hAnsi="Times New Roman" w:cs="Times New Roman"/>
        </w:rPr>
        <w:t>They include:</w:t>
      </w:r>
    </w:p>
    <w:p w:rsidR="00E76C0A" w:rsidRDefault="00E76C0A">
      <w:pPr>
        <w:rPr>
          <w:rFonts w:ascii="Times New Roman" w:hAnsi="Times New Roman" w:cs="Times New Roman"/>
        </w:rPr>
      </w:pPr>
      <w:r>
        <w:rPr>
          <w:rFonts w:ascii="Times New Roman" w:hAnsi="Times New Roman" w:cs="Times New Roman"/>
        </w:rPr>
        <w:t xml:space="preserve">– Failure to account for or withholding client’s fund which is regarded as a breach of trust in </w:t>
      </w:r>
      <w:r>
        <w:rPr>
          <w:rFonts w:ascii="Times New Roman" w:hAnsi="Times New Roman" w:cs="Times New Roman"/>
        </w:rPr>
        <w:lastRenderedPageBreak/>
        <w:t>the handling of client’s money.</w:t>
      </w:r>
    </w:p>
    <w:p w:rsidR="00E76C0A" w:rsidRDefault="00E76C0A">
      <w:pPr>
        <w:rPr>
          <w:rFonts w:ascii="Times New Roman" w:hAnsi="Times New Roman" w:cs="Times New Roman"/>
        </w:rPr>
      </w:pPr>
      <w:r>
        <w:rPr>
          <w:rFonts w:ascii="Times New Roman" w:hAnsi="Times New Roman" w:cs="Times New Roman"/>
        </w:rPr>
        <w:t xml:space="preserve">– Issuing cheques which are subsequently </w:t>
      </w:r>
      <w:proofErr w:type="spellStart"/>
      <w:r>
        <w:rPr>
          <w:rFonts w:ascii="Times New Roman" w:hAnsi="Times New Roman" w:cs="Times New Roman"/>
        </w:rPr>
        <w:t>dishonored</w:t>
      </w:r>
      <w:proofErr w:type="spellEnd"/>
      <w:r>
        <w:rPr>
          <w:rFonts w:ascii="Times New Roman" w:hAnsi="Times New Roman" w:cs="Times New Roman"/>
        </w:rPr>
        <w:t xml:space="preserve"> which is not only regarded as professional misconduct but also a criminal offence under section 316A of the Penal Code</w:t>
      </w:r>
    </w:p>
    <w:p w:rsidR="00E76C0A" w:rsidRDefault="00E76C0A">
      <w:pPr>
        <w:rPr>
          <w:rFonts w:ascii="Times New Roman" w:hAnsi="Times New Roman" w:cs="Times New Roman"/>
        </w:rPr>
      </w:pPr>
      <w:r>
        <w:rPr>
          <w:rFonts w:ascii="Times New Roman" w:hAnsi="Times New Roman" w:cs="Times New Roman"/>
        </w:rPr>
        <w:t xml:space="preserve">– Failure to </w:t>
      </w:r>
      <w:proofErr w:type="spellStart"/>
      <w:r>
        <w:rPr>
          <w:rFonts w:ascii="Times New Roman" w:hAnsi="Times New Roman" w:cs="Times New Roman"/>
        </w:rPr>
        <w:t>honor</w:t>
      </w:r>
      <w:proofErr w:type="spellEnd"/>
      <w:r>
        <w:rPr>
          <w:rFonts w:ascii="Times New Roman" w:hAnsi="Times New Roman" w:cs="Times New Roman"/>
        </w:rPr>
        <w:t xml:space="preserve"> a professional undertaking deliberately or without any reasonable explanation, in the course of his or her practice.</w:t>
      </w:r>
    </w:p>
    <w:p w:rsidR="00E76C0A" w:rsidRDefault="00E76C0A">
      <w:pPr>
        <w:rPr>
          <w:rFonts w:ascii="Times New Roman" w:hAnsi="Times New Roman" w:cs="Times New Roman"/>
        </w:rPr>
      </w:pPr>
      <w:r>
        <w:rPr>
          <w:rFonts w:ascii="Times New Roman" w:hAnsi="Times New Roman" w:cs="Times New Roman"/>
        </w:rPr>
        <w:t>– Failure to comply with client’s instructions in which he or she is to carry out the duties.</w:t>
      </w:r>
    </w:p>
    <w:p w:rsidR="00E76C0A" w:rsidRDefault="00E76C0A">
      <w:pPr>
        <w:rPr>
          <w:rFonts w:ascii="Times New Roman" w:hAnsi="Times New Roman" w:cs="Times New Roman"/>
        </w:rPr>
      </w:pPr>
      <w:r>
        <w:rPr>
          <w:rFonts w:ascii="Times New Roman" w:hAnsi="Times New Roman" w:cs="Times New Roman"/>
        </w:rPr>
        <w:t>– Overcharging a client on fees contrary to the laid our rules.</w:t>
      </w:r>
    </w:p>
    <w:p w:rsidR="00E76C0A" w:rsidRDefault="00E76C0A">
      <w:pPr>
        <w:rPr>
          <w:rFonts w:ascii="Times New Roman" w:hAnsi="Times New Roman" w:cs="Times New Roman"/>
        </w:rPr>
      </w:pPr>
      <w:r>
        <w:rPr>
          <w:rFonts w:ascii="Times New Roman" w:hAnsi="Times New Roman" w:cs="Times New Roman"/>
        </w:rPr>
        <w:t xml:space="preserve">– Acting in conflict of interest as loyalty to a client is impaired not only by the representation of opposing parties in situations but also in any situation when an advocate may not be able </w:t>
      </w:r>
      <w:proofErr w:type="gramStart"/>
      <w:r>
        <w:rPr>
          <w:rFonts w:ascii="Times New Roman" w:hAnsi="Times New Roman" w:cs="Times New Roman"/>
        </w:rPr>
        <w:t>To</w:t>
      </w:r>
      <w:proofErr w:type="gramEnd"/>
      <w:r>
        <w:rPr>
          <w:rFonts w:ascii="Times New Roman" w:hAnsi="Times New Roman" w:cs="Times New Roman"/>
        </w:rPr>
        <w:t xml:space="preserve"> consider, recommend or carry out an appropriate course of action for one client because of the advocate’s own interests or responsibilities to others.</w:t>
      </w:r>
    </w:p>
    <w:p w:rsidR="00E76C0A" w:rsidRDefault="00E76C0A">
      <w:pPr>
        <w:rPr>
          <w:rFonts w:ascii="Times New Roman" w:hAnsi="Times New Roman" w:cs="Times New Roman"/>
        </w:rPr>
      </w:pPr>
      <w:r>
        <w:rPr>
          <w:rFonts w:ascii="Times New Roman" w:hAnsi="Times New Roman" w:cs="Times New Roman"/>
        </w:rPr>
        <w:t xml:space="preserve">– Any other </w:t>
      </w:r>
      <w:proofErr w:type="spellStart"/>
      <w:r>
        <w:rPr>
          <w:rFonts w:ascii="Times New Roman" w:hAnsi="Times New Roman" w:cs="Times New Roman"/>
        </w:rPr>
        <w:t>behavior</w:t>
      </w:r>
      <w:proofErr w:type="spellEnd"/>
      <w:r>
        <w:rPr>
          <w:rFonts w:ascii="Times New Roman" w:hAnsi="Times New Roman" w:cs="Times New Roman"/>
        </w:rPr>
        <w:t xml:space="preserve"> which may amount to professional misconduct that is dishonest or otherwise discreditable to him or her as an advocate or prejudicial to the administration of justice or likely to diminish public confidence in the legal profession and bring it into disrepute.</w:t>
      </w:r>
    </w:p>
    <w:p w:rsidR="00E76C0A" w:rsidRDefault="00E76C0A">
      <w:pPr>
        <w:rPr>
          <w:rFonts w:ascii="Times New Roman" w:hAnsi="Times New Roman" w:cs="Times New Roman"/>
        </w:rPr>
      </w:pPr>
      <w:r>
        <w:rPr>
          <w:rFonts w:ascii="Times New Roman" w:hAnsi="Times New Roman" w:cs="Times New Roman"/>
        </w:rPr>
        <w:t>– Demanding legal fees from a person who is not a client.</w:t>
      </w:r>
    </w:p>
    <w:p w:rsidR="00E76C0A" w:rsidRDefault="00E76C0A">
      <w:pPr>
        <w:rPr>
          <w:rFonts w:ascii="Times New Roman" w:hAnsi="Times New Roman" w:cs="Times New Roman"/>
        </w:rPr>
      </w:pPr>
      <w:r>
        <w:rPr>
          <w:rFonts w:ascii="Times New Roman" w:hAnsi="Times New Roman" w:cs="Times New Roman"/>
        </w:rPr>
        <w:t>b. Acts of professional misconduct that do not appear to be of an aggravated nature</w:t>
      </w:r>
    </w:p>
    <w:p w:rsidR="00E76C0A" w:rsidRDefault="00E76C0A">
      <w:pPr>
        <w:rPr>
          <w:rFonts w:ascii="Times New Roman" w:hAnsi="Times New Roman" w:cs="Times New Roman"/>
        </w:rPr>
      </w:pPr>
      <w:r>
        <w:rPr>
          <w:rFonts w:ascii="Times New Roman" w:hAnsi="Times New Roman" w:cs="Times New Roman"/>
        </w:rPr>
        <w:t>These are acts which are capable of being resolved amicably between the parties through an alternative dispute resolution process.</w:t>
      </w:r>
    </w:p>
    <w:p w:rsidR="00E76C0A" w:rsidRDefault="00E76C0A">
      <w:pPr>
        <w:rPr>
          <w:rFonts w:ascii="Times New Roman" w:hAnsi="Times New Roman" w:cs="Times New Roman"/>
        </w:rPr>
      </w:pPr>
      <w:r>
        <w:rPr>
          <w:rFonts w:ascii="Times New Roman" w:hAnsi="Times New Roman" w:cs="Times New Roman"/>
        </w:rPr>
        <w:t>They include:</w:t>
      </w:r>
    </w:p>
    <w:p w:rsidR="00E76C0A" w:rsidRDefault="00E76C0A">
      <w:pPr>
        <w:rPr>
          <w:rFonts w:ascii="Times New Roman" w:hAnsi="Times New Roman" w:cs="Times New Roman"/>
        </w:rPr>
      </w:pPr>
      <w:r>
        <w:rPr>
          <w:rFonts w:ascii="Times New Roman" w:hAnsi="Times New Roman" w:cs="Times New Roman"/>
        </w:rPr>
        <w:t>– Failure to keep clients informed of their matters to the extent that is reasonably necessary to permit the client to make informed decisions regarding the representation.</w:t>
      </w:r>
    </w:p>
    <w:p w:rsidR="00E76C0A" w:rsidRDefault="00E76C0A">
      <w:pPr>
        <w:rPr>
          <w:rFonts w:ascii="Times New Roman" w:hAnsi="Times New Roman" w:cs="Times New Roman"/>
        </w:rPr>
      </w:pPr>
      <w:r>
        <w:rPr>
          <w:rFonts w:ascii="Times New Roman" w:hAnsi="Times New Roman" w:cs="Times New Roman"/>
        </w:rPr>
        <w:t>– Delay by an advocate to prosecute or finalize a client’s matter which inhibits the achievement of an expeditious and timely resolution of a dispute.</w:t>
      </w:r>
    </w:p>
    <w:p w:rsidR="00E76C0A" w:rsidRDefault="00E76C0A">
      <w:pPr>
        <w:rPr>
          <w:rFonts w:ascii="Times New Roman" w:hAnsi="Times New Roman" w:cs="Times New Roman"/>
        </w:rPr>
      </w:pPr>
      <w:r>
        <w:rPr>
          <w:rFonts w:ascii="Times New Roman" w:hAnsi="Times New Roman" w:cs="Times New Roman"/>
        </w:rPr>
        <w:t>– Failure to reply to correspondence from the Commission or other professional colleagues.</w:t>
      </w:r>
    </w:p>
    <w:p w:rsidR="00E76C0A" w:rsidRDefault="00E76C0A">
      <w:pPr>
        <w:rPr>
          <w:rFonts w:ascii="Times New Roman" w:hAnsi="Times New Roman" w:cs="Times New Roman"/>
        </w:rPr>
      </w:pPr>
      <w:r>
        <w:rPr>
          <w:rFonts w:ascii="Times New Roman" w:hAnsi="Times New Roman" w:cs="Times New Roman"/>
        </w:rPr>
        <w:t>– Failure to release files or documents belonging to a client unless the same were previously provided to the client or otherwise agreed with the client.</w:t>
      </w:r>
    </w:p>
    <w:p w:rsidR="00E76C0A" w:rsidRDefault="00E76C0A">
      <w:pPr>
        <w:rPr>
          <w:rFonts w:ascii="Times New Roman" w:hAnsi="Times New Roman" w:cs="Times New Roman"/>
        </w:rPr>
      </w:pPr>
      <w:r>
        <w:rPr>
          <w:rFonts w:ascii="Times New Roman" w:hAnsi="Times New Roman" w:cs="Times New Roman"/>
        </w:rPr>
        <w:t>– Failure to attend court on the day that the time appointed without any proper explanation.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b/>
          <w:bCs/>
        </w:rPr>
        <w:t>The Procedure for Handling Complaints</w:t>
      </w:r>
    </w:p>
    <w:p w:rsidR="00E76C0A" w:rsidRDefault="00E76C0A">
      <w:pPr>
        <w:rPr>
          <w:rFonts w:ascii="Times New Roman" w:hAnsi="Times New Roman" w:cs="Times New Roman"/>
        </w:rPr>
      </w:pPr>
      <w:r>
        <w:rPr>
          <w:rFonts w:ascii="Times New Roman" w:hAnsi="Times New Roman" w:cs="Times New Roman"/>
        </w:rPr>
        <w:t xml:space="preserve">Complaints at the Commission are made in writing through a specifically designed help form or through a letter. The complaints are then </w:t>
      </w:r>
      <w:proofErr w:type="gramStart"/>
      <w:r>
        <w:rPr>
          <w:rFonts w:ascii="Times New Roman" w:hAnsi="Times New Roman" w:cs="Times New Roman"/>
        </w:rPr>
        <w:t>processes</w:t>
      </w:r>
      <w:proofErr w:type="gramEnd"/>
      <w:r>
        <w:rPr>
          <w:rFonts w:ascii="Times New Roman" w:hAnsi="Times New Roman" w:cs="Times New Roman"/>
        </w:rPr>
        <w:t xml:space="preserve"> through the various divisions within the Commission, namely;</w:t>
      </w:r>
    </w:p>
    <w:p w:rsidR="00E76C0A" w:rsidRDefault="00E76C0A">
      <w:pPr>
        <w:rPr>
          <w:rFonts w:ascii="Times New Roman" w:hAnsi="Times New Roman" w:cs="Times New Roman"/>
        </w:rPr>
      </w:pPr>
      <w:r>
        <w:rPr>
          <w:rFonts w:ascii="Times New Roman" w:hAnsi="Times New Roman" w:cs="Times New Roman"/>
        </w:rPr>
        <w:t>1. Intake, Screening and Review Division</w:t>
      </w:r>
    </w:p>
    <w:p w:rsidR="00E76C0A" w:rsidRDefault="00E76C0A">
      <w:pPr>
        <w:rPr>
          <w:rFonts w:ascii="Times New Roman" w:hAnsi="Times New Roman" w:cs="Times New Roman"/>
        </w:rPr>
      </w:pPr>
      <w:r>
        <w:rPr>
          <w:rFonts w:ascii="Times New Roman" w:hAnsi="Times New Roman" w:cs="Times New Roman"/>
        </w:rPr>
        <w:t>2. Investigation Division</w:t>
      </w:r>
    </w:p>
    <w:p w:rsidR="00E76C0A" w:rsidRDefault="00E76C0A">
      <w:pPr>
        <w:rPr>
          <w:rFonts w:ascii="Times New Roman" w:hAnsi="Times New Roman" w:cs="Times New Roman"/>
        </w:rPr>
      </w:pPr>
      <w:r>
        <w:rPr>
          <w:rFonts w:ascii="Times New Roman" w:hAnsi="Times New Roman" w:cs="Times New Roman"/>
        </w:rPr>
        <w:t>3. Prosecution Division</w:t>
      </w:r>
    </w:p>
    <w:p w:rsidR="00E76C0A" w:rsidRDefault="00E76C0A">
      <w:pPr>
        <w:rPr>
          <w:rFonts w:ascii="Times New Roman" w:hAnsi="Times New Roman" w:cs="Times New Roman"/>
        </w:rPr>
      </w:pPr>
      <w:r>
        <w:rPr>
          <w:rFonts w:ascii="Times New Roman" w:hAnsi="Times New Roman" w:cs="Times New Roman"/>
        </w:rPr>
        <w:t>4. Alternative Dispute Resolution Division</w:t>
      </w:r>
    </w:p>
    <w:p w:rsidR="00E76C0A" w:rsidRDefault="00E76C0A">
      <w:pPr>
        <w:rPr>
          <w:rFonts w:ascii="Times New Roman" w:hAnsi="Times New Roman" w:cs="Times New Roman"/>
        </w:rPr>
      </w:pPr>
      <w:r>
        <w:rPr>
          <w:rFonts w:ascii="Times New Roman" w:hAnsi="Times New Roman" w:cs="Times New Roman"/>
        </w:rPr>
        <w:t>5. Research, Library and Outreach Division</w:t>
      </w:r>
    </w:p>
    <w:p w:rsidR="00E76C0A" w:rsidRDefault="00E76C0A">
      <w:pPr>
        <w:rPr>
          <w:rFonts w:ascii="Times New Roman" w:hAnsi="Times New Roman" w:cs="Times New Roman"/>
        </w:rPr>
      </w:pPr>
      <w:r>
        <w:rPr>
          <w:rFonts w:ascii="Times New Roman" w:hAnsi="Times New Roman" w:cs="Times New Roman"/>
        </w:rPr>
        <w:t>6. Central Registry</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reason for the divisions was to ensure effectiveness and efficiency in the handling of complaints at the Commission. It entailed breaking down the organization into different functions and processes in order to improve coordination and developed specialized teams.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1. Intake, Screening and Review Division</w:t>
      </w:r>
    </w:p>
    <w:p w:rsidR="00E76C0A" w:rsidRDefault="00E76C0A">
      <w:pPr>
        <w:rPr>
          <w:rFonts w:ascii="Times New Roman" w:hAnsi="Times New Roman" w:cs="Times New Roman"/>
        </w:rPr>
      </w:pPr>
      <w:r>
        <w:rPr>
          <w:rFonts w:ascii="Times New Roman" w:hAnsi="Times New Roman" w:cs="Times New Roman"/>
        </w:rPr>
        <w:t xml:space="preserve">In this division complaints are </w:t>
      </w:r>
      <w:proofErr w:type="spellStart"/>
      <w:r>
        <w:rPr>
          <w:rFonts w:ascii="Times New Roman" w:hAnsi="Times New Roman" w:cs="Times New Roman"/>
        </w:rPr>
        <w:t>analyzed</w:t>
      </w:r>
      <w:proofErr w:type="spellEnd"/>
      <w:r>
        <w:rPr>
          <w:rFonts w:ascii="Times New Roman" w:hAnsi="Times New Roman" w:cs="Times New Roman"/>
        </w:rPr>
        <w:t xml:space="preserve"> to determine whether they fall within the mandate of the Commission and whether there is sufficient evidence to support the complaint. The division is made up of five state counsels who receive an average of one hundred and fifty (150) complaints in a month which translates to thirty (30) complaints per month per counsel (Advocates’ Complaints Commission research report, 2014). This clearly shows that there are </w:t>
      </w:r>
      <w:r>
        <w:rPr>
          <w:rFonts w:ascii="Times New Roman" w:hAnsi="Times New Roman" w:cs="Times New Roman"/>
        </w:rPr>
        <w:lastRenderedPageBreak/>
        <w:t>insufficient state counsels in the division to support the workload.</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It was notable that there is no method of tracking where a file </w:t>
      </w:r>
      <w:proofErr w:type="gramStart"/>
      <w:r>
        <w:rPr>
          <w:rFonts w:ascii="Times New Roman" w:hAnsi="Times New Roman" w:cs="Times New Roman"/>
        </w:rPr>
        <w:t>is</w:t>
      </w:r>
      <w:proofErr w:type="gramEnd"/>
      <w:r>
        <w:rPr>
          <w:rFonts w:ascii="Times New Roman" w:hAnsi="Times New Roman" w:cs="Times New Roman"/>
        </w:rPr>
        <w:t xml:space="preserve"> or the progress made on that file. This is mainly because each of the state counsels in the division have a cabinet where they keep the files they are handling such that the files are not easily traceable by other members of staff especially when a counsel in possession of a particular file that is needed is away. This means that when a complainant visits the office to make an inquiry about his or her file they sometimes cannot be given the required information and it is also difficult for incoming letters or documents to be filed in their respective files.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2. Investigation Division</w:t>
      </w:r>
    </w:p>
    <w:p w:rsidR="00E76C0A" w:rsidRDefault="00E76C0A">
      <w:pPr>
        <w:rPr>
          <w:rFonts w:ascii="Times New Roman" w:hAnsi="Times New Roman" w:cs="Times New Roman"/>
        </w:rPr>
      </w:pPr>
      <w:r>
        <w:rPr>
          <w:rFonts w:ascii="Times New Roman" w:hAnsi="Times New Roman" w:cs="Times New Roman"/>
        </w:rPr>
        <w:t>Investigation in this division entails seeking information from other people or institutions as to the nature of the complaint. The investigation team is made up of three state counsels and two policemen. They receive an average of one hundred files per month from the intake, review and screening division.</w:t>
      </w:r>
    </w:p>
    <w:p w:rsidR="00E76C0A" w:rsidRDefault="00E76C0A">
      <w:pPr>
        <w:rPr>
          <w:rFonts w:ascii="Times New Roman" w:hAnsi="Times New Roman" w:cs="Times New Roman"/>
        </w:rPr>
      </w:pPr>
      <w:r>
        <w:rPr>
          <w:rFonts w:ascii="Times New Roman" w:hAnsi="Times New Roman" w:cs="Times New Roman"/>
        </w:rPr>
        <w:t xml:space="preserve">Notably the number of </w:t>
      </w:r>
      <w:proofErr w:type="gramStart"/>
      <w:r>
        <w:rPr>
          <w:rFonts w:ascii="Times New Roman" w:hAnsi="Times New Roman" w:cs="Times New Roman"/>
        </w:rPr>
        <w:t>staff</w:t>
      </w:r>
      <w:proofErr w:type="gramEnd"/>
      <w:r>
        <w:rPr>
          <w:rFonts w:ascii="Times New Roman" w:hAnsi="Times New Roman" w:cs="Times New Roman"/>
        </w:rPr>
        <w:t xml:space="preserve"> in the division is insufficient to deal with the workload. This contributes to the delay in obtaining the necessary information so as to deal with a complaint. It was also, observed that many advocates and some institutions make no response to the Commission’s letters. Some advocates sometimes indicate that they will seek to resolve the matter and then fail to do so. This suggests that many advocates and some institutions either do not take the Commission seriously or have no answer to the complaint. This also contributes</w:t>
      </w:r>
    </w:p>
    <w:p w:rsidR="00E76C0A" w:rsidRDefault="00E76C0A">
      <w:pPr>
        <w:rPr>
          <w:rFonts w:ascii="Times New Roman" w:hAnsi="Times New Roman" w:cs="Times New Roman"/>
        </w:rPr>
      </w:pPr>
      <w:r>
        <w:rPr>
          <w:rFonts w:ascii="Times New Roman" w:hAnsi="Times New Roman" w:cs="Times New Roman"/>
        </w:rPr>
        <w:t>to the backlog of cases at the Commission as some cases are not dealt with owing to lack of information.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3. Prosecution Division</w:t>
      </w:r>
    </w:p>
    <w:p w:rsidR="00E76C0A" w:rsidRDefault="00E76C0A">
      <w:pPr>
        <w:rPr>
          <w:rFonts w:ascii="Times New Roman" w:hAnsi="Times New Roman" w:cs="Times New Roman"/>
        </w:rPr>
      </w:pPr>
      <w:r>
        <w:rPr>
          <w:rFonts w:ascii="Times New Roman" w:hAnsi="Times New Roman" w:cs="Times New Roman"/>
        </w:rPr>
        <w:t xml:space="preserve">The prosecution division is made up of a team of six state counsels, who upon receipt of a complaint </w:t>
      </w:r>
      <w:proofErr w:type="spellStart"/>
      <w:r>
        <w:rPr>
          <w:rFonts w:ascii="Times New Roman" w:hAnsi="Times New Roman" w:cs="Times New Roman"/>
        </w:rPr>
        <w:t>analyze</w:t>
      </w:r>
      <w:proofErr w:type="spellEnd"/>
      <w:r>
        <w:rPr>
          <w:rFonts w:ascii="Times New Roman" w:hAnsi="Times New Roman" w:cs="Times New Roman"/>
        </w:rPr>
        <w:t xml:space="preserve"> the evidence provided and prepare an affidavit charge which formally accuses the advocate of committing a specific offence.</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On average the team receives sixteen (16) complaints in a week which translates to about </w:t>
      </w:r>
      <w:proofErr w:type="gramStart"/>
      <w:r>
        <w:rPr>
          <w:rFonts w:ascii="Times New Roman" w:hAnsi="Times New Roman" w:cs="Times New Roman"/>
        </w:rPr>
        <w:t>sixty four</w:t>
      </w:r>
      <w:proofErr w:type="gramEnd"/>
      <w:r>
        <w:rPr>
          <w:rFonts w:ascii="Times New Roman" w:hAnsi="Times New Roman" w:cs="Times New Roman"/>
        </w:rPr>
        <w:t xml:space="preserve"> (64) complaints in a month. In addition to preparing the charges the state counsels attend the disciplinary tribunal weekly to prosecute the cases filed. It was reported that each state counsel in the division prosecutes an average of ten (10) files every week. This draws serious concern because the preparation of a charge as well as the prosecution of cases requires sufficient time and analysis and the number of </w:t>
      </w:r>
      <w:proofErr w:type="gramStart"/>
      <w:r>
        <w:rPr>
          <w:rFonts w:ascii="Times New Roman" w:hAnsi="Times New Roman" w:cs="Times New Roman"/>
        </w:rPr>
        <w:t>staff</w:t>
      </w:r>
      <w:proofErr w:type="gramEnd"/>
      <w:r>
        <w:rPr>
          <w:rFonts w:ascii="Times New Roman" w:hAnsi="Times New Roman" w:cs="Times New Roman"/>
        </w:rPr>
        <w:t xml:space="preserve"> therein are clearly insufficient to be able to provide quality service. This means that the standard of performance of many prosecutions before the tribunal is low and, in particular, many of the prosecutors are usually not well prepared to handle the cases leading to unnecessary adjournments, causing further delay.</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4. Alternative Dispute Resolution Division</w:t>
      </w:r>
    </w:p>
    <w:p w:rsidR="00E76C0A" w:rsidRDefault="00E76C0A">
      <w:pPr>
        <w:rPr>
          <w:rFonts w:ascii="Times New Roman" w:hAnsi="Times New Roman" w:cs="Times New Roman"/>
        </w:rPr>
      </w:pPr>
      <w:r>
        <w:rPr>
          <w:rFonts w:ascii="Times New Roman" w:hAnsi="Times New Roman" w:cs="Times New Roman"/>
        </w:rPr>
        <w:t>Complaints that are considered not to be of an aggravated nature are forwarded to this division, to try and resolve them amicably between the parties through the In-House Dispute Resolution (IHDR) mechanism as mandated by Section 53 (5) of the Advocates Act (Chapter 16, Laws of Kenya, revised edition 2012).</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IHDR mechanism is a homegrown version of the Alternative Dispute Resolution (ADR) mechanism which is now mandated by the Constitution of Kenya, 2010 under Article 159 (c)</w:t>
      </w:r>
    </w:p>
    <w:p w:rsidR="00E76C0A" w:rsidRDefault="00E76C0A">
      <w:pPr>
        <w:rPr>
          <w:rFonts w:ascii="Times New Roman" w:hAnsi="Times New Roman" w:cs="Times New Roman"/>
        </w:rPr>
      </w:pPr>
      <w:r>
        <w:rPr>
          <w:rFonts w:ascii="Times New Roman" w:hAnsi="Times New Roman" w:cs="Times New Roman"/>
        </w:rPr>
        <w:t xml:space="preserve">This division is made up of three state counsels and one of the Commissioners as the chair. </w:t>
      </w:r>
      <w:r>
        <w:rPr>
          <w:rFonts w:ascii="Times New Roman" w:hAnsi="Times New Roman" w:cs="Times New Roman"/>
        </w:rPr>
        <w:lastRenderedPageBreak/>
        <w:t>They receive an average of twenty (20) complaints per week for resolution through the IHDR mechanism.</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In addition to this, the Commission conducts the IHDR sessions at the county level every year. This activity is aimed at reducing the number of pending complaints at county level and is in line with the government’s policy objective of decentralization of service delivery and it also forms part of the Commission’s contracted performance targets. Usually, the Commission handles an average of forty (40) files in the counties per quarter which translates to about one hundred and sixty files in a year. This large number of complaints cannot possibly be handled by a team of four. This process is voluntary and is supposed to be confidential. However, many advocates are reluctant to have their matters sorted out through the process and even where they agree to do so they do not take the process seriously and in some </w:t>
      </w:r>
      <w:proofErr w:type="gramStart"/>
      <w:r>
        <w:rPr>
          <w:rFonts w:ascii="Times New Roman" w:hAnsi="Times New Roman" w:cs="Times New Roman"/>
        </w:rPr>
        <w:t>cases</w:t>
      </w:r>
      <w:proofErr w:type="gramEnd"/>
      <w:r>
        <w:rPr>
          <w:rFonts w:ascii="Times New Roman" w:hAnsi="Times New Roman" w:cs="Times New Roman"/>
        </w:rPr>
        <w:t xml:space="preserve"> they fail to comply with the agreement reached between them and the parties. The commission also lacks a proper room to conduct the sessions hence the issue of confidentiality is compromised.</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5. Research, Library and Outreach Division</w:t>
      </w:r>
    </w:p>
    <w:p w:rsidR="00E76C0A" w:rsidRDefault="00E76C0A">
      <w:pPr>
        <w:rPr>
          <w:rFonts w:ascii="Times New Roman" w:hAnsi="Times New Roman" w:cs="Times New Roman"/>
        </w:rPr>
      </w:pPr>
      <w:r>
        <w:rPr>
          <w:rFonts w:ascii="Times New Roman" w:hAnsi="Times New Roman" w:cs="Times New Roman"/>
        </w:rPr>
        <w:t>This division is tasked with managing the research division, undertaking research in diverse areas regarding the Commission’s work, reviewing existing and proposed legislation and preparing advisory proposals on the same to the policy makers and other stakeholders, providing background/supportive research to other divisions within the Commission, establishing a centralized library service within the Commission and gathering of library materials, organizing the Commission’s public awareness meetings in various counties and identifying and creating partnerships.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6. Central Registry</w:t>
      </w:r>
    </w:p>
    <w:p w:rsidR="00E76C0A" w:rsidRDefault="00E76C0A">
      <w:pPr>
        <w:rPr>
          <w:rFonts w:ascii="Times New Roman" w:hAnsi="Times New Roman" w:cs="Times New Roman"/>
        </w:rPr>
      </w:pPr>
      <w:r>
        <w:rPr>
          <w:rFonts w:ascii="Times New Roman" w:hAnsi="Times New Roman" w:cs="Times New Roman"/>
        </w:rPr>
        <w:t xml:space="preserve">The central registry is made up of clerical officers, secretaries and the support staff </w:t>
      </w:r>
      <w:proofErr w:type="spellStart"/>
      <w:r>
        <w:rPr>
          <w:rFonts w:ascii="Times New Roman" w:hAnsi="Times New Roman" w:cs="Times New Roman"/>
        </w:rPr>
        <w:t>totaling</w:t>
      </w:r>
      <w:proofErr w:type="spellEnd"/>
      <w:r>
        <w:rPr>
          <w:rFonts w:ascii="Times New Roman" w:hAnsi="Times New Roman" w:cs="Times New Roman"/>
        </w:rPr>
        <w:t xml:space="preserve"> seventeen employees. Their role include receiving clients, registering complaints, maintain the Commission’s files, filing documents, dispatching correspondences, dealing with the stationery, typing work and other requirements of the </w:t>
      </w:r>
      <w:proofErr w:type="gramStart"/>
      <w:r>
        <w:rPr>
          <w:rFonts w:ascii="Times New Roman" w:hAnsi="Times New Roman" w:cs="Times New Roman"/>
        </w:rPr>
        <w:t>office .</w:t>
      </w:r>
      <w:proofErr w:type="gramEnd"/>
    </w:p>
    <w:p w:rsidR="00E76C0A" w:rsidRDefault="00E76C0A">
      <w:pPr>
        <w:rPr>
          <w:rFonts w:ascii="Times New Roman" w:hAnsi="Times New Roman" w:cs="Times New Roman"/>
        </w:rPr>
      </w:pPr>
      <w:r>
        <w:rPr>
          <w:rFonts w:ascii="Times New Roman" w:hAnsi="Times New Roman" w:cs="Times New Roman"/>
        </w:rPr>
        <w:t xml:space="preserve">B. </w:t>
      </w:r>
      <w:r>
        <w:rPr>
          <w:rFonts w:ascii="Times New Roman" w:hAnsi="Times New Roman" w:cs="Times New Roman"/>
          <w:b/>
          <w:bCs/>
        </w:rPr>
        <w:t>Advocates’ Disciplinary Tribunal</w:t>
      </w:r>
    </w:p>
    <w:p w:rsidR="00E76C0A" w:rsidRDefault="00E76C0A">
      <w:pPr>
        <w:rPr>
          <w:rFonts w:ascii="Times New Roman" w:hAnsi="Times New Roman" w:cs="Times New Roman"/>
        </w:rPr>
      </w:pPr>
      <w:r>
        <w:rPr>
          <w:rFonts w:ascii="Times New Roman" w:hAnsi="Times New Roman" w:cs="Times New Roman"/>
          <w:b/>
          <w:bCs/>
        </w:rPr>
        <w:t>The Structure</w:t>
      </w:r>
    </w:p>
    <w:p w:rsidR="00E76C0A" w:rsidRDefault="00E76C0A">
      <w:pPr>
        <w:rPr>
          <w:rFonts w:ascii="Times New Roman" w:hAnsi="Times New Roman" w:cs="Times New Roman"/>
        </w:rPr>
      </w:pPr>
      <w:r>
        <w:rPr>
          <w:rFonts w:ascii="Times New Roman" w:hAnsi="Times New Roman" w:cs="Times New Roman"/>
        </w:rPr>
        <w:t>The Advocates’ Disciplinary Tribunal is established under section 57 of the Advocates Act (Chapter 16, Laws of Kenya, revised edition 2012). It is a judicial body which hears complaints against advocates on matters relating to professional misconduct. It consists of the Attorney-General who is the chair of the Tribunal, the Director of Public Prosecutions, the Solicitor-General or a person deputed by the Attorney-General and six advocates (other than the chairman, vice-chairman or secretary of the Society), of not less than ten years standing, one of whom shall be an advocate who does not ordinarily practice in Nairobi, all of whom shall be elected and shall hold office for three years and be eligible for re-election. At any one time the Tribunal may have a quorum of either three or five members. It sits largely as a court but with a bit of relaxation regarding the strict rules of evidence.</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secretary of the Law Society of Kenya is also the secretary of the Tribunal. The Tribunal only sits three times in a month, only on Mondays, at the professional centre building which is located along Parliament road in Nairobi</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Powers and Functions</w:t>
      </w:r>
    </w:p>
    <w:p w:rsidR="00E76C0A" w:rsidRDefault="00E76C0A">
      <w:pPr>
        <w:rPr>
          <w:rFonts w:ascii="Times New Roman" w:hAnsi="Times New Roman" w:cs="Times New Roman"/>
        </w:rPr>
      </w:pPr>
      <w:r>
        <w:rPr>
          <w:rFonts w:ascii="Times New Roman" w:hAnsi="Times New Roman" w:cs="Times New Roman"/>
        </w:rPr>
        <w:t xml:space="preserve">The Tribunal hears and determines any charge against an advocate, a firm of advocates or any employee thereof that is made to it by the Advocates’ Complaints Commission or the Law </w:t>
      </w:r>
      <w:r>
        <w:rPr>
          <w:rFonts w:ascii="Times New Roman" w:hAnsi="Times New Roman" w:cs="Times New Roman"/>
        </w:rPr>
        <w:lastRenderedPageBreak/>
        <w:t>Society of Kenya or any person who has a complaint against an advocate; hears and determines any application made by a person for the restoration of his or her name to the roll of advocates and hears and determines any application made by a person for the revocation of an order.</w:t>
      </w:r>
    </w:p>
    <w:p w:rsidR="00E76C0A" w:rsidRDefault="00E76C0A">
      <w:pPr>
        <w:rPr>
          <w:rFonts w:ascii="Times New Roman" w:hAnsi="Times New Roman" w:cs="Times New Roman"/>
        </w:rPr>
      </w:pPr>
      <w:r>
        <w:rPr>
          <w:rFonts w:ascii="Times New Roman" w:hAnsi="Times New Roman" w:cs="Times New Roman"/>
        </w:rPr>
        <w:t>The Tribunal also has powers to tax an advocate/client bill of costs, reprimand an advocate, order an advocate to pay a fine, suspend an advocate from practice for a period of time and strike off an advocate from the roll of advocates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b/>
          <w:bCs/>
        </w:rPr>
        <w:t>Proceedings before the Tribunal</w:t>
      </w:r>
    </w:p>
    <w:p w:rsidR="00E76C0A" w:rsidRDefault="00E76C0A">
      <w:pPr>
        <w:rPr>
          <w:rFonts w:ascii="Times New Roman" w:hAnsi="Times New Roman" w:cs="Times New Roman"/>
        </w:rPr>
      </w:pPr>
      <w:r>
        <w:rPr>
          <w:rFonts w:ascii="Times New Roman" w:hAnsi="Times New Roman" w:cs="Times New Roman"/>
        </w:rPr>
        <w:t>The tribunal hears all aspects of a prosecution and a typical meeting begins with the consideration of pleas in respect of the latest cases. A date is then set for the hearing following which the matter is heard then a date for judgment given. Once a judgment has been made the matter is listed for mitigation and sentencing (</w:t>
      </w:r>
      <w:proofErr w:type="spellStart"/>
      <w:r>
        <w:rPr>
          <w:rFonts w:ascii="Times New Roman" w:hAnsi="Times New Roman" w:cs="Times New Roman"/>
        </w:rPr>
        <w:t>Wanjama</w:t>
      </w:r>
      <w:proofErr w:type="spellEnd"/>
      <w:r>
        <w:rPr>
          <w:rFonts w:ascii="Times New Roman" w:hAnsi="Times New Roman" w:cs="Times New Roman"/>
        </w:rPr>
        <w:t>, 2013).</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Usually, in a case where the advocate is found guilty, the matter comes before the tribunal four times. Where an advocate was absent at the plea stage the tribunal, if satisfied that the advocate was properly served, enters a plea of not guilty. If the advocate is absent at the hearings, the tribunal generally adjourns the matter. It was noted that the same panel hears each stage of the complaint. Where one of the members is absent, the matter is ordinarily adjourned. The members of the tribunal are made up of practicing advocates running their own private law firms and are sometimes quite busy. This leads to a situation whereby some members are unable to some of the Sittings due to pressure from their other duties.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Although an appeal procedure is prescribed by the Advocates Act (Chapter 16, Laws of Kenya, revised edition 2012), many accused </w:t>
      </w:r>
      <w:proofErr w:type="gramStart"/>
      <w:r>
        <w:rPr>
          <w:rFonts w:ascii="Times New Roman" w:hAnsi="Times New Roman" w:cs="Times New Roman"/>
        </w:rPr>
        <w:t>advocate</w:t>
      </w:r>
      <w:proofErr w:type="gramEnd"/>
      <w:r>
        <w:rPr>
          <w:rFonts w:ascii="Times New Roman" w:hAnsi="Times New Roman" w:cs="Times New Roman"/>
        </w:rPr>
        <w:t xml:space="preserve"> seek judicial review of the findings of the tribunal rather than an appeal. The advantage of the same is that they can get to ask the court to stay the sentence which is more often than not granted then fail to prosecute the judicial review and the same remains pending for years. This same right of appeal is not extended to the Complainant who if dissatisfied with the decision of the tribunal he or she is forced to accept it.</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b/>
          <w:bCs/>
        </w:rPr>
        <w:t>Case Analysis and Discussion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(a) In the matter of a business man vs. an advocate (2006) ACC</w:t>
      </w:r>
    </w:p>
    <w:p w:rsidR="00E76C0A" w:rsidRDefault="00E76C0A">
      <w:pPr>
        <w:rPr>
          <w:rFonts w:ascii="Times New Roman" w:hAnsi="Times New Roman" w:cs="Times New Roman"/>
        </w:rPr>
      </w:pPr>
      <w:r>
        <w:rPr>
          <w:rFonts w:ascii="Times New Roman" w:hAnsi="Times New Roman" w:cs="Times New Roman"/>
        </w:rPr>
        <w:t xml:space="preserve">In this matter, the complainant was alleging that the advocate received money on his behalf in respect to a debt recovery matter but had not remitted the same to him. A letter was written to the advocate to respond to the complaint in September </w:t>
      </w:r>
      <w:proofErr w:type="gramStart"/>
      <w:r>
        <w:rPr>
          <w:rFonts w:ascii="Times New Roman" w:hAnsi="Times New Roman" w:cs="Times New Roman"/>
        </w:rPr>
        <w:t>2006</w:t>
      </w:r>
      <w:proofErr w:type="gramEnd"/>
      <w:r>
        <w:rPr>
          <w:rFonts w:ascii="Times New Roman" w:hAnsi="Times New Roman" w:cs="Times New Roman"/>
        </w:rPr>
        <w:t xml:space="preserve"> but he did not respond to the letter. A letter of reminder was written to him in June 2007, which is nine months down the </w:t>
      </w:r>
      <w:proofErr w:type="gramStart"/>
      <w:r>
        <w:rPr>
          <w:rFonts w:ascii="Times New Roman" w:hAnsi="Times New Roman" w:cs="Times New Roman"/>
        </w:rPr>
        <w:t>line</w:t>
      </w:r>
      <w:proofErr w:type="gramEnd"/>
      <w:r>
        <w:rPr>
          <w:rFonts w:ascii="Times New Roman" w:hAnsi="Times New Roman" w:cs="Times New Roman"/>
        </w:rPr>
        <w:t xml:space="preserve"> but he did not responded. Two years down the line in July 2009 another letter was written to the advocate informing him of the complaint. This time round he responded stating that he is in the process of filing his bill of costs in court for determination. The complainant was informed of the same and he wrote to the Commission objecting to the advocate’s bill of costs claiming that the amount being charged was exorbitant. The Commission then wrote to the advocate asking that he files his bill of costs at the Commission to enable quick and inexpensive resolution of the matter. However, the advocate had not filed his bill of costs and the matter remains unresolved.</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According to the Commission’s service charter investigation should be completed within 90 days of receipt of the original complaint. </w:t>
      </w:r>
      <w:proofErr w:type="gramStart"/>
      <w:r>
        <w:rPr>
          <w:rFonts w:ascii="Times New Roman" w:hAnsi="Times New Roman" w:cs="Times New Roman"/>
        </w:rPr>
        <w:t>Obviously</w:t>
      </w:r>
      <w:proofErr w:type="gramEnd"/>
      <w:r>
        <w:rPr>
          <w:rFonts w:ascii="Times New Roman" w:hAnsi="Times New Roman" w:cs="Times New Roman"/>
        </w:rPr>
        <w:t xml:space="preserve"> exceptions to this will apply if there are ongoing legal proceedings, if attempts to conciliate are made or if for good reason, one of the </w:t>
      </w:r>
      <w:r>
        <w:rPr>
          <w:rFonts w:ascii="Times New Roman" w:hAnsi="Times New Roman" w:cs="Times New Roman"/>
        </w:rPr>
        <w:lastRenderedPageBreak/>
        <w:t>parties cannot answer within the given times.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(b)In the matter of X advocate (2008) ADT</w:t>
      </w:r>
    </w:p>
    <w:p w:rsidR="00E76C0A" w:rsidRDefault="00E76C0A">
      <w:pPr>
        <w:rPr>
          <w:rFonts w:ascii="Times New Roman" w:hAnsi="Times New Roman" w:cs="Times New Roman"/>
        </w:rPr>
      </w:pPr>
      <w:r>
        <w:rPr>
          <w:rFonts w:ascii="Times New Roman" w:hAnsi="Times New Roman" w:cs="Times New Roman"/>
        </w:rPr>
        <w:t xml:space="preserve">In this matter, the complainants numbering a total of eighteen persons had alleged that the advocate had received some money on their behalf in a compensation claim but had remitted to them only part of it leaving the balance unaccounted for. Upon investigations by the Advocates’ Complaints Commission a prima facie case of professional misconduct was established against the advocate and the matter was forwarded to the Advocates’ Disciplinary Tribunal for adjudication. The charges </w:t>
      </w:r>
      <w:proofErr w:type="spellStart"/>
      <w:r>
        <w:rPr>
          <w:rFonts w:ascii="Times New Roman" w:hAnsi="Times New Roman" w:cs="Times New Roman"/>
        </w:rPr>
        <w:t>leveled</w:t>
      </w:r>
      <w:proofErr w:type="spellEnd"/>
      <w:r>
        <w:rPr>
          <w:rFonts w:ascii="Times New Roman" w:hAnsi="Times New Roman" w:cs="Times New Roman"/>
        </w:rPr>
        <w:t xml:space="preserve"> against the advocate were that of; failing to account for part of the compensation to the complainants, withholding an undisputed amount being part of the compensation money, making payments out of the compensation fund without the consent or express instructions of the complainants, overcharging the complainants on legal fees and charging legal fees in a matter where the advocate was the sole defendant and where the complainants were not parties.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At the tribunal the advocate pleaded not guilty to the charges and the matter was set up for hearing. At the hearing the tribunal members proceeded to determine the cause through affidavit evidence under Rule 18 of the Advocates’ (Disciplinary Tribunal) Rules. The tribunal then proceeded to enter judgment in the matter whereby the advocate was found guilty of failing to account, making payments without the clients consent and charging legal fees in a matter where the advocate was the sole defendant and complainants were not parties. With regard to the charge of withholding an undisputed amount the tribunal found that the charge was not proven and proceeded to acquit the advocate. Furthermore, with regards to the charge of overcharging the complainants on legal fees, the advocate was ordered to file his bill of costs at the tribunal for determination.</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advocate filed an application at the tribunal in 2010 seeking to set aside the judgment that was made in 2009. Notably, the application was made one year after judgment was made and it is not clear why it took that long and why no action was taken by the tribunal in that period. The advocate’s application proceeded for hearing and it was dismissed sometime in 2011. The advocate was then ordered to comply with the tribunal’s earlier orders to file his bill of costs for determination. In another turn of event, the advocate filed in the tribunal three bills of costs and two of those bills were in relation to other matter not before the tribunal. This prompted the Advocates’ Complainants Commission who are the prosecutors in the matter to raise a preliminary objection to have the two bills of costs excluded for the tribunal’s proceedings.</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The preliminary objection was thus upheld by the tribunal and the tribunal proceeded to tax the advocate’s bill of costs relating to the matter before it. The ruling of the taxation was done in July 2014. The matter was completed by the tribunal and the complainants were paid the balance of monies belonging to them.</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(c) In the matter of a Shareholder of a Limited Company vs. an advocate (2010) ACC</w:t>
      </w:r>
    </w:p>
    <w:p w:rsidR="00E76C0A" w:rsidRDefault="00E76C0A">
      <w:pPr>
        <w:rPr>
          <w:rFonts w:ascii="Times New Roman" w:hAnsi="Times New Roman" w:cs="Times New Roman"/>
        </w:rPr>
      </w:pPr>
      <w:r>
        <w:rPr>
          <w:rFonts w:ascii="Times New Roman" w:hAnsi="Times New Roman" w:cs="Times New Roman"/>
        </w:rPr>
        <w:t xml:space="preserve">In the matter, the complainant had alleged that the advocate had failed to account for money he received on behalf of a company he represented in a sale transaction. The Complainant also alleged that the advocate fraudulently paid other people money belonging to the company without the shareholders’ knowledge and the manner in which payments were made by the advocate to the over six hundred (600) beneficiaries was suspect as different beneficiaries received different amounts of money for the same acreage of land. The issue that arose was whether the Commission had the mandate to deal with the allegations been </w:t>
      </w:r>
      <w:r>
        <w:rPr>
          <w:rFonts w:ascii="Times New Roman" w:hAnsi="Times New Roman" w:cs="Times New Roman"/>
        </w:rPr>
        <w:lastRenderedPageBreak/>
        <w:t xml:space="preserve">raised by the complainant taking into consideration that the matter involved a limited company which is in itself a legal entity with capacity to sue and be sued. Upon assessment of the claim, the advocate wrote to the complainant stating that no case of professional misconduct had been established against the advocate as the issues raised fell outside its mandate and also the subject matter of the complaint </w:t>
      </w:r>
      <w:proofErr w:type="gramStart"/>
      <w:r>
        <w:rPr>
          <w:rFonts w:ascii="Times New Roman" w:hAnsi="Times New Roman" w:cs="Times New Roman"/>
        </w:rPr>
        <w:t>are</w:t>
      </w:r>
      <w:proofErr w:type="gramEnd"/>
      <w:r>
        <w:rPr>
          <w:rFonts w:ascii="Times New Roman" w:hAnsi="Times New Roman" w:cs="Times New Roman"/>
        </w:rPr>
        <w:t xml:space="preserve"> the same as those raised in a matter that was pending before a court. The complainant was however dissatisfied with the findings claiming that the manner in which the Commission handled the matter was unsatisfactory as it lacked professionalism, fairness and impartiality.</w:t>
      </w:r>
    </w:p>
    <w:p w:rsidR="00E76C0A" w:rsidRDefault="00E76C0A">
      <w:pPr>
        <w:rPr>
          <w:rFonts w:ascii="Times New Roman" w:hAnsi="Times New Roman" w:cs="Times New Roman"/>
        </w:rPr>
      </w:pPr>
      <w:r>
        <w:rPr>
          <w:rFonts w:ascii="Times New Roman" w:hAnsi="Times New Roman" w:cs="Times New Roman"/>
        </w:rPr>
        <w:t xml:space="preserve">According to him the advocate’s conduct fell short of the public expectations as he assisted in mismanaging the company finances and enabling the directors of the company to steal from the company and therefore the advocate should have </w:t>
      </w:r>
      <w:proofErr w:type="gramStart"/>
      <w:r>
        <w:rPr>
          <w:rFonts w:ascii="Times New Roman" w:hAnsi="Times New Roman" w:cs="Times New Roman"/>
        </w:rPr>
        <w:t>being</w:t>
      </w:r>
      <w:proofErr w:type="gramEnd"/>
      <w:r>
        <w:rPr>
          <w:rFonts w:ascii="Times New Roman" w:hAnsi="Times New Roman" w:cs="Times New Roman"/>
        </w:rPr>
        <w:t xml:space="preserve"> subjected to disciplinary proceedings. In the case of Tracy et al. v. </w:t>
      </w:r>
      <w:proofErr w:type="gramStart"/>
      <w:r>
        <w:rPr>
          <w:rFonts w:ascii="Times New Roman" w:hAnsi="Times New Roman" w:cs="Times New Roman"/>
        </w:rPr>
        <w:t>Atkins ,</w:t>
      </w:r>
      <w:proofErr w:type="gramEnd"/>
      <w:r>
        <w:rPr>
          <w:rFonts w:ascii="Times New Roman" w:hAnsi="Times New Roman" w:cs="Times New Roman"/>
        </w:rPr>
        <w:t xml:space="preserve"> it was held that a purchaser’s lawyer could owe a fiduciary duty to the vendors because they were unrepresented and the lawyer knew or ought to have known that the elderly and unrepresented vendors were or might be relying on him to protect their interests.</w:t>
      </w:r>
    </w:p>
    <w:p w:rsidR="00E76C0A" w:rsidRDefault="00E76C0A">
      <w:pPr>
        <w:rPr>
          <w:rFonts w:ascii="Times New Roman" w:hAnsi="Times New Roman" w:cs="Times New Roman"/>
        </w:rPr>
      </w:pPr>
      <w:r>
        <w:rPr>
          <w:rFonts w:ascii="Times New Roman" w:hAnsi="Times New Roman" w:cs="Times New Roman"/>
        </w:rPr>
        <w:t>The manner in which the payments were made particularly to the individual directors was questionable and the advocate should have dissuaded his client from making that decision as it resulted in the commission of a fraudulent act resulted in substantial injury to the financial interests of the shareholders. Therefore, this review shows weakness in the decision of the Advocates’ Complaints Commission.</w:t>
      </w:r>
    </w:p>
    <w:p w:rsidR="00E76C0A" w:rsidRDefault="00E76C0A">
      <w:pPr>
        <w:rPr>
          <w:rFonts w:ascii="Times New Roman" w:hAnsi="Times New Roman" w:cs="Times New Roman"/>
        </w:rPr>
      </w:pPr>
      <w:r>
        <w:rPr>
          <w:rFonts w:ascii="Times New Roman" w:hAnsi="Times New Roman" w:cs="Times New Roman"/>
        </w:rPr>
        <w:t>(d) In the matter of a woman vs. an advocate (2011) ACC</w:t>
      </w:r>
    </w:p>
    <w:p w:rsidR="00E76C0A" w:rsidRDefault="00E76C0A">
      <w:pPr>
        <w:rPr>
          <w:rFonts w:ascii="Times New Roman" w:hAnsi="Times New Roman" w:cs="Times New Roman"/>
        </w:rPr>
      </w:pPr>
      <w:r>
        <w:rPr>
          <w:rFonts w:ascii="Times New Roman" w:hAnsi="Times New Roman" w:cs="Times New Roman"/>
        </w:rPr>
        <w:t xml:space="preserve">In this matter, the complainant had alleged that the advocate had failed to render to her adequate professional services by failing to process her title documents in respect to a piece of land she had purchased despite payment of the required legal fees. The Commission wrote to the advocate to answer to the complainant in August 2011 and he responded the following month stating that the transfer documents were passed to a surveyor who could not be found. In its decision, the Commission found no professional misconduct on the part of the advocate stating that the matter should be handled by the police. The complainant was not happy with the Commission’s decision and sought a review of the same but upon further discussion the Commission upheld its earlier decision. According to the complainant the advocate’s explanation that the surveyor is to blame for the delay to process the transfer was unsatisfactory because according to her she had instructed the advocate and not the surveyor and it is him who should be held responsible for the delay to process her title. In the case of Rogers vs. </w:t>
      </w:r>
      <w:proofErr w:type="gramStart"/>
      <w:r>
        <w:rPr>
          <w:rFonts w:ascii="Times New Roman" w:hAnsi="Times New Roman" w:cs="Times New Roman"/>
        </w:rPr>
        <w:t>Whitaker ,</w:t>
      </w:r>
      <w:proofErr w:type="gramEnd"/>
      <w:r>
        <w:rPr>
          <w:rFonts w:ascii="Times New Roman" w:hAnsi="Times New Roman" w:cs="Times New Roman"/>
        </w:rPr>
        <w:t xml:space="preserve"> it was held that while the retainer is contractual in nature, the relationship is also fiduciary and, accordingly, lawyers owe a duty of care to exercise reasonable competency and skill in the conduct of the client’s matter. </w:t>
      </w:r>
      <w:proofErr w:type="gramStart"/>
      <w:r>
        <w:rPr>
          <w:rFonts w:ascii="Times New Roman" w:hAnsi="Times New Roman" w:cs="Times New Roman"/>
        </w:rPr>
        <w:t>Thus</w:t>
      </w:r>
      <w:proofErr w:type="gramEnd"/>
      <w:r>
        <w:rPr>
          <w:rFonts w:ascii="Times New Roman" w:hAnsi="Times New Roman" w:cs="Times New Roman"/>
        </w:rPr>
        <w:t xml:space="preserve"> practitioners should serve their clients competently and diligently. They should be acutely aware of the fiduciary nature of their relationship with their clients, and always deal with their clients fairly, free of the influence of any interest which may conflict with a client’s best interests. They should not, in the service of their clients, engage in, or assist, conduct that is calculated to defeat the ends of justice or is otherwise in breach of the law. This cannot be said of the advocate in the above matter who acted negligently by handing to the surveyor original documents belonging to the complainant without any reasonable explanation. The fact that the advocate was given instructions by the complainant and paid legal fees he was required to carry out the instructions diligently to the end and if there was reasonable cause to give the documents to the surveyor he should have consulted the client first. Thus, the loss of the documents that had been entrusted with the advocate amounts to inadequate professional service or negligence and the advocate should take full responsibility. Negligence in a professional capacity so as to bring the profession into disrepute is a disciplinary offence and the Commission should have </w:t>
      </w:r>
      <w:proofErr w:type="gramStart"/>
      <w:r>
        <w:rPr>
          <w:rFonts w:ascii="Times New Roman" w:hAnsi="Times New Roman" w:cs="Times New Roman"/>
        </w:rPr>
        <w:t>taken action</w:t>
      </w:r>
      <w:proofErr w:type="gramEnd"/>
      <w:r>
        <w:rPr>
          <w:rFonts w:ascii="Times New Roman" w:hAnsi="Times New Roman" w:cs="Times New Roman"/>
        </w:rPr>
        <w:t xml:space="preserve"> against the advocate for failing to act with </w:t>
      </w:r>
      <w:r>
        <w:rPr>
          <w:rFonts w:ascii="Times New Roman" w:hAnsi="Times New Roman" w:cs="Times New Roman"/>
        </w:rPr>
        <w:lastRenderedPageBreak/>
        <w:t>reasonable diligence and engaging in conduct prejudicial to the administration of justice.</w:t>
      </w:r>
    </w:p>
    <w:p w:rsidR="00E76C0A" w:rsidRDefault="00E76C0A">
      <w:pPr>
        <w:rPr>
          <w:rFonts w:ascii="Times New Roman" w:hAnsi="Times New Roman" w:cs="Times New Roman"/>
        </w:rPr>
      </w:pPr>
      <w:r>
        <w:rPr>
          <w:rFonts w:ascii="Times New Roman" w:hAnsi="Times New Roman" w:cs="Times New Roman"/>
        </w:rPr>
        <w:t>(e) In the matter of X advocate (2011) ADT</w:t>
      </w:r>
    </w:p>
    <w:p w:rsidR="00E76C0A" w:rsidRDefault="00E76C0A">
      <w:pPr>
        <w:rPr>
          <w:rFonts w:ascii="Times New Roman" w:hAnsi="Times New Roman" w:cs="Times New Roman"/>
        </w:rPr>
      </w:pPr>
      <w:r>
        <w:rPr>
          <w:rFonts w:ascii="Times New Roman" w:hAnsi="Times New Roman" w:cs="Times New Roman"/>
        </w:rPr>
        <w:t>In this matter, the advocate was accused of withholding funds belonging to the complainant. The Advocates’ Complaints Commission investigated the matter and found that the advocate’s action amounted to professional misconduct. The matter was then forwarded to the Disciplinary Tribunal for adjudication. At the tribunal a plea of not guilty was entered on behalf of the advocate and the matter proceeded to hearing. At the hearing the tribunal members proceeded to determine the cause through affidavit evidence under Rule 18 of the Advocates’ (Disciplinary Tribunal) Rules. The matter was then listed for judgment. However, the advocate made an application seeking to have the matter heard afresh as he had not been represented effectively. The advocate also claimed that he had paid the complainant all her dues and was not withholding her money. The tribunal proceeded to dismiss the advocate’s application stating that no evidence of payment to the complainant had been provided and that the lack of proper representation does not exonerate him from taking responsibility.</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 xml:space="preserve">However, in the judgment, the advocate was cleared of the charge </w:t>
      </w:r>
      <w:proofErr w:type="spellStart"/>
      <w:r>
        <w:rPr>
          <w:rFonts w:ascii="Times New Roman" w:hAnsi="Times New Roman" w:cs="Times New Roman"/>
        </w:rPr>
        <w:t>leveled</w:t>
      </w:r>
      <w:proofErr w:type="spellEnd"/>
      <w:r>
        <w:rPr>
          <w:rFonts w:ascii="Times New Roman" w:hAnsi="Times New Roman" w:cs="Times New Roman"/>
        </w:rPr>
        <w:t xml:space="preserve"> against him. This shows weakness in the decision of the Advocates’ Disciplinary Tribunal as it acquitted the advocate of the charge </w:t>
      </w:r>
      <w:proofErr w:type="spellStart"/>
      <w:r>
        <w:rPr>
          <w:rFonts w:ascii="Times New Roman" w:hAnsi="Times New Roman" w:cs="Times New Roman"/>
        </w:rPr>
        <w:t>leveled</w:t>
      </w:r>
      <w:proofErr w:type="spellEnd"/>
      <w:r>
        <w:rPr>
          <w:rFonts w:ascii="Times New Roman" w:hAnsi="Times New Roman" w:cs="Times New Roman"/>
        </w:rPr>
        <w:t xml:space="preserve"> against him despite the fact that no evidence of payment to the complainant had being provided.</w:t>
      </w:r>
    </w:p>
    <w:p w:rsidR="00E76C0A" w:rsidRDefault="00E76C0A">
      <w:pPr>
        <w:rPr>
          <w:rFonts w:ascii="Times New Roman" w:hAnsi="Times New Roman" w:cs="Times New Roman"/>
        </w:rPr>
      </w:pPr>
    </w:p>
    <w:p w:rsidR="00E76C0A" w:rsidRDefault="00E76C0A">
      <w:pPr>
        <w:rPr>
          <w:rFonts w:ascii="Times New Roman" w:hAnsi="Times New Roman" w:cs="Times New Roman"/>
        </w:rPr>
      </w:pPr>
      <w:r>
        <w:rPr>
          <w:rFonts w:ascii="Times New Roman" w:hAnsi="Times New Roman" w:cs="Times New Roman"/>
        </w:rPr>
        <w:t>(Gratis)</w:t>
      </w:r>
    </w:p>
    <w:p w:rsidR="00E76C0A" w:rsidRDefault="00E76C0A">
      <w:pPr>
        <w:rPr>
          <w:rFonts w:ascii="Times New Roman" w:hAnsi="Times New Roman" w:cs="Times New Roman"/>
        </w:rPr>
      </w:pPr>
    </w:p>
    <w:sectPr w:rsidR="00E76C0A" w:rsidSect="00D14D95">
      <w:footerReference w:type="default" r:id="rId6"/>
      <w:pgSz w:w="11906" w:h="16838" w:code="9"/>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57A2" w:rsidRDefault="007757A2">
      <w:r>
        <w:separator/>
      </w:r>
    </w:p>
  </w:endnote>
  <w:endnote w:type="continuationSeparator" w:id="0">
    <w:p w:rsidR="007757A2" w:rsidRDefault="00775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Oblique">
    <w:panose1 w:val="00000000000000000000"/>
    <w:charset w:val="00"/>
    <w:family w:val="auto"/>
    <w:pitch w:val="variable"/>
    <w:sig w:usb0="E00002FF" w:usb1="5000785B"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6C0A" w:rsidRDefault="00E76C0A">
    <w:r>
      <w:rPr>
        <w:rFonts w:ascii="Helvetica Oblique" w:hAnsi="Helvetica Oblique" w:cs="Helvetica Oblique"/>
        <w:sz w:val="16"/>
        <w:szCs w:val="16"/>
      </w:rPr>
      <w:t xml:space="preserve">Page </w:t>
    </w:r>
    <w:r>
      <w:rPr>
        <w:rFonts w:ascii="Helvetica" w:hAnsi="Helvetica" w:cs="Helvetica"/>
        <w:sz w:val="16"/>
        <w:szCs w:val="16"/>
      </w:rPr>
      <w:fldChar w:fldCharType="begin"/>
    </w:r>
    <w:r>
      <w:rPr>
        <w:rFonts w:ascii="Helvetica" w:hAnsi="Helvetica" w:cs="Helvetica"/>
        <w:sz w:val="16"/>
        <w:szCs w:val="16"/>
      </w:rPr>
      <w:instrText>PAGE</w:instrText>
    </w:r>
    <w:r>
      <w:rPr>
        <w:rFonts w:ascii="Helvetica" w:hAnsi="Helvetica" w:cs="Helvetica"/>
        <w:sz w:val="16"/>
        <w:szCs w:val="16"/>
      </w:rPr>
      <w:fldChar w:fldCharType="separate"/>
    </w:r>
    <w:r w:rsidR="0004210C">
      <w:rPr>
        <w:rFonts w:ascii="Helvetica" w:hAnsi="Helvetica" w:cs="Helvetica"/>
        <w:noProof/>
        <w:sz w:val="16"/>
        <w:szCs w:val="16"/>
      </w:rPr>
      <w:t>1</w:t>
    </w:r>
    <w:r>
      <w:rPr>
        <w:rFonts w:ascii="Helvetica" w:hAnsi="Helvetica" w:cs="Helvetica"/>
        <w:sz w:val="16"/>
        <w:szCs w:val="16"/>
      </w:rPr>
      <w:fldChar w:fldCharType="end"/>
    </w:r>
    <w:r>
      <w:rPr>
        <w:rFonts w:ascii="Helvetica Oblique" w:hAnsi="Helvetica Oblique" w:cs="Helvetica Oblique"/>
        <w:sz w:val="16"/>
        <w:szCs w:val="16"/>
      </w:rPr>
      <w:t xml:space="preserve"> of </w:t>
    </w:r>
    <w:r>
      <w:rPr>
        <w:rFonts w:ascii="Helvetica" w:hAnsi="Helvetica" w:cs="Helvetica"/>
        <w:sz w:val="16"/>
        <w:szCs w:val="16"/>
      </w:rPr>
      <w:fldChar w:fldCharType="begin"/>
    </w:r>
    <w:r>
      <w:rPr>
        <w:rFonts w:ascii="Helvetica" w:hAnsi="Helvetica" w:cs="Helvetica"/>
        <w:sz w:val="16"/>
        <w:szCs w:val="16"/>
      </w:rPr>
      <w:instrText>NUMPAGES \* Arabic</w:instrText>
    </w:r>
    <w:r>
      <w:rPr>
        <w:rFonts w:ascii="Helvetica" w:hAnsi="Helvetica" w:cs="Helvetica"/>
        <w:sz w:val="16"/>
        <w:szCs w:val="16"/>
      </w:rPr>
      <w:fldChar w:fldCharType="separate"/>
    </w:r>
    <w:r w:rsidR="0004210C">
      <w:rPr>
        <w:rFonts w:ascii="Helvetica" w:hAnsi="Helvetica" w:cs="Helvetica"/>
        <w:noProof/>
        <w:sz w:val="16"/>
        <w:szCs w:val="16"/>
      </w:rPr>
      <w:t>10</w:t>
    </w:r>
    <w:r>
      <w:rPr>
        <w:rFonts w:ascii="Helvetica" w:hAnsi="Helvetica" w:cs="Helvetica"/>
        <w:sz w:val="16"/>
        <w:szCs w:val="16"/>
      </w:rPr>
      <w:fldChar w:fldCharType="end"/>
    </w:r>
    <w:r>
      <w:rPr>
        <w:rFonts w:ascii="Helvetica Oblique" w:hAnsi="Helvetica Oblique" w:cs="Helvetica Oblique"/>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57A2" w:rsidRDefault="007757A2">
      <w:r>
        <w:separator/>
      </w:r>
    </w:p>
  </w:footnote>
  <w:footnote w:type="continuationSeparator" w:id="0">
    <w:p w:rsidR="007757A2" w:rsidRDefault="007757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95"/>
    <w:rsid w:val="0004210C"/>
    <w:rsid w:val="00636F34"/>
    <w:rsid w:val="007757A2"/>
    <w:rsid w:val="00D14D95"/>
    <w:rsid w:val="00DE6E90"/>
    <w:rsid w:val="00E76C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38491B8-3ABC-4861-B44C-0C18740D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autoSpaceDE w:val="0"/>
      <w:autoSpaceDN w:val="0"/>
      <w:adjustRightInd w:val="0"/>
    </w:pPr>
    <w:rPr>
      <w:rFonts w:ascii="Arial" w:hAnsi="Arial" w:cs="Arial"/>
      <w:color w:val="000000"/>
      <w:sz w:val="24"/>
      <w:szCs w:val="24"/>
    </w:rPr>
  </w:style>
  <w:style w:type="paragraph" w:styleId="Heading1">
    <w:name w:val="heading 1"/>
    <w:basedOn w:val="Normal"/>
    <w:next w:val="Normal"/>
    <w:link w:val="Heading1Char"/>
    <w:uiPriority w:val="99"/>
    <w:qFormat/>
    <w:pPr>
      <w:outlineLvl w:val="0"/>
    </w:pPr>
    <w:rPr>
      <w:b/>
      <w:bCs/>
      <w:sz w:val="32"/>
      <w:szCs w:val="32"/>
    </w:rPr>
  </w:style>
  <w:style w:type="paragraph" w:styleId="Heading2">
    <w:name w:val="heading 2"/>
    <w:basedOn w:val="Normal"/>
    <w:next w:val="Normal"/>
    <w:link w:val="Heading2Char"/>
    <w:uiPriority w:val="99"/>
    <w:qFormat/>
    <w:pPr>
      <w:outlineLvl w:val="1"/>
    </w:pPr>
    <w:rPr>
      <w:b/>
      <w:bCs/>
      <w:i/>
      <w:iCs/>
      <w:sz w:val="28"/>
      <w:szCs w:val="28"/>
    </w:rPr>
  </w:style>
  <w:style w:type="paragraph" w:styleId="Heading3">
    <w:name w:val="heading 3"/>
    <w:basedOn w:val="Normal"/>
    <w:next w:val="Normal"/>
    <w:link w:val="Heading3Char"/>
    <w:uiPriority w:val="99"/>
    <w:qFormat/>
    <w:pPr>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libri Light" w:eastAsia="Times New Roman" w:hAnsi="Calibri Light" w:cs="Times New Roman"/>
      <w:b/>
      <w:bCs/>
      <w:color w:val="000000"/>
      <w:kern w:val="32"/>
      <w:sz w:val="32"/>
      <w:szCs w:val="32"/>
    </w:rPr>
  </w:style>
  <w:style w:type="character" w:customStyle="1" w:styleId="Heading2Char">
    <w:name w:val="Heading 2 Char"/>
    <w:link w:val="Heading2"/>
    <w:uiPriority w:val="9"/>
    <w:semiHidden/>
    <w:locked/>
    <w:rPr>
      <w:rFonts w:ascii="Calibri Light" w:eastAsia="Times New Roman" w:hAnsi="Calibri Light" w:cs="Times New Roman"/>
      <w:b/>
      <w:bCs/>
      <w:i/>
      <w:iCs/>
      <w:color w:val="000000"/>
      <w:sz w:val="28"/>
      <w:szCs w:val="28"/>
    </w:rPr>
  </w:style>
  <w:style w:type="character" w:customStyle="1" w:styleId="Heading3Char">
    <w:name w:val="Heading 3 Char"/>
    <w:link w:val="Heading3"/>
    <w:uiPriority w:val="9"/>
    <w:semiHidden/>
    <w:locked/>
    <w:rPr>
      <w:rFonts w:ascii="Calibri Light" w:eastAsia="Times New Roman" w:hAnsi="Calibri Light" w:cs="Times New Roman"/>
      <w:b/>
      <w:bCs/>
      <w:color w:val="000000"/>
      <w:sz w:val="26"/>
      <w:szCs w:val="26"/>
    </w:rPr>
  </w:style>
  <w:style w:type="paragraph" w:styleId="Header">
    <w:name w:val="header"/>
    <w:basedOn w:val="Normal"/>
    <w:link w:val="HeaderChar"/>
    <w:uiPriority w:val="99"/>
    <w:unhideWhenUsed/>
    <w:rsid w:val="00D14D95"/>
    <w:pPr>
      <w:tabs>
        <w:tab w:val="center" w:pos="4513"/>
        <w:tab w:val="right" w:pos="9026"/>
      </w:tabs>
    </w:pPr>
  </w:style>
  <w:style w:type="character" w:customStyle="1" w:styleId="HeaderChar">
    <w:name w:val="Header Char"/>
    <w:link w:val="Header"/>
    <w:uiPriority w:val="99"/>
    <w:locked/>
    <w:rsid w:val="00D14D95"/>
    <w:rPr>
      <w:rFonts w:ascii="Arial" w:hAnsi="Arial" w:cs="Arial"/>
      <w:color w:val="000000"/>
      <w:sz w:val="24"/>
      <w:szCs w:val="24"/>
    </w:rPr>
  </w:style>
  <w:style w:type="paragraph" w:styleId="Footer">
    <w:name w:val="footer"/>
    <w:basedOn w:val="Normal"/>
    <w:link w:val="FooterChar"/>
    <w:uiPriority w:val="99"/>
    <w:unhideWhenUsed/>
    <w:rsid w:val="00D14D95"/>
    <w:pPr>
      <w:tabs>
        <w:tab w:val="center" w:pos="4513"/>
        <w:tab w:val="right" w:pos="9026"/>
      </w:tabs>
    </w:pPr>
  </w:style>
  <w:style w:type="character" w:customStyle="1" w:styleId="FooterChar">
    <w:name w:val="Footer Char"/>
    <w:link w:val="Footer"/>
    <w:uiPriority w:val="99"/>
    <w:locked/>
    <w:rsid w:val="00D14D95"/>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4915</Words>
  <Characters>28019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mallowah</dc:creator>
  <cp:keywords/>
  <dc:description/>
  <cp:lastModifiedBy>Stephen Mallowah</cp:lastModifiedBy>
  <cp:revision>2</cp:revision>
  <dcterms:created xsi:type="dcterms:W3CDTF">2018-10-11T13:30:00Z</dcterms:created>
  <dcterms:modified xsi:type="dcterms:W3CDTF">2018-10-11T13:30:00Z</dcterms:modified>
</cp:coreProperties>
</file>