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56" w:lineRule="auto"/>
        <w:jc w:val="center"/>
        <w:rPr>
          <w:rFonts w:ascii="Times New Roman" w:cs="Times New Roman" w:eastAsia="Times New Roman" w:hAnsi="Times New Roman"/>
          <w:b w:val="1"/>
          <w:sz w:val="24"/>
          <w:szCs w:val="24"/>
        </w:rPr>
      </w:pPr>
      <w:r w:rsidDel="00000000" w:rsidR="00000000" w:rsidRPr="00000000">
        <w:rPr/>
        <w:drawing>
          <wp:inline distB="0" distT="0" distL="0" distR="0">
            <wp:extent cx="2524125" cy="231902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25" cy="231902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ETHICS ASSIGNMENT</w:t>
      </w:r>
    </w:p>
    <w:p w:rsidR="00000000" w:rsidDel="00000000" w:rsidP="00000000" w:rsidRDefault="00000000" w:rsidRPr="00000000" w14:paraId="00000007">
      <w:pPr>
        <w:spacing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ATP 105</w:t>
      </w:r>
    </w:p>
    <w:p w:rsidR="00000000" w:rsidDel="00000000" w:rsidP="00000000" w:rsidRDefault="00000000" w:rsidRPr="00000000" w14:paraId="00000008">
      <w:pPr>
        <w:spacing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E FIRM 9</w:t>
      </w:r>
    </w:p>
    <w:p w:rsidR="00000000" w:rsidDel="00000000" w:rsidP="00000000" w:rsidRDefault="00000000" w:rsidRPr="00000000" w14:paraId="00000009">
      <w:pPr>
        <w:spacing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ADVOCATES TRAINING PROGRAM 2022/2023</w:t>
      </w:r>
    </w:p>
    <w:p w:rsidR="00000000" w:rsidDel="00000000" w:rsidP="00000000" w:rsidRDefault="00000000" w:rsidRPr="00000000" w14:paraId="0000000A">
      <w:pPr>
        <w:spacing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KENYA SCHOOL OF LAW</w:t>
      </w:r>
    </w:p>
    <w:p w:rsidR="00000000" w:rsidDel="00000000" w:rsidP="00000000" w:rsidRDefault="00000000" w:rsidRPr="00000000" w14:paraId="0000000B">
      <w:pPr>
        <w:spacing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INSTRUCTOR: Mr. John Oriri</w:t>
      </w:r>
    </w:p>
    <w:p w:rsidR="00000000" w:rsidDel="00000000" w:rsidP="00000000" w:rsidRDefault="00000000" w:rsidRPr="00000000" w14:paraId="0000000C">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FIRM MEMBERS</w:t>
      </w:r>
    </w:p>
    <w:tbl>
      <w:tblPr>
        <w:tblStyle w:val="Table1"/>
        <w:tblW w:w="98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4040"/>
        <w:gridCol w:w="2800"/>
        <w:gridCol w:w="2351"/>
        <w:tblGridChange w:id="0">
          <w:tblGrid>
            <w:gridCol w:w="636"/>
            <w:gridCol w:w="4040"/>
            <w:gridCol w:w="2800"/>
            <w:gridCol w:w="2351"/>
          </w:tblGrid>
        </w:tblGridChange>
      </w:tblGrid>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ADMISSION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w:t>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5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KINIGA CYNTHIA CHEPTOO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5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20220489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5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BULUMA 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20220273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5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NYANGATA FELIX OUMA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20220148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5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PLIMO HILLARY SIAPUK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20221522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5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OKENYO ZEPHANIA ONCHIRI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20221565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5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WABWIRE SHARON ADHIAMBO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20220339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5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MOYAH DENNIS MOKENYE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20221941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5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TANUI CATHLEEN CHEBET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20221538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256"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KIBET JAMES KWEMOI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20221637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56"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3F">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rPr>
          <w:rFonts w:ascii="Times New Roman" w:cs="Times New Roman" w:eastAsia="Times New Roman" w:hAnsi="Times New Roman"/>
          <w:b w:val="1"/>
          <w:smallCaps w:val="1"/>
          <w:sz w:val="24"/>
          <w:szCs w:val="24"/>
          <w:u w:val="single"/>
        </w:rPr>
      </w:pPr>
      <w:r w:rsidDel="00000000" w:rsidR="00000000" w:rsidRPr="00000000">
        <w:rPr>
          <w:rtl w:val="0"/>
        </w:rPr>
      </w:r>
    </w:p>
    <w:p w:rsidR="00000000" w:rsidDel="00000000" w:rsidP="00000000" w:rsidRDefault="00000000" w:rsidRPr="00000000" w14:paraId="00000041">
      <w:pPr>
        <w:pStyle w:val="Heading1"/>
        <w:rPr>
          <w:rFonts w:ascii="Times New Roman" w:cs="Times New Roman" w:eastAsia="Times New Roman" w:hAnsi="Times New Roman"/>
          <w:b w:val="1"/>
          <w:smallCaps w:val="1"/>
          <w:sz w:val="24"/>
          <w:szCs w:val="24"/>
          <w:u w:val="single"/>
        </w:rPr>
      </w:pP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b w:val="1"/>
          <w:smallCaps w:val="1"/>
          <w:sz w:val="24"/>
          <w:szCs w:val="24"/>
          <w:u w:val="single"/>
        </w:rPr>
      </w:pP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b w:val="1"/>
          <w:smallCaps w:val="1"/>
          <w:sz w:val="24"/>
          <w:szCs w:val="24"/>
          <w:u w:val="single"/>
        </w:rPr>
      </w:pP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b w:val="1"/>
          <w:smallCaps w:val="1"/>
          <w:sz w:val="24"/>
          <w:szCs w:val="24"/>
          <w:u w:val="singl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0"/>
          <w:smallCap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b w:val="1"/>
          <w:smallCaps w:val="1"/>
          <w:sz w:val="24"/>
          <w:szCs w:val="24"/>
          <w:u w:val="singl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0"/>
          <w:smallCaps w:val="1"/>
          <w:sz w:val="24"/>
          <w:szCs w:val="24"/>
          <w:u w:val="single"/>
        </w:rPr>
      </w:pPr>
      <w:r w:rsidDel="00000000" w:rsidR="00000000" w:rsidRPr="00000000">
        <w:rPr>
          <w:rFonts w:ascii="Times New Roman" w:cs="Times New Roman" w:eastAsia="Times New Roman" w:hAnsi="Times New Roman"/>
          <w:b w:val="1"/>
          <w:smallCaps w:val="1"/>
          <w:sz w:val="24"/>
          <w:szCs w:val="24"/>
          <w:u w:val="single"/>
          <w:rtl w:val="0"/>
        </w:rPr>
        <w:t xml:space="preserve">SUMMARY OF FACTS</w:t>
      </w: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Kidera is a sole practitioner and has secured a fully paid sponsorship to attend a training workshop in Canada. The training is scheduled to take 8 weeks and attendance for the complete course is mandatory to graduate and be certified as mediator and arbitrator. He is scheduled to fly out at a time when several cases are scheduled for hearing in various courts across the country.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8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compliance with legislative requirements explain what action he should take to ensure that his firm’s cases are heard smoothly in courts during his absence.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2.00000000000003" w:lineRule="auto"/>
        <w:ind w:left="8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there be any consequences should Kidera fail to take action as explained in (a) above? What are these consequences?</w:t>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is bound by law to perform several duties after he instructed by a client. Black’s law dictionary defines duty as “a legal obligation that is owed or due to another and that needs to be satisfied.”</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The Advocates Act provides for a strict definition of who a client is and who an advocate is depending on the nature of their relationships. Advocate-client relationships are stipulated through the various duties which the advocate owes to the person defined as a client in the Advocates Act. This form of relationship is legally created when the client and the advocate enter into an agreement for performance of legal services with /by the advocate.</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circumstances it is prudent to highlight some of these duties Kidera owes to his several clients. Some of the most relevant duties to his impending travel abroad include;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 Not to Prolong Justice/ Cases.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should at all times endeavour to ensure that client’s matters are concluded in reasonable time. As an advocate he must strive to avoid unnecessary delays which, would be prejudicial to a client’s case, time and interest. In the case of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 v Wilson and Grimwade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was held that part of the responsibility of all counsel in any trial process is to ensure that the system of justice is not betrayed.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Lord Templeman stated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Ashmore v Corporation of Lloyd’s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 parties and more so their legal advisers in any litigation are under a duty to cooperate with the courts by chronological, brief and consistent pleadings which define the issues and leave the judge to draw his own conclusions about the merits and demerits of the case.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 to Expedite Matters.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should ensure that he/she does not waste the courts time together with the clients through unnecessary proceedings and technicalities. The advocate therefore should always appear in court at the appointed time.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 to Comply with the Court Order.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is an officer of the court. This follows that the advocate has to comply with all which the court orders and only use legal avenues to challenge a court’s decision. An advocate such as Kidera is obligated to respect and uphold judicial rulings which are essential to the administration and deliverance of justice. The failure to do so equally amounts to professional misconduct.</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advocate’s duties are further enshrined in the Law Society of Kenya Code of Standards of Professional Practice and Ethical Conduct (SOPPEC).</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Specifically, rule 3 provides for competence and diligence in the handling of a client’s brief. He is under a duty to provide the legal services in respect to which he is engaged competently, diligently and ethically, failure to which he shall be dealt with as having committed professional misconduct. </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misconduct is not defined in the Advocates Act but section 60 states that “the expression professional misconduct includes disgraceful or dishonourable conduct incompatible with the status of an advocate”. </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rule 8 obligates Kidera to discharge his duty to represent his clients by fair and honourable means and without illegality or subversion of the due processes of the law.</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rule 11 of the Code of Conduct allows advocates to have outside interests that are consistent with their law practice. This gives Kidera the right to attend the training as it is in the furtherance of his law practice and knowledge. However, the rule places an exception. It states that the advocate should not allow his outside interests to jeopardize his professional integrity, independence or competence or the standing of the legal profession.</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(a)In compliance with legislative requirements explain what action he should take to ensure that his firm’s cases are heard smoothly in courts during his absence.</w:t>
      </w: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Adjournment</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Kidera should write to the other party &amp; Court explaining the sponsorship that he secured and the period he will be away. In explaining to the Court and the other party, they can accommodate him and give him a later date popularly referred to as an adjournment. </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a party seeking adjournment should have his request in writing and served to the opposing counsel and Court clearly stating the reason for adjourning. This is provided for in the </w:t>
      </w:r>
      <w:r w:rsidDel="00000000" w:rsidR="00000000" w:rsidRPr="00000000">
        <w:rPr>
          <w:rFonts w:ascii="Times New Roman" w:cs="Times New Roman" w:eastAsia="Times New Roman" w:hAnsi="Times New Roman"/>
          <w:b w:val="1"/>
          <w:sz w:val="24"/>
          <w:szCs w:val="24"/>
          <w:rtl w:val="0"/>
        </w:rPr>
        <w:t xml:space="preserve">Guidelines for Active Case Management of Criminal Cases in Magistrate Courts and High Courts of Kenya </w:t>
      </w:r>
      <w:r w:rsidDel="00000000" w:rsidR="00000000" w:rsidRPr="00000000">
        <w:rPr>
          <w:rFonts w:ascii="Times New Roman" w:cs="Times New Roman" w:eastAsia="Times New Roman" w:hAnsi="Times New Roman"/>
          <w:sz w:val="24"/>
          <w:szCs w:val="24"/>
          <w:rtl w:val="0"/>
        </w:rPr>
        <w:t xml:space="preserve">paragraph 5.5 which states “Applications for adjournment on the day of a trial may only be granted in exceptional circumstances and in such cases, reasons for granting adjournment should be recorded in writing”.</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w:t>
      </w:r>
      <w:r w:rsidDel="00000000" w:rsidR="00000000" w:rsidRPr="00000000">
        <w:rPr>
          <w:rFonts w:ascii="Times New Roman" w:cs="Times New Roman" w:eastAsia="Times New Roman" w:hAnsi="Times New Roman"/>
          <w:b w:val="1"/>
          <w:sz w:val="24"/>
          <w:szCs w:val="24"/>
          <w:rtl w:val="0"/>
        </w:rPr>
        <w:t xml:space="preserve">Practice Directions on Standardization of Practice &amp; Procedure in the High Court 2021</w:t>
      </w:r>
      <w:r w:rsidDel="00000000" w:rsidR="00000000" w:rsidRPr="00000000">
        <w:rPr>
          <w:rFonts w:ascii="Times New Roman" w:cs="Times New Roman" w:eastAsia="Times New Roman" w:hAnsi="Times New Roman"/>
          <w:b w:val="1"/>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it provides that</w:t>
      </w:r>
      <w:r w:rsidDel="00000000" w:rsidR="00000000" w:rsidRPr="00000000">
        <w:rPr>
          <w:rFonts w:ascii="Times New Roman" w:cs="Times New Roman" w:eastAsia="Times New Roman" w:hAnsi="Times New Roman"/>
          <w:i w:val="1"/>
          <w:sz w:val="24"/>
          <w:szCs w:val="24"/>
          <w:rtl w:val="0"/>
        </w:rPr>
        <w:t xml:space="preserve"> “Any adjournment should be communicated to the other party and Court in advance before coming to Court”. </w:t>
      </w:r>
      <w:r w:rsidDel="00000000" w:rsidR="00000000" w:rsidRPr="00000000">
        <w:rPr>
          <w:rFonts w:ascii="Times New Roman" w:cs="Times New Roman" w:eastAsia="Times New Roman" w:hAnsi="Times New Roman"/>
          <w:sz w:val="24"/>
          <w:szCs w:val="24"/>
          <w:rtl w:val="0"/>
        </w:rPr>
        <w:t xml:space="preserve">The Court recognizes the fact that, due to unforeseen eventualities the Court may be compelled to adjourn the hearing of the case.</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w:t>
      </w:r>
      <w:r w:rsidDel="00000000" w:rsidR="00000000" w:rsidRPr="00000000">
        <w:rPr>
          <w:rFonts w:ascii="Times New Roman" w:cs="Times New Roman" w:eastAsia="Times New Roman" w:hAnsi="Times New Roman"/>
          <w:b w:val="1"/>
          <w:sz w:val="24"/>
          <w:szCs w:val="24"/>
          <w:rtl w:val="0"/>
        </w:rPr>
        <w:t xml:space="preserve">Criminal Procedure Code</w:t>
      </w:r>
      <w:r w:rsidDel="00000000" w:rsidR="00000000" w:rsidRPr="00000000">
        <w:rPr>
          <w:rFonts w:ascii="Times New Roman" w:cs="Times New Roman" w:eastAsia="Times New Roman" w:hAnsi="Times New Roman"/>
          <w:sz w:val="24"/>
          <w:szCs w:val="24"/>
          <w:rtl w:val="0"/>
        </w:rPr>
        <w:t xml:space="preserve"> allows for adjournments. S.205 (1) states that Court may before or during the hearing of a case, adjourn the hearing to a certain time and place to be then appointed and stated in the presence and hearing of the party or parties or their respective advocates then present.</w:t>
      </w:r>
    </w:p>
    <w:p w:rsidR="00000000" w:rsidDel="00000000" w:rsidP="00000000" w:rsidRDefault="00000000" w:rsidRPr="00000000" w14:paraId="0000005F">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Holding brief</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Kidera has an option of finding an advocate to hold brief for him. Holding brief is described as a situation in Courts of law where a fellow advocate instructs you to take his place during proceedings due to his inability to be present in Court. Such instructions are of a temporary nature, not continuous.</w:t>
      </w:r>
    </w:p>
    <w:p w:rsidR="00000000" w:rsidDel="00000000" w:rsidP="00000000" w:rsidRDefault="00000000" w:rsidRPr="00000000" w14:paraId="00000061">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In choosing this option, Kidera is required to give proper instructions to the advocate holding brief in that particular case. If the matter is coming up for hearing, he should give the advocate holding his brief instructions so that the matter can proceed on the day of hearing. Failure of giving proper instructions may lead to dismissal of a suit as was the case in </w:t>
      </w:r>
      <w:r w:rsidDel="00000000" w:rsidR="00000000" w:rsidRPr="00000000">
        <w:rPr>
          <w:rFonts w:ascii="Times New Roman" w:cs="Times New Roman" w:eastAsia="Times New Roman" w:hAnsi="Times New Roman"/>
          <w:b w:val="1"/>
          <w:sz w:val="24"/>
          <w:szCs w:val="24"/>
          <w:rtl w:val="0"/>
        </w:rPr>
        <w:t xml:space="preserve">Odhiambo Owiti &amp; Co. Advocates v Equator Bottlers Limited</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where Court dismissed an application for reinstatement of suit on the grounds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the applicant failed to give proper instructions to the advocate holding his brief. </w:t>
      </w: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important to note that holding brief is not limited to adjournments.</w:t>
      </w:r>
    </w:p>
    <w:p w:rsidR="00000000" w:rsidDel="00000000" w:rsidP="00000000" w:rsidRDefault="00000000" w:rsidRPr="00000000" w14:paraId="00000063">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b)Would there be any consequences should Kidera fail to take action as explained in (a) above? What are the consequences?</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Kidera may face consequences for failing to appear in Court on the day his matters are scheduled for hearing. If he does not seek adjournment of the cases or ask a fellow advocate to hold brief for him, the cases may be called in court and such a scenario would mean that dire consequences may be faced. Some of the consequences are provided for under Order 12 of the Civil Procedure Act. They include:</w:t>
      </w:r>
    </w:p>
    <w:p w:rsidR="00000000" w:rsidDel="00000000" w:rsidP="00000000" w:rsidRDefault="00000000" w:rsidRPr="00000000" w14:paraId="00000065">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Court may dismiss the suit</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may dismiss a suit on the grounds of non-appearance. This was held in the case of </w:t>
      </w:r>
      <w:r w:rsidDel="00000000" w:rsidR="00000000" w:rsidRPr="00000000">
        <w:rPr>
          <w:rFonts w:ascii="Times New Roman" w:cs="Times New Roman" w:eastAsia="Times New Roman" w:hAnsi="Times New Roman"/>
          <w:b w:val="1"/>
          <w:sz w:val="24"/>
          <w:szCs w:val="24"/>
          <w:rtl w:val="0"/>
        </w:rPr>
        <w:t xml:space="preserve">Njue Njagi v Ephantus Njiru &amp; Anor [2016] eKLR and Stephen Mwangi Kimote v Murata Sacco Society [2018]</w:t>
      </w:r>
      <w:r w:rsidDel="00000000" w:rsidR="00000000" w:rsidRPr="00000000">
        <w:rPr>
          <w:rFonts w:ascii="Times New Roman" w:cs="Times New Roman" w:eastAsia="Times New Roman" w:hAnsi="Times New Roman"/>
          <w:sz w:val="24"/>
          <w:szCs w:val="24"/>
          <w:rtl w:val="0"/>
        </w:rPr>
        <w:t xml:space="preserve"> where Court argued that the dismissal of a suit for non-attendance amounts to a judgment in that suit.</w:t>
      </w:r>
    </w:p>
    <w:p w:rsidR="00000000" w:rsidDel="00000000" w:rsidP="00000000" w:rsidRDefault="00000000" w:rsidRPr="00000000" w14:paraId="00000067">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May proceed </w:t>
      </w:r>
      <w:r w:rsidDel="00000000" w:rsidR="00000000" w:rsidRPr="00000000">
        <w:rPr>
          <w:rFonts w:ascii="Times New Roman" w:cs="Times New Roman" w:eastAsia="Times New Roman" w:hAnsi="Times New Roman"/>
          <w:b w:val="1"/>
          <w:i w:val="1"/>
          <w:sz w:val="24"/>
          <w:szCs w:val="24"/>
          <w:rtl w:val="0"/>
        </w:rPr>
        <w:t xml:space="preserve">exparte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may order the suit to proceed </w:t>
      </w:r>
      <w:r w:rsidDel="00000000" w:rsidR="00000000" w:rsidRPr="00000000">
        <w:rPr>
          <w:rFonts w:ascii="Times New Roman" w:cs="Times New Roman" w:eastAsia="Times New Roman" w:hAnsi="Times New Roman"/>
          <w:i w:val="1"/>
          <w:sz w:val="24"/>
          <w:szCs w:val="24"/>
          <w:rtl w:val="0"/>
        </w:rPr>
        <w:t xml:space="preserve">exparte.</w:t>
      </w:r>
      <w:r w:rsidDel="00000000" w:rsidR="00000000" w:rsidRPr="00000000">
        <w:rPr>
          <w:rFonts w:ascii="Times New Roman" w:cs="Times New Roman" w:eastAsia="Times New Roman" w:hAnsi="Times New Roman"/>
          <w:sz w:val="24"/>
          <w:szCs w:val="24"/>
          <w:rtl w:val="0"/>
        </w:rPr>
        <w:t xml:space="preserve"> This refers to a situation where the Court hears and determines the suit in the absence of one of the Counsel.</w:t>
      </w:r>
    </w:p>
    <w:p w:rsidR="00000000" w:rsidDel="00000000" w:rsidP="00000000" w:rsidRDefault="00000000" w:rsidRPr="00000000" w14:paraId="00000069">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may be ordered to pay Court Adjournment Fees (CAF)</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may order an advocate to pay Court Adjournment Fees if he fails to appear in Court on the day his matter is scheduled for hearing. The Court Adjournment Fees is provided for under the </w:t>
      </w:r>
      <w:r w:rsidDel="00000000" w:rsidR="00000000" w:rsidRPr="00000000">
        <w:rPr>
          <w:rFonts w:ascii="Times New Roman" w:cs="Times New Roman" w:eastAsia="Times New Roman" w:hAnsi="Times New Roman"/>
          <w:b w:val="1"/>
          <w:sz w:val="24"/>
          <w:szCs w:val="24"/>
          <w:rtl w:val="0"/>
        </w:rPr>
        <w:t xml:space="preserve">Judiciary Court Fees Assessment Schedule</w:t>
      </w:r>
      <w:r w:rsidDel="00000000" w:rsidR="00000000" w:rsidRPr="00000000">
        <w:rPr>
          <w:rFonts w:ascii="Times New Roman" w:cs="Times New Roman" w:eastAsia="Times New Roman" w:hAnsi="Times New Roman"/>
          <w:sz w:val="24"/>
          <w:szCs w:val="24"/>
          <w:rtl w:val="0"/>
        </w:rPr>
        <w:t xml:space="preserve">. In the High Court a party seeking adjournment is required to pay kshs. 2000 while in the Subordinate Court one is required to pay kshs. 500</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general rule CAF is required to be paid before the next hearing date.</w:t>
      </w:r>
    </w:p>
    <w:p w:rsidR="00000000" w:rsidDel="00000000" w:rsidP="00000000" w:rsidRDefault="00000000" w:rsidRPr="00000000" w14:paraId="0000006C">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 advocate may be ordered to pay cost.</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who fails to appear in court may be ordered to pay costs to the opposing counsel before the next hearing date.</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looked at what may happen to the pending suits, we shall revert back to the duties Kidera owes his clients. He is to be diligent and competent, is to ensure that there is no subversion of the due processes of the law, and is to ensure that his outside interests do not interfere with his practice. </w:t>
      </w:r>
    </w:p>
    <w:p w:rsidR="00000000" w:rsidDel="00000000" w:rsidP="00000000" w:rsidRDefault="00000000" w:rsidRPr="00000000" w14:paraId="0000006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Misconduct and Consequences </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and above that, an advocate who neglects duty to cause losses to their client may be cited for professional misconduct and handled in line with the law. Section 60(1) of the Advocates Act</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states that “the expression professional misconduct includes </w:t>
      </w:r>
      <w:r w:rsidDel="00000000" w:rsidR="00000000" w:rsidRPr="00000000">
        <w:rPr>
          <w:rFonts w:ascii="Times New Roman" w:cs="Times New Roman" w:eastAsia="Times New Roman" w:hAnsi="Times New Roman"/>
          <w:b w:val="1"/>
          <w:sz w:val="24"/>
          <w:szCs w:val="24"/>
          <w:rtl w:val="0"/>
        </w:rPr>
        <w:t xml:space="preserve">disgraceful or dishonourable conduct incompatible with the status of an Advocate</w:t>
      </w:r>
      <w:r w:rsidDel="00000000" w:rsidR="00000000" w:rsidRPr="00000000">
        <w:rPr>
          <w:rFonts w:ascii="Times New Roman" w:cs="Times New Roman" w:eastAsia="Times New Roman" w:hAnsi="Times New Roman"/>
          <w:sz w:val="24"/>
          <w:szCs w:val="24"/>
          <w:rtl w:val="0"/>
        </w:rPr>
        <w:t xml:space="preserve">.” The concept of professional misconduct is wide and the categories of behaviour that would be considered as amounting to misconduct. </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is given in Part C of the SOPPEC which described professional misconduct as </w:t>
      </w:r>
      <w:r w:rsidDel="00000000" w:rsidR="00000000" w:rsidRPr="00000000">
        <w:rPr>
          <w:rFonts w:ascii="Times New Roman" w:cs="Times New Roman" w:eastAsia="Times New Roman" w:hAnsi="Times New Roman"/>
          <w:i w:val="1"/>
          <w:sz w:val="24"/>
          <w:szCs w:val="24"/>
          <w:rtl w:val="0"/>
        </w:rPr>
        <w:t xml:space="preserve">“the concept of professional misconduct therefore defines the standard of professional practice and ethical conduct expected of a member of the legal profession. In regard to the legal profession in Kenya the rules and standards governing the behavior of Advocates are found in different texts, including the Advocates Act (which deals with admission and discipline), the rules made under it and standards and guidelines issued by the Law Society.”</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professional misconduct is distinguishable from unprofessional conduct which is defined in the SOPPEC as </w:t>
      </w:r>
      <w:r w:rsidDel="00000000" w:rsidR="00000000" w:rsidRPr="00000000">
        <w:rPr>
          <w:rFonts w:ascii="Times New Roman" w:cs="Times New Roman" w:eastAsia="Times New Roman" w:hAnsi="Times New Roman"/>
          <w:i w:val="1"/>
          <w:sz w:val="24"/>
          <w:szCs w:val="24"/>
          <w:rtl w:val="0"/>
        </w:rPr>
        <w:t xml:space="preserve">“conduct which falls below the standard one may reasonably expect of a practicing Advocate in terms of competence or unbecoming behavior (i.e. behavior not becoming of an Advocate but occurring outside of the context of legal practice)”.</w:t>
      </w: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allegation of professional misconducts attracts disciplinary procedures against an advocate. Disciplining advocates is governed by the Advocates Act and the SOPPEC. Under </w:t>
      </w:r>
      <w:r w:rsidDel="00000000" w:rsidR="00000000" w:rsidRPr="00000000">
        <w:rPr>
          <w:rFonts w:ascii="Times New Roman" w:cs="Times New Roman" w:eastAsia="Times New Roman" w:hAnsi="Times New Roman"/>
          <w:b w:val="1"/>
          <w:sz w:val="24"/>
          <w:szCs w:val="24"/>
          <w:rtl w:val="0"/>
        </w:rPr>
        <w:t xml:space="preserve">section 55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b w:val="1"/>
          <w:sz w:val="24"/>
          <w:szCs w:val="24"/>
          <w:rtl w:val="0"/>
        </w:rPr>
        <w:t xml:space="preserve"> Advocates Act,</w:t>
      </w:r>
      <w:r w:rsidDel="00000000" w:rsidR="00000000" w:rsidRPr="00000000">
        <w:rPr>
          <w:rFonts w:ascii="Times New Roman" w:cs="Times New Roman" w:eastAsia="Times New Roman" w:hAnsi="Times New Roman"/>
          <w:sz w:val="24"/>
          <w:szCs w:val="24"/>
          <w:rtl w:val="0"/>
        </w:rPr>
        <w:t xml:space="preserve"> the Disciplinary Tribunal has jurisdiction to hear and determine the complaint against the appellant as she is an advocate subject to the jurisdiction of the Tribunal; that the matter in issue was whether the allegations made against the appellant constituted “disgraceful or dishonourable conduct, incompatible with the status of an advocate;”</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hearing and conviction by the Tribunal an advocate faces the following consequences;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 struck off the roll of advocates;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suspended for up to 5 years;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fined; or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admonished</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being an advocate is a high calling that calls for high standard of moral and ethical uprightness. An advocate is often the last resort for their client in the specific matters they are instructed to pursue and accordingly one must push themselves to deliver their best to the client. It is in our view that the need to discharge duties ethically and professionally should be voluntary and an advocate should not wait for the law to compel them to serve their clients’ best interest. However, in the unfortunate instances where advocates fail to serve the interest of justice and their clients as expected, the law comes in to enforce compliance and attach responsibility. The Advocates Act and the SOPPEC governs the professional conduct of advocacy in Kenya. In the instant case, Mr. Kidera can explore the options of adjournment or request another advocate to hold their brief for the period he is going to be away. Additionally, in fulfilment of his fiduciary duties he must inform his clients of his absence and make the court aware that he will be absent for a justifiable cause, that is, to advance his studies. </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Noto Sans Symbols"/>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Black’s Law Dictionary (8</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Edition).</w:t>
      </w:r>
    </w:p>
  </w:footnote>
  <w:footnote w:id="1">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2016</w:t>
      </w:r>
    </w:p>
  </w:footnote>
  <w:footnote w:id="2">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Practice Directions on Standardization of Practice and Procedures in the High Court 2021 (Rule 29(b)</w:t>
      </w:r>
    </w:p>
  </w:footnote>
  <w:footnote w:id="3">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Odhiambo Owiti &amp; Co. Advocates V Equator Bottlers Ltd [2022] ELRC MISC Case No.1 of 2022</w:t>
      </w:r>
    </w:p>
  </w:footnote>
  <w:footnote w:id="4">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Chapter 16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2.00000000000003"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20" w:lineRule="auto"/>
    </w:pPr>
    <w:rPr>
      <w:rFonts w:ascii="Calibri" w:cs="Calibri" w:eastAsia="Calibri" w:hAnsi="Calibri"/>
      <w:b w:val="1"/>
      <w:smallCaps w:val="1"/>
      <w:sz w:val="28"/>
      <w:szCs w:val="28"/>
    </w:rPr>
  </w:style>
  <w:style w:type="paragraph" w:styleId="Heading2">
    <w:name w:val="heading 2"/>
    <w:basedOn w:val="Normal"/>
    <w:next w:val="Normal"/>
    <w:pPr>
      <w:keepNext w:val="1"/>
      <w:keepLines w:val="1"/>
      <w:spacing w:after="0" w:before="120" w:lineRule="auto"/>
    </w:pPr>
    <w:rPr>
      <w:rFonts w:ascii="Calibri" w:cs="Calibri" w:eastAsia="Calibri" w:hAnsi="Calibri"/>
      <w:b w:val="1"/>
      <w:sz w:val="28"/>
      <w:szCs w:val="28"/>
    </w:rPr>
  </w:style>
  <w:style w:type="paragraph" w:styleId="Heading3">
    <w:name w:val="heading 3"/>
    <w:basedOn w:val="Normal"/>
    <w:next w:val="Normal"/>
    <w:pPr>
      <w:keepNext w:val="1"/>
      <w:keepLines w:val="1"/>
      <w:spacing w:after="0" w:before="120" w:lineRule="auto"/>
    </w:pPr>
    <w:rPr>
      <w:rFonts w:ascii="Calibri" w:cs="Calibri" w:eastAsia="Calibri" w:hAnsi="Calibri"/>
      <w:sz w:val="24"/>
      <w:szCs w:val="24"/>
    </w:rPr>
  </w:style>
  <w:style w:type="paragraph" w:styleId="Heading4">
    <w:name w:val="heading 4"/>
    <w:basedOn w:val="Normal"/>
    <w:next w:val="Normal"/>
    <w:pPr>
      <w:keepNext w:val="1"/>
      <w:keepLines w:val="1"/>
      <w:spacing w:after="0" w:before="120" w:lineRule="auto"/>
    </w:pPr>
    <w:rPr>
      <w:rFonts w:ascii="Calibri" w:cs="Calibri" w:eastAsia="Calibri" w:hAnsi="Calibri"/>
      <w:i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b w:val="1"/>
    </w:rPr>
  </w:style>
  <w:style w:type="paragraph" w:styleId="Heading6">
    <w:name w:val="heading 6"/>
    <w:basedOn w:val="Normal"/>
    <w:next w:val="Normal"/>
    <w:pPr>
      <w:keepNext w:val="1"/>
      <w:keepLines w:val="1"/>
      <w:spacing w:after="0" w:before="120" w:lineRule="auto"/>
    </w:pPr>
    <w:rPr>
      <w:rFonts w:ascii="Calibri" w:cs="Calibri" w:eastAsia="Calibri" w:hAnsi="Calibri"/>
      <w:b w:val="1"/>
      <w:i w:val="1"/>
    </w:rPr>
  </w:style>
  <w:style w:type="paragraph" w:styleId="Title">
    <w:name w:val="Title"/>
    <w:basedOn w:val="Normal"/>
    <w:next w:val="Normal"/>
    <w:pPr>
      <w:spacing w:after="0" w:line="240" w:lineRule="auto"/>
      <w:jc w:val="center"/>
    </w:pPr>
    <w:rPr>
      <w:rFonts w:ascii="Calibri" w:cs="Calibri" w:eastAsia="Calibri" w:hAnsi="Calibri"/>
      <w:b w:val="1"/>
      <w:sz w:val="48"/>
      <w:szCs w:val="48"/>
    </w:rPr>
  </w:style>
  <w:style w:type="paragraph" w:styleId="Subtitle">
    <w:name w:val="Subtitle"/>
    <w:basedOn w:val="Normal"/>
    <w:next w:val="Normal"/>
    <w:pPr>
      <w:spacing w:after="240" w:lineRule="auto"/>
      <w:jc w:val="center"/>
    </w:pPr>
    <w:rPr>
      <w:rFonts w:ascii="Calibri" w:cs="Calibri" w:eastAsia="Calibri" w:hAnsi="Calibri"/>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