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21E6DAC" w:rsidR="004464A9" w:rsidRPr="008915DB" w:rsidRDefault="002B1C71" w:rsidP="00692756">
      <w:pPr>
        <w:spacing w:before="240" w:line="240" w:lineRule="auto"/>
        <w:jc w:val="center"/>
        <w:rPr>
          <w:rFonts w:ascii="Times New Roman" w:eastAsia="Times New Roman" w:hAnsi="Times New Roman" w:cs="Times New Roman"/>
          <w:b/>
          <w:u w:val="single"/>
        </w:rPr>
      </w:pPr>
      <w:r w:rsidRPr="008915DB">
        <w:rPr>
          <w:rFonts w:ascii="Times New Roman" w:eastAsia="Times New Roman" w:hAnsi="Times New Roman" w:cs="Times New Roman"/>
          <w:b/>
          <w:u w:val="single"/>
        </w:rPr>
        <w:t>THE RELATIONSHIP BETWEEN TRIAL ADVOCACY AND INTERNATIONAL LAW</w:t>
      </w:r>
    </w:p>
    <w:p w14:paraId="00000003" w14:textId="7B17912E" w:rsidR="004464A9" w:rsidRPr="008915DB" w:rsidRDefault="00AA6B4A" w:rsidP="00692756">
      <w:pPr>
        <w:spacing w:before="240" w:line="240" w:lineRule="auto"/>
        <w:jc w:val="both"/>
        <w:rPr>
          <w:rFonts w:ascii="Times New Roman" w:eastAsia="Times New Roman" w:hAnsi="Times New Roman" w:cs="Times New Roman"/>
        </w:rPr>
      </w:pPr>
      <w:r w:rsidRPr="008915DB">
        <w:rPr>
          <w:rFonts w:ascii="Times New Roman" w:eastAsia="Times New Roman" w:hAnsi="Times New Roman" w:cs="Times New Roman"/>
        </w:rPr>
        <w:t>First, international law establishes principles and standards which encompass various aspects of trial advocacy to which states have an obligation to adhere. For instance, the rules of natural justice which entail the right to a fair hearing and freedom from bias are enshrined under Article 10 of the Universal Declaration of Human Rights. The presumption of innocence of an accused person and their right to present a defence is further provided under Article 11(1) of the UDHR. These principles are buttressed by the International Covenant on Civil and Political Rights, which additionally states that any arrested person shall be entitled to trial within a reasonable time</w:t>
      </w:r>
      <w:r w:rsidR="00220F85">
        <w:rPr>
          <w:rFonts w:ascii="Times New Roman" w:eastAsia="Times New Roman" w:hAnsi="Times New Roman" w:cs="Times New Roman"/>
        </w:rPr>
        <w:t>.</w:t>
      </w:r>
      <w:r w:rsidRPr="008915DB">
        <w:rPr>
          <w:rFonts w:ascii="Times New Roman" w:eastAsia="Times New Roman" w:hAnsi="Times New Roman" w:cs="Times New Roman"/>
          <w:vertAlign w:val="superscript"/>
        </w:rPr>
        <w:footnoteReference w:id="1"/>
      </w:r>
      <w:r w:rsidRPr="008915DB">
        <w:rPr>
          <w:rFonts w:ascii="Times New Roman" w:eastAsia="Times New Roman" w:hAnsi="Times New Roman" w:cs="Times New Roman"/>
        </w:rPr>
        <w:t xml:space="preserve"> </w:t>
      </w:r>
    </w:p>
    <w:p w14:paraId="00000004" w14:textId="3E1B4F41" w:rsidR="004464A9" w:rsidRPr="008915DB" w:rsidRDefault="00AA6B4A" w:rsidP="00692756">
      <w:pPr>
        <w:spacing w:before="240" w:line="240" w:lineRule="auto"/>
        <w:jc w:val="both"/>
        <w:rPr>
          <w:rFonts w:ascii="Times New Roman" w:eastAsia="Times New Roman" w:hAnsi="Times New Roman" w:cs="Times New Roman"/>
        </w:rPr>
      </w:pPr>
      <w:r w:rsidRPr="008915DB">
        <w:rPr>
          <w:rFonts w:ascii="Times New Roman" w:eastAsia="Times New Roman" w:hAnsi="Times New Roman" w:cs="Times New Roman"/>
        </w:rPr>
        <w:t>The United Nations Declaration of Basic Principles of Justice for Victims of Crime and Abuse of Power emphasises that victims should be treated fairly and with dignity throughout the judicial process</w:t>
      </w:r>
      <w:r w:rsidR="00220F85">
        <w:rPr>
          <w:rFonts w:ascii="Times New Roman" w:eastAsia="Times New Roman" w:hAnsi="Times New Roman" w:cs="Times New Roman"/>
        </w:rPr>
        <w:t>.</w:t>
      </w:r>
      <w:r w:rsidRPr="008915DB">
        <w:rPr>
          <w:rFonts w:ascii="Times New Roman" w:eastAsia="Times New Roman" w:hAnsi="Times New Roman" w:cs="Times New Roman"/>
          <w:vertAlign w:val="superscript"/>
        </w:rPr>
        <w:footnoteReference w:id="2"/>
      </w:r>
      <w:r w:rsidRPr="008915DB">
        <w:rPr>
          <w:rFonts w:ascii="Times New Roman" w:eastAsia="Times New Roman" w:hAnsi="Times New Roman" w:cs="Times New Roman"/>
        </w:rPr>
        <w:t xml:space="preserve">  Moreover, the needs of the victims should be facilitated by, among other things, allowing their views and concerns to be presented and considered at appropriate stages of the proceedings</w:t>
      </w:r>
      <w:r w:rsidRPr="008915DB">
        <w:rPr>
          <w:rFonts w:ascii="Times New Roman" w:eastAsia="Times New Roman" w:hAnsi="Times New Roman" w:cs="Times New Roman"/>
          <w:vertAlign w:val="superscript"/>
        </w:rPr>
        <w:footnoteReference w:id="3"/>
      </w:r>
      <w:r w:rsidRPr="008915DB">
        <w:rPr>
          <w:rFonts w:ascii="Times New Roman" w:eastAsia="Times New Roman" w:hAnsi="Times New Roman" w:cs="Times New Roman"/>
        </w:rPr>
        <w:t>, taking measures to ensure their safety and to protect their privacy where necessary</w:t>
      </w:r>
      <w:r w:rsidRPr="008915DB">
        <w:rPr>
          <w:rFonts w:ascii="Times New Roman" w:eastAsia="Times New Roman" w:hAnsi="Times New Roman" w:cs="Times New Roman"/>
          <w:vertAlign w:val="superscript"/>
        </w:rPr>
        <w:footnoteReference w:id="4"/>
      </w:r>
      <w:r w:rsidRPr="008915DB">
        <w:rPr>
          <w:rFonts w:ascii="Times New Roman" w:eastAsia="Times New Roman" w:hAnsi="Times New Roman" w:cs="Times New Roman"/>
        </w:rPr>
        <w:t xml:space="preserve"> and providing proper assistance to victims throughout the legal process. Moreover, the practice of the ICC has developed to allow victims: to make an opening and closing statement; to attend and participate in hearings and status conferences through written submissions and oral argument; to introduce evidence and challenge admissibility of evidence with leave of the court; and to question witnesses and/or the accused under the strict control of the court</w:t>
      </w:r>
      <w:r w:rsidR="00220F85">
        <w:rPr>
          <w:rFonts w:ascii="Times New Roman" w:eastAsia="Times New Roman" w:hAnsi="Times New Roman" w:cs="Times New Roman"/>
        </w:rPr>
        <w:t>.</w:t>
      </w:r>
      <w:r w:rsidRPr="008915DB">
        <w:rPr>
          <w:rFonts w:ascii="Times New Roman" w:eastAsia="Times New Roman" w:hAnsi="Times New Roman" w:cs="Times New Roman"/>
          <w:vertAlign w:val="superscript"/>
        </w:rPr>
        <w:footnoteReference w:id="5"/>
      </w:r>
      <w:r w:rsidRPr="008915DB">
        <w:rPr>
          <w:rFonts w:ascii="Times New Roman" w:eastAsia="Times New Roman" w:hAnsi="Times New Roman" w:cs="Times New Roman"/>
        </w:rPr>
        <w:t xml:space="preserve"> </w:t>
      </w:r>
    </w:p>
    <w:p w14:paraId="00000006" w14:textId="357194ED" w:rsidR="004464A9" w:rsidRPr="008915DB" w:rsidRDefault="00AA6B4A" w:rsidP="00692756">
      <w:pPr>
        <w:spacing w:before="240" w:line="240" w:lineRule="auto"/>
        <w:jc w:val="both"/>
        <w:rPr>
          <w:rFonts w:ascii="Times New Roman" w:eastAsia="Times New Roman" w:hAnsi="Times New Roman" w:cs="Times New Roman"/>
        </w:rPr>
      </w:pPr>
      <w:r w:rsidRPr="008915DB">
        <w:rPr>
          <w:rFonts w:ascii="Times New Roman" w:eastAsia="Times New Roman" w:hAnsi="Times New Roman" w:cs="Times New Roman"/>
        </w:rPr>
        <w:t>The UN Basic Principles on the Role of Lawyers recognizes that lawyers are essential agents of the administration of justice. It therefore provides that all persons are entitled to call upon the assistance of a lawyer of their choice to protect and establish their rights and to defend them in all stages of criminal proceedings</w:t>
      </w:r>
      <w:r w:rsidRPr="008915DB">
        <w:rPr>
          <w:rFonts w:ascii="Times New Roman" w:eastAsia="Times New Roman" w:hAnsi="Times New Roman" w:cs="Times New Roman"/>
          <w:vertAlign w:val="superscript"/>
        </w:rPr>
        <w:footnoteReference w:id="6"/>
      </w:r>
      <w:r w:rsidRPr="008915DB">
        <w:rPr>
          <w:rFonts w:ascii="Times New Roman" w:eastAsia="Times New Roman" w:hAnsi="Times New Roman" w:cs="Times New Roman"/>
        </w:rPr>
        <w:t>. It further elaborates the duties that lawyers have towards their clients, including: advising clients as to their legal rights and obligations, taking legal action to protect their interests</w:t>
      </w:r>
      <w:r w:rsidRPr="008915DB">
        <w:rPr>
          <w:rFonts w:ascii="Times New Roman" w:eastAsia="Times New Roman" w:hAnsi="Times New Roman" w:cs="Times New Roman"/>
          <w:vertAlign w:val="superscript"/>
        </w:rPr>
        <w:footnoteReference w:id="7"/>
      </w:r>
      <w:r w:rsidRPr="008915DB">
        <w:rPr>
          <w:rFonts w:ascii="Times New Roman" w:eastAsia="Times New Roman" w:hAnsi="Times New Roman" w:cs="Times New Roman"/>
        </w:rPr>
        <w:t>.</w:t>
      </w:r>
      <w:r w:rsidR="00845615" w:rsidRPr="00845615">
        <w:t xml:space="preserve"> </w:t>
      </w:r>
      <w:r w:rsidR="00845615" w:rsidRPr="00845615">
        <w:rPr>
          <w:rFonts w:ascii="Times New Roman" w:eastAsia="Times New Roman" w:hAnsi="Times New Roman" w:cs="Times New Roman"/>
        </w:rPr>
        <w:t>This duties and rights can be seen in the case of The High Court Criminal Case No. 56 of 2011 at Nairobi – Republic V. Paul Mwangi Macharia, “where the accused was charged with the offence of murder, the High Court allowed an advocate watching brief for the family of the deceased to participate in an application for admission of the accused to bail. In that case, the advocate for the family of the deceased submitted that Article 50 of the Constitution gives the victims of crime a right to participate in criminal trials.”</w:t>
      </w:r>
      <w:r w:rsidR="00845615">
        <w:rPr>
          <w:rFonts w:ascii="Times New Roman" w:eastAsia="Times New Roman" w:hAnsi="Times New Roman" w:cs="Times New Roman"/>
        </w:rPr>
        <w:t xml:space="preserve"> </w:t>
      </w:r>
    </w:p>
    <w:p w14:paraId="00000007" w14:textId="77777777" w:rsidR="004464A9" w:rsidRPr="008915DB" w:rsidRDefault="00AA6B4A" w:rsidP="00692756">
      <w:pPr>
        <w:spacing w:before="240" w:line="240" w:lineRule="auto"/>
        <w:jc w:val="both"/>
        <w:rPr>
          <w:rFonts w:ascii="Times New Roman" w:eastAsia="Times New Roman" w:hAnsi="Times New Roman" w:cs="Times New Roman"/>
        </w:rPr>
      </w:pPr>
      <w:r w:rsidRPr="008915DB">
        <w:rPr>
          <w:rFonts w:ascii="Times New Roman" w:eastAsia="Times New Roman" w:hAnsi="Times New Roman" w:cs="Times New Roman"/>
        </w:rPr>
        <w:t>Secondly, various institutions have been set up by virtue of international law to provide an avenue for trial advocacy. For example, the International Court of justice has been established by the Charter of the United Nations as the principal judicial organ</w:t>
      </w:r>
      <w:r w:rsidRPr="008915DB">
        <w:rPr>
          <w:rFonts w:ascii="Times New Roman" w:eastAsia="Times New Roman" w:hAnsi="Times New Roman" w:cs="Times New Roman"/>
          <w:vertAlign w:val="superscript"/>
        </w:rPr>
        <w:footnoteReference w:id="8"/>
      </w:r>
      <w:r w:rsidRPr="008915DB">
        <w:rPr>
          <w:rFonts w:ascii="Times New Roman" w:eastAsia="Times New Roman" w:hAnsi="Times New Roman" w:cs="Times New Roman"/>
        </w:rPr>
        <w:t xml:space="preserve"> with the jurisdiction to hear all cases which parties to the UN refer to it and all matters provided for in treaties</w:t>
      </w:r>
      <w:r w:rsidRPr="008915DB">
        <w:rPr>
          <w:rFonts w:ascii="Times New Roman" w:eastAsia="Times New Roman" w:hAnsi="Times New Roman" w:cs="Times New Roman"/>
          <w:vertAlign w:val="superscript"/>
        </w:rPr>
        <w:footnoteReference w:id="9"/>
      </w:r>
      <w:r w:rsidRPr="008915DB">
        <w:rPr>
          <w:rFonts w:ascii="Times New Roman" w:eastAsia="Times New Roman" w:hAnsi="Times New Roman" w:cs="Times New Roman"/>
        </w:rPr>
        <w:t>.</w:t>
      </w:r>
    </w:p>
    <w:p w14:paraId="1075A212" w14:textId="65E5A180" w:rsidR="003836BA" w:rsidRDefault="00AA6B4A" w:rsidP="00692756">
      <w:pPr>
        <w:spacing w:before="240" w:line="240" w:lineRule="auto"/>
        <w:jc w:val="both"/>
        <w:rPr>
          <w:rFonts w:ascii="Times New Roman" w:eastAsia="Times New Roman" w:hAnsi="Times New Roman" w:cs="Times New Roman"/>
        </w:rPr>
      </w:pPr>
      <w:r w:rsidRPr="008915DB">
        <w:rPr>
          <w:rFonts w:ascii="Times New Roman" w:eastAsia="Times New Roman" w:hAnsi="Times New Roman" w:cs="Times New Roman"/>
        </w:rPr>
        <w:t xml:space="preserve">Moreover, Article 1 of the Rome Statute establishes the International Criminal Court as a permanent institution with the power to exercise jurisdiction over persons for the most serious crimes of international concern </w:t>
      </w:r>
      <w:r w:rsidR="008915DB" w:rsidRPr="008915DB">
        <w:rPr>
          <w:rFonts w:ascii="Times New Roman" w:eastAsia="Times New Roman" w:hAnsi="Times New Roman" w:cs="Times New Roman"/>
        </w:rPr>
        <w:t>for instance</w:t>
      </w:r>
      <w:r w:rsidRPr="008915DB">
        <w:rPr>
          <w:rFonts w:ascii="Times New Roman" w:eastAsia="Times New Roman" w:hAnsi="Times New Roman" w:cs="Times New Roman"/>
        </w:rPr>
        <w:t xml:space="preserve"> genocide, crimes against humanity, war crimes and aggression. In</w:t>
      </w:r>
      <w:r w:rsidR="00692756">
        <w:rPr>
          <w:rFonts w:ascii="Times New Roman" w:eastAsia="Times New Roman" w:hAnsi="Times New Roman" w:cs="Times New Roman"/>
        </w:rPr>
        <w:t xml:space="preserve"> </w:t>
      </w:r>
      <w:r w:rsidRPr="008915DB">
        <w:rPr>
          <w:rFonts w:ascii="Times New Roman" w:eastAsia="Times New Roman" w:hAnsi="Times New Roman" w:cs="Times New Roman"/>
        </w:rPr>
        <w:t>circumstances where a state is unwilling or unable to genuinely carry out investigation or prosecution against the perpetrator of these crimes, proceedings against the individual may be instituted at the ICC.</w:t>
      </w:r>
      <w:r w:rsidRPr="008915DB">
        <w:rPr>
          <w:rFonts w:ascii="Times New Roman" w:eastAsia="Times New Roman" w:hAnsi="Times New Roman" w:cs="Times New Roman"/>
          <w:vertAlign w:val="superscript"/>
        </w:rPr>
        <w:footnoteReference w:id="10"/>
      </w:r>
    </w:p>
    <w:p w14:paraId="606E390A" w14:textId="77777777" w:rsidR="00CF6442" w:rsidRDefault="00CF6442" w:rsidP="00692756">
      <w:pPr>
        <w:spacing w:before="240" w:line="240" w:lineRule="auto"/>
        <w:jc w:val="center"/>
        <w:rPr>
          <w:rFonts w:ascii="Times New Roman" w:eastAsia="Times New Roman" w:hAnsi="Times New Roman" w:cs="Times New Roman"/>
          <w:b/>
          <w:bCs/>
          <w:u w:val="single"/>
          <w:lang w:val="en-US"/>
        </w:rPr>
      </w:pPr>
    </w:p>
    <w:p w14:paraId="16B09803" w14:textId="77777777" w:rsidR="00CF6442" w:rsidRDefault="00CF6442" w:rsidP="00692756">
      <w:pPr>
        <w:spacing w:before="240" w:line="240" w:lineRule="auto"/>
        <w:jc w:val="center"/>
        <w:rPr>
          <w:rFonts w:ascii="Times New Roman" w:eastAsia="Times New Roman" w:hAnsi="Times New Roman" w:cs="Times New Roman"/>
          <w:b/>
          <w:bCs/>
          <w:u w:val="single"/>
          <w:lang w:val="en-US"/>
        </w:rPr>
      </w:pPr>
    </w:p>
    <w:p w14:paraId="7D441D22" w14:textId="77777777" w:rsidR="00CF6442" w:rsidRDefault="00CF6442" w:rsidP="00692756">
      <w:pPr>
        <w:spacing w:before="240" w:line="240" w:lineRule="auto"/>
        <w:jc w:val="center"/>
        <w:rPr>
          <w:rFonts w:ascii="Times New Roman" w:eastAsia="Times New Roman" w:hAnsi="Times New Roman" w:cs="Times New Roman"/>
          <w:b/>
          <w:bCs/>
          <w:u w:val="single"/>
          <w:lang w:val="en-US"/>
        </w:rPr>
      </w:pPr>
    </w:p>
    <w:p w14:paraId="32FD12F2" w14:textId="391EAFCA" w:rsidR="003836BA" w:rsidRDefault="003836BA" w:rsidP="00692756">
      <w:pPr>
        <w:spacing w:before="240" w:line="240" w:lineRule="auto"/>
        <w:jc w:val="center"/>
        <w:rPr>
          <w:rFonts w:ascii="Times New Roman" w:eastAsia="Times New Roman" w:hAnsi="Times New Roman" w:cs="Times New Roman"/>
          <w:b/>
          <w:bCs/>
          <w:u w:val="single"/>
          <w:lang w:val="en-US"/>
        </w:rPr>
      </w:pPr>
      <w:r w:rsidRPr="003836BA">
        <w:rPr>
          <w:rFonts w:ascii="Times New Roman" w:eastAsia="Times New Roman" w:hAnsi="Times New Roman" w:cs="Times New Roman"/>
          <w:b/>
          <w:bCs/>
          <w:u w:val="single"/>
          <w:lang w:val="en-US"/>
        </w:rPr>
        <w:t>SOURCES OF INTERNATIONAL LAW</w:t>
      </w:r>
    </w:p>
    <w:p w14:paraId="31CCA428" w14:textId="1083D0C3" w:rsidR="003836BA" w:rsidRPr="003836BA" w:rsidRDefault="00CF6442" w:rsidP="00692756">
      <w:pPr>
        <w:spacing w:before="240" w:line="240" w:lineRule="auto"/>
        <w:jc w:val="both"/>
        <w:rPr>
          <w:rFonts w:ascii="Times New Roman" w:eastAsia="Times New Roman" w:hAnsi="Times New Roman" w:cs="Times New Roman"/>
          <w:lang w:val="en-US"/>
        </w:rPr>
      </w:pPr>
      <w:r w:rsidRPr="00CF6442">
        <w:rPr>
          <w:rFonts w:ascii="Times New Roman" w:eastAsia="Times New Roman" w:hAnsi="Times New Roman" w:cs="Times New Roman"/>
          <w:lang w:val="en-US"/>
        </w:rPr>
        <w:t>HLA Hart asserts that every legal system's "rule of recognition" serves as a means of identifying laws that are legitimate. The 2010 Kenyan Constitution is the rule of recognition in Kenya and serves as the foundation for all legal legitimacy. The Kenyan Constitution enumerates the fundamental principles of international law as part of Kenyan law in order to fulfill this duty. It further specifies that "any treaty or convention ratified by Kenya" becomes a part of Kenyan legislation.</w:t>
      </w:r>
      <w:r>
        <w:rPr>
          <w:rFonts w:ascii="Times New Roman" w:eastAsia="Times New Roman" w:hAnsi="Times New Roman" w:cs="Times New Roman"/>
          <w:lang w:val="en-US"/>
        </w:rPr>
        <w:t xml:space="preserve"> </w:t>
      </w:r>
      <w:r w:rsidR="003836BA" w:rsidRPr="003836BA">
        <w:rPr>
          <w:rFonts w:ascii="Times New Roman" w:eastAsia="Times New Roman" w:hAnsi="Times New Roman" w:cs="Times New Roman"/>
          <w:lang w:val="en-US"/>
        </w:rPr>
        <w:t>Any</w:t>
      </w:r>
      <w:r>
        <w:rPr>
          <w:rFonts w:ascii="Times New Roman" w:eastAsia="Times New Roman" w:hAnsi="Times New Roman" w:cs="Times New Roman"/>
          <w:lang w:val="en-US"/>
        </w:rPr>
        <w:t xml:space="preserve"> </w:t>
      </w:r>
      <w:r w:rsidR="003836BA" w:rsidRPr="003836BA">
        <w:rPr>
          <w:rFonts w:ascii="Times New Roman" w:eastAsia="Times New Roman" w:hAnsi="Times New Roman" w:cs="Times New Roman"/>
          <w:lang w:val="en-US"/>
        </w:rPr>
        <w:t>convention or treaty accepted by Kenya shall become part of Kenyan law, as stated in Article 2(6) of the Constitution.</w:t>
      </w:r>
      <w:r w:rsidR="003836BA" w:rsidRPr="003836BA">
        <w:rPr>
          <w:rFonts w:ascii="Times New Roman" w:eastAsia="Times New Roman" w:hAnsi="Times New Roman" w:cs="Times New Roman"/>
          <w:vertAlign w:val="superscript"/>
          <w:lang w:val="en-US"/>
        </w:rPr>
        <w:footnoteReference w:id="11"/>
      </w:r>
      <w:r w:rsidR="003836BA" w:rsidRPr="003836BA">
        <w:rPr>
          <w:rFonts w:ascii="Times New Roman" w:eastAsia="Times New Roman" w:hAnsi="Times New Roman" w:cs="Times New Roman"/>
          <w:lang w:val="en-US"/>
        </w:rPr>
        <w:t xml:space="preserve"> In general, treaties and international conventions are seen as vital sources of law, particularly when it comes to trial advocacy, international problems, or interstate conflicts.</w:t>
      </w:r>
    </w:p>
    <w:p w14:paraId="12C26EFF" w14:textId="77777777" w:rsidR="003836BA" w:rsidRPr="003836BA" w:rsidRDefault="003836BA" w:rsidP="00692756">
      <w:p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International Customary Law according to article 38 (1)(b) of the ICJ Statute</w:t>
      </w:r>
      <w:r w:rsidRPr="003836BA">
        <w:rPr>
          <w:rFonts w:ascii="Times New Roman" w:eastAsia="Times New Roman" w:hAnsi="Times New Roman" w:cs="Times New Roman"/>
          <w:vertAlign w:val="superscript"/>
          <w:lang w:val="en-US"/>
        </w:rPr>
        <w:footnoteReference w:id="12"/>
      </w:r>
      <w:r w:rsidRPr="003836BA">
        <w:rPr>
          <w:rFonts w:ascii="Times New Roman" w:eastAsia="Times New Roman" w:hAnsi="Times New Roman" w:cs="Times New Roman"/>
          <w:lang w:val="en-US"/>
        </w:rPr>
        <w:t xml:space="preserve"> is considered to form part of International Law. Article 92 of the United Nations Charter</w:t>
      </w:r>
      <w:r w:rsidRPr="003836BA">
        <w:rPr>
          <w:rFonts w:ascii="Times New Roman" w:eastAsia="Times New Roman" w:hAnsi="Times New Roman" w:cs="Times New Roman"/>
          <w:vertAlign w:val="superscript"/>
          <w:lang w:val="en-US"/>
        </w:rPr>
        <w:footnoteReference w:id="13"/>
      </w:r>
      <w:r w:rsidRPr="003836BA">
        <w:rPr>
          <w:rFonts w:ascii="Times New Roman" w:eastAsia="Times New Roman" w:hAnsi="Times New Roman" w:cs="Times New Roman"/>
          <w:lang w:val="en-US"/>
        </w:rPr>
        <w:t xml:space="preserve"> echoes these sentiments. Examples of these International customs include Opinio Juris Sive Nessecitatis and State Practise.</w:t>
      </w:r>
    </w:p>
    <w:p w14:paraId="4828E5A8" w14:textId="77777777" w:rsidR="003836BA" w:rsidRPr="003836BA" w:rsidRDefault="003836BA" w:rsidP="00692756">
      <w:p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 xml:space="preserve">General principles of International Law are also sources of international law. They include </w:t>
      </w:r>
    </w:p>
    <w:p w14:paraId="63FF40A3" w14:textId="77777777" w:rsidR="003836BA" w:rsidRPr="003836BA" w:rsidRDefault="003836BA" w:rsidP="00692756">
      <w:pPr>
        <w:numPr>
          <w:ilvl w:val="0"/>
          <w:numId w:val="2"/>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Laches refers to the failure to act promptly and diligently in pursuing a legal claim, particularly in relation to equity. This delay can be considered unfair to the defending party and can result in prejudice. It is often used as a defense in a lawsuit seeking an equitable remedy.</w:t>
      </w:r>
    </w:p>
    <w:p w14:paraId="525F888D" w14:textId="77777777" w:rsidR="003836BA" w:rsidRPr="003836BA" w:rsidRDefault="003836BA" w:rsidP="00692756">
      <w:pPr>
        <w:numPr>
          <w:ilvl w:val="0"/>
          <w:numId w:val="2"/>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 xml:space="preserve">Good Faith is a broad term that's used to encompass honest dealing. Depending on the exact setting, good faith may require an honest belief or purpose, faithful performance of duties, observance of fair dealing standards, or an absence of fraudulent intent. </w:t>
      </w:r>
    </w:p>
    <w:p w14:paraId="3606732C" w14:textId="77777777" w:rsidR="003836BA" w:rsidRPr="003836BA" w:rsidRDefault="003836BA" w:rsidP="00692756">
      <w:pPr>
        <w:numPr>
          <w:ilvl w:val="0"/>
          <w:numId w:val="2"/>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Res Judicata is a claim preclusion that bars re-litigation of any matter that was before a competent court with   requisite jurisdiction.</w:t>
      </w:r>
    </w:p>
    <w:p w14:paraId="307D32AE" w14:textId="39FE48B7" w:rsidR="003836BA" w:rsidRDefault="003836BA" w:rsidP="00692756">
      <w:pPr>
        <w:numPr>
          <w:ilvl w:val="0"/>
          <w:numId w:val="2"/>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Impartiality of judges means to preside over a matter without prejudice and in all fairness without personal bias; pecuniary bias; subject matter bias; departmental bias; preconceived bias; or obstinate bias.</w:t>
      </w:r>
    </w:p>
    <w:p w14:paraId="6B38768F" w14:textId="77777777" w:rsidR="003836BA" w:rsidRPr="003836BA" w:rsidRDefault="003836BA" w:rsidP="00692756">
      <w:pPr>
        <w:spacing w:before="240" w:line="240" w:lineRule="auto"/>
        <w:jc w:val="both"/>
        <w:rPr>
          <w:rFonts w:ascii="Times New Roman" w:eastAsia="Times New Roman" w:hAnsi="Times New Roman" w:cs="Times New Roman"/>
          <w:lang w:val="en-US"/>
        </w:rPr>
      </w:pPr>
    </w:p>
    <w:p w14:paraId="4E0E12EE" w14:textId="77777777" w:rsidR="003836BA" w:rsidRPr="003836BA" w:rsidRDefault="003836BA" w:rsidP="00692756">
      <w:pPr>
        <w:spacing w:before="240" w:line="240" w:lineRule="auto"/>
        <w:jc w:val="both"/>
        <w:rPr>
          <w:rFonts w:ascii="Times New Roman" w:eastAsia="Times New Roman" w:hAnsi="Times New Roman" w:cs="Times New Roman"/>
          <w:b/>
          <w:bCs/>
          <w:lang w:val="en-US"/>
        </w:rPr>
      </w:pPr>
      <w:r w:rsidRPr="003836BA">
        <w:rPr>
          <w:rFonts w:ascii="Times New Roman" w:eastAsia="Times New Roman" w:hAnsi="Times New Roman" w:cs="Times New Roman"/>
          <w:b/>
          <w:bCs/>
          <w:lang w:val="en-US"/>
        </w:rPr>
        <w:t>The UN Basic principles on the Role of Lawyers</w:t>
      </w:r>
    </w:p>
    <w:p w14:paraId="0CF90683" w14:textId="77777777" w:rsidR="003836BA" w:rsidRPr="003836BA" w:rsidRDefault="003836BA" w:rsidP="00692756">
      <w:pPr>
        <w:numPr>
          <w:ilvl w:val="0"/>
          <w:numId w:val="1"/>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The United Nations Charter declares that among its goals is the achievement of international cooperation in promoting and encouraging respect for human rights and fundamental freedoms without distinction as to race, sex, language, or religion. The peoples of the world affirm, among other things, their determination to establish conditions under which justice can be maintained.</w:t>
      </w:r>
      <w:r w:rsidRPr="003836BA">
        <w:rPr>
          <w:rFonts w:ascii="Times New Roman" w:eastAsia="Times New Roman" w:hAnsi="Times New Roman" w:cs="Times New Roman"/>
          <w:vertAlign w:val="superscript"/>
          <w:lang w:val="en-US"/>
        </w:rPr>
        <w:footnoteReference w:id="14"/>
      </w:r>
    </w:p>
    <w:p w14:paraId="487B7F18" w14:textId="77777777" w:rsidR="003836BA" w:rsidRPr="003836BA" w:rsidRDefault="003836BA" w:rsidP="00692756">
      <w:pPr>
        <w:numPr>
          <w:ilvl w:val="0"/>
          <w:numId w:val="1"/>
        </w:numPr>
        <w:spacing w:before="240" w:line="240" w:lineRule="auto"/>
        <w:jc w:val="both"/>
        <w:rPr>
          <w:rFonts w:ascii="Times New Roman" w:eastAsia="Times New Roman" w:hAnsi="Times New Roman" w:cs="Times New Roman"/>
          <w:lang w:val="en-US"/>
        </w:rPr>
      </w:pPr>
      <w:bookmarkStart w:id="0" w:name="_Hlk158581857"/>
      <w:r w:rsidRPr="003836BA">
        <w:rPr>
          <w:rFonts w:ascii="Times New Roman" w:eastAsia="Times New Roman" w:hAnsi="Times New Roman" w:cs="Times New Roman"/>
          <w:lang w:val="en-US"/>
        </w:rPr>
        <w:t xml:space="preserve">The Universal Declaration of Human Rights </w:t>
      </w:r>
      <w:bookmarkEnd w:id="0"/>
      <w:r w:rsidRPr="003836BA">
        <w:rPr>
          <w:rFonts w:ascii="Times New Roman" w:eastAsia="Times New Roman" w:hAnsi="Times New Roman" w:cs="Times New Roman"/>
          <w:lang w:val="en-US"/>
        </w:rPr>
        <w:t>codifies the following fundamental ideas: everyone accused of a crime has the right to a fair trial by an impartial, independent judiciary; everyone has the presumption of innocence; and everyone has access to all the protections required for their defense.</w:t>
      </w:r>
      <w:r w:rsidRPr="003836BA">
        <w:rPr>
          <w:rFonts w:ascii="Times New Roman" w:eastAsia="Times New Roman" w:hAnsi="Times New Roman" w:cs="Times New Roman"/>
          <w:vertAlign w:val="superscript"/>
          <w:lang w:val="en-US"/>
        </w:rPr>
        <w:footnoteReference w:id="15"/>
      </w:r>
    </w:p>
    <w:p w14:paraId="44C79BB4" w14:textId="77777777" w:rsidR="003836BA" w:rsidRPr="003836BA" w:rsidRDefault="003836BA" w:rsidP="00692756">
      <w:pPr>
        <w:numPr>
          <w:ilvl w:val="0"/>
          <w:numId w:val="1"/>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lastRenderedPageBreak/>
        <w:t xml:space="preserve">Additionally, the </w:t>
      </w:r>
      <w:bookmarkStart w:id="1" w:name="_Hlk158581826"/>
      <w:r w:rsidRPr="003836BA">
        <w:rPr>
          <w:rFonts w:ascii="Times New Roman" w:eastAsia="Times New Roman" w:hAnsi="Times New Roman" w:cs="Times New Roman"/>
          <w:lang w:val="en-US"/>
        </w:rPr>
        <w:t xml:space="preserve">International Covenant on Civil and Political Rights </w:t>
      </w:r>
      <w:bookmarkEnd w:id="1"/>
      <w:r w:rsidRPr="003836BA">
        <w:rPr>
          <w:rFonts w:ascii="Times New Roman" w:eastAsia="Times New Roman" w:hAnsi="Times New Roman" w:cs="Times New Roman"/>
          <w:lang w:val="en-US"/>
        </w:rPr>
        <w:t>affirms the right to a prompt trial and the right to a public, competent, and impartial judiciary established by law, as well as the right to a fair trial.</w:t>
      </w:r>
      <w:r w:rsidRPr="003836BA">
        <w:rPr>
          <w:rFonts w:ascii="Times New Roman" w:eastAsia="Times New Roman" w:hAnsi="Times New Roman" w:cs="Times New Roman"/>
          <w:vertAlign w:val="superscript"/>
          <w:lang w:val="en-US"/>
        </w:rPr>
        <w:footnoteReference w:id="16"/>
      </w:r>
    </w:p>
    <w:p w14:paraId="38AD1604" w14:textId="77777777" w:rsidR="003836BA" w:rsidRPr="003836BA" w:rsidRDefault="003836BA" w:rsidP="00692756">
      <w:pPr>
        <w:numPr>
          <w:ilvl w:val="0"/>
          <w:numId w:val="1"/>
        </w:numPr>
        <w:spacing w:before="240" w:line="240" w:lineRule="auto"/>
        <w:jc w:val="both"/>
        <w:rPr>
          <w:rFonts w:ascii="Times New Roman" w:eastAsia="Times New Roman" w:hAnsi="Times New Roman" w:cs="Times New Roman"/>
          <w:lang w:val="en-US"/>
        </w:rPr>
      </w:pPr>
      <w:bookmarkStart w:id="2" w:name="_Hlk158581923"/>
      <w:r w:rsidRPr="003836BA">
        <w:rPr>
          <w:rFonts w:ascii="Times New Roman" w:eastAsia="Times New Roman" w:hAnsi="Times New Roman" w:cs="Times New Roman"/>
          <w:lang w:val="en-US"/>
        </w:rPr>
        <w:t xml:space="preserve">The International Covenant on Economic, Social, and Cultural Rights </w:t>
      </w:r>
      <w:bookmarkEnd w:id="2"/>
      <w:r w:rsidRPr="003836BA">
        <w:rPr>
          <w:rFonts w:ascii="Times New Roman" w:eastAsia="Times New Roman" w:hAnsi="Times New Roman" w:cs="Times New Roman"/>
          <w:lang w:val="en-US"/>
        </w:rPr>
        <w:t>reminds states of their duty under the Charter to further respect for and observance of human rights and freedoms on a universal basis.</w:t>
      </w:r>
      <w:r w:rsidRPr="003836BA">
        <w:rPr>
          <w:rFonts w:ascii="Times New Roman" w:eastAsia="Times New Roman" w:hAnsi="Times New Roman" w:cs="Times New Roman"/>
          <w:vertAlign w:val="superscript"/>
          <w:lang w:val="en-US"/>
        </w:rPr>
        <w:footnoteReference w:id="17"/>
      </w:r>
    </w:p>
    <w:p w14:paraId="6332782F" w14:textId="77777777" w:rsidR="003836BA" w:rsidRPr="003836BA" w:rsidRDefault="003836BA" w:rsidP="00692756">
      <w:pPr>
        <w:numPr>
          <w:ilvl w:val="0"/>
          <w:numId w:val="1"/>
        </w:num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 xml:space="preserve">Measures to be implemented at the national and international levels to enhance victims of crime's access to justice and fair treatment, restitution, compensation, and assistance are recommended by the </w:t>
      </w:r>
      <w:bookmarkStart w:id="3" w:name="_Hlk158581965"/>
      <w:r w:rsidRPr="003836BA">
        <w:rPr>
          <w:rFonts w:ascii="Times New Roman" w:eastAsia="Times New Roman" w:hAnsi="Times New Roman" w:cs="Times New Roman"/>
          <w:lang w:val="en-US"/>
        </w:rPr>
        <w:t>Declaration of Basic Principles of Justice for Victims of Crime and Abuse of Power</w:t>
      </w:r>
      <w:bookmarkEnd w:id="3"/>
      <w:r w:rsidRPr="003836BA">
        <w:rPr>
          <w:rFonts w:ascii="Times New Roman" w:eastAsia="Times New Roman" w:hAnsi="Times New Roman" w:cs="Times New Roman"/>
          <w:lang w:val="en-US"/>
        </w:rPr>
        <w:t>.</w:t>
      </w:r>
      <w:r w:rsidRPr="003836BA">
        <w:rPr>
          <w:rFonts w:ascii="Times New Roman" w:eastAsia="Times New Roman" w:hAnsi="Times New Roman" w:cs="Times New Roman"/>
          <w:vertAlign w:val="superscript"/>
          <w:lang w:val="en-US"/>
        </w:rPr>
        <w:footnoteReference w:id="18"/>
      </w:r>
    </w:p>
    <w:p w14:paraId="4B93FCEE" w14:textId="1A108F01" w:rsidR="003836BA" w:rsidRPr="00692756" w:rsidRDefault="003836BA" w:rsidP="00692756">
      <w:pPr>
        <w:spacing w:before="240" w:line="240" w:lineRule="auto"/>
        <w:jc w:val="both"/>
        <w:rPr>
          <w:rFonts w:ascii="Times New Roman" w:eastAsia="Times New Roman" w:hAnsi="Times New Roman" w:cs="Times New Roman"/>
          <w:lang w:val="en-US"/>
        </w:rPr>
      </w:pPr>
      <w:r w:rsidRPr="003836BA">
        <w:rPr>
          <w:rFonts w:ascii="Times New Roman" w:eastAsia="Times New Roman" w:hAnsi="Times New Roman" w:cs="Times New Roman"/>
          <w:lang w:val="en-US"/>
        </w:rPr>
        <w:t>Ensuring that everyone has effective access to legal services offered by an independent legal profession is necessary for the sufficient preservation of the fundamental freedoms and human rights to which all people are entitled, regardless of their economic, social, or cultural background or their civil and political status.</w:t>
      </w:r>
    </w:p>
    <w:p w14:paraId="1AEE55E9" w14:textId="269D1F4A" w:rsidR="002B1C71" w:rsidRDefault="002B1C71" w:rsidP="00692756">
      <w:pPr>
        <w:spacing w:before="240" w:line="240" w:lineRule="auto"/>
        <w:jc w:val="center"/>
        <w:rPr>
          <w:rFonts w:ascii="Times New Roman" w:eastAsia="Times New Roman" w:hAnsi="Times New Roman" w:cs="Times New Roman"/>
          <w:b/>
          <w:bCs/>
          <w:u w:val="single"/>
          <w:lang w:val="en-US"/>
        </w:rPr>
      </w:pPr>
      <w:r w:rsidRPr="002B1C71">
        <w:rPr>
          <w:rFonts w:ascii="Times New Roman" w:eastAsia="Times New Roman" w:hAnsi="Times New Roman" w:cs="Times New Roman"/>
          <w:b/>
          <w:bCs/>
          <w:u w:val="single"/>
          <w:lang w:val="en-US"/>
        </w:rPr>
        <w:t>NEXUS BETWEEN INTERNATIONAL LAW AND MUNICIPAL LAW</w:t>
      </w:r>
    </w:p>
    <w:p w14:paraId="1D4AA9E5" w14:textId="5FC0B7F3" w:rsidR="00CF6442" w:rsidRPr="00CF6442" w:rsidRDefault="00CF6442" w:rsidP="00CF6442">
      <w:pPr>
        <w:spacing w:before="240" w:line="240" w:lineRule="auto"/>
        <w:jc w:val="both"/>
        <w:rPr>
          <w:rFonts w:ascii="Times New Roman" w:eastAsia="Times New Roman" w:hAnsi="Times New Roman" w:cs="Times New Roman"/>
          <w:lang w:val="en-US"/>
        </w:rPr>
      </w:pPr>
      <w:r w:rsidRPr="00CF6442">
        <w:rPr>
          <w:rFonts w:ascii="Times New Roman" w:eastAsia="Times New Roman" w:hAnsi="Times New Roman" w:cs="Times New Roman"/>
          <w:lang w:val="en-US"/>
        </w:rPr>
        <w:t>A significant shift from dualism to neither pure dualism nor pure monism was implemented in the domestication of treaty provisions, as stated in Article 2(6) of the Kenyan Constitution of 2010. According to pure monism, natural law originates from a single, unified source. According to this idea, both domestic and international law are expressions of a same legal theory and belong to a single order. It teaches that all law, domestic or foreign, is one and that, as a result, international law is naturally or directly integrated into municipal law without the need for a special act of adoption. Stated differently, monism equalizes internal or domestic law with international law.</w:t>
      </w:r>
      <w:r>
        <w:rPr>
          <w:rFonts w:ascii="Times New Roman" w:eastAsia="Times New Roman" w:hAnsi="Times New Roman" w:cs="Times New Roman"/>
          <w:lang w:val="en-US"/>
        </w:rPr>
        <w:t xml:space="preserve"> </w:t>
      </w:r>
      <w:r w:rsidRPr="00CF6442">
        <w:rPr>
          <w:rFonts w:ascii="Times New Roman" w:eastAsia="Times New Roman" w:hAnsi="Times New Roman" w:cs="Times New Roman"/>
          <w:lang w:val="en-US"/>
        </w:rPr>
        <w:t>General principles of international law are incorporated into Kenyan law under Article 2(5) of the Kenya Constitution of 2010. But unlike Germany, for example, it does not elevate international law above national law. Treaties ratified by Kenya are incorporated into Kenyan law by Article 2(6).</w:t>
      </w:r>
    </w:p>
    <w:p w14:paraId="1206F630" w14:textId="0FA1A011" w:rsidR="002B1C71" w:rsidRPr="002B1C71" w:rsidRDefault="002B1C71" w:rsidP="00692756">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t xml:space="preserve">In </w:t>
      </w:r>
      <w:r w:rsidR="00845615" w:rsidRPr="00845615">
        <w:rPr>
          <w:rFonts w:ascii="Times New Roman" w:eastAsia="Times New Roman" w:hAnsi="Times New Roman" w:cs="Times New Roman"/>
          <w:lang w:val="en-US"/>
        </w:rPr>
        <w:t>the case of East African Community v. Republic [1970]: where it is stated that “First, it is quite clear that the Constitution of Kenya is paramount and any law, whether it be of Kenya, of the Community or of any other country which has been applied in Kenya, which is in conflict with the Constitution is void to the extent of the conflict.  The courts are the guardian of the Constitution and their duty is in all circumstances to enforce its provisions as they are interpreted by the court”</w:t>
      </w:r>
      <w:r w:rsidR="00220F85">
        <w:rPr>
          <w:rFonts w:ascii="Times New Roman" w:eastAsia="Times New Roman" w:hAnsi="Times New Roman" w:cs="Times New Roman"/>
          <w:lang w:val="en-US"/>
        </w:rPr>
        <w:t xml:space="preserve"> </w:t>
      </w:r>
      <w:r w:rsidRPr="002B1C71">
        <w:rPr>
          <w:rFonts w:ascii="Times New Roman" w:eastAsia="Times New Roman" w:hAnsi="Times New Roman" w:cs="Times New Roman"/>
          <w:lang w:val="en-US"/>
        </w:rPr>
        <w:t>As a result, there is a link between the two legal systems that employs two primary strategies.</w:t>
      </w:r>
    </w:p>
    <w:p w14:paraId="0C4DFAD9" w14:textId="77777777" w:rsidR="00CF6442" w:rsidRDefault="002B1C71" w:rsidP="00CF6442">
      <w:pPr>
        <w:spacing w:before="240" w:line="240" w:lineRule="auto"/>
        <w:jc w:val="center"/>
        <w:rPr>
          <w:rFonts w:ascii="Times New Roman" w:eastAsia="Times New Roman" w:hAnsi="Times New Roman" w:cs="Times New Roman"/>
          <w:lang w:val="en-US"/>
        </w:rPr>
      </w:pPr>
      <w:r w:rsidRPr="002B1C71">
        <w:rPr>
          <w:rFonts w:ascii="Times New Roman" w:eastAsia="Times New Roman" w:hAnsi="Times New Roman" w:cs="Times New Roman"/>
          <w:b/>
          <w:bCs/>
          <w:u w:val="single"/>
          <w:lang w:val="en-US"/>
        </w:rPr>
        <w:t>Theoretical and Jurisprudential Method</w:t>
      </w:r>
    </w:p>
    <w:p w14:paraId="399C0516" w14:textId="5C5D8F44" w:rsidR="002B1C71" w:rsidRPr="002B1C71" w:rsidRDefault="002B1C71" w:rsidP="00CF6442">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t>This has to do with the debate over whether municipal law and international law belong to the same universal legal order or are two separate legal systems. The dualist or monist perspectives serve as the foundation for the consideration of this issue.</w:t>
      </w:r>
    </w:p>
    <w:p w14:paraId="317BF5B5" w14:textId="77777777" w:rsidR="002B1C71" w:rsidRPr="002B1C71" w:rsidRDefault="002B1C71" w:rsidP="00692756">
      <w:pPr>
        <w:spacing w:before="240" w:line="240" w:lineRule="auto"/>
        <w:jc w:val="center"/>
        <w:rPr>
          <w:rFonts w:ascii="Times New Roman" w:eastAsia="Times New Roman" w:hAnsi="Times New Roman" w:cs="Times New Roman"/>
          <w:lang w:val="en-US"/>
        </w:rPr>
      </w:pPr>
      <w:r w:rsidRPr="002B1C71">
        <w:rPr>
          <w:rFonts w:ascii="Times New Roman" w:eastAsia="Times New Roman" w:hAnsi="Times New Roman" w:cs="Times New Roman"/>
          <w:b/>
          <w:bCs/>
          <w:u w:val="single"/>
          <w:lang w:val="en-US"/>
        </w:rPr>
        <w:t>Dualist Methodology</w:t>
      </w:r>
      <w:r w:rsidRPr="002B1C71">
        <w:rPr>
          <w:rFonts w:ascii="Times New Roman" w:eastAsia="Times New Roman" w:hAnsi="Times New Roman" w:cs="Times New Roman"/>
          <w:lang w:val="en-US"/>
        </w:rPr>
        <w:br/>
      </w:r>
    </w:p>
    <w:p w14:paraId="7B8DFCFD" w14:textId="77777777" w:rsidR="002B1C71" w:rsidRPr="002B1C71" w:rsidRDefault="002B1C71" w:rsidP="00692756">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t>This argument is based on the idea that although municipal law regulates ties among residents within a specific state, international law regulates relations among nations in the international arena. Because of this, no legal system has the authority to establish or modify another's laws. When municipal law stipulates that international law is applicable in whole or in part within municipal jurisdiction, this is simply the application of municipal law's authority to adopt or modify international law's provisions.</w:t>
      </w:r>
    </w:p>
    <w:p w14:paraId="112F66C1" w14:textId="77777777" w:rsidR="002B1C71" w:rsidRPr="002B1C71" w:rsidRDefault="002B1C71" w:rsidP="00692756">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lastRenderedPageBreak/>
        <w:t>In Pattni and Others v. Republic</w:t>
      </w:r>
      <w:r w:rsidRPr="002B1C71">
        <w:rPr>
          <w:rFonts w:ascii="Times New Roman" w:eastAsia="Times New Roman" w:hAnsi="Times New Roman" w:cs="Times New Roman"/>
          <w:vertAlign w:val="superscript"/>
          <w:lang w:val="en-US"/>
        </w:rPr>
        <w:footnoteReference w:id="19"/>
      </w:r>
      <w:r w:rsidRPr="002B1C71">
        <w:rPr>
          <w:rFonts w:ascii="Times New Roman" w:eastAsia="Times New Roman" w:hAnsi="Times New Roman" w:cs="Times New Roman"/>
          <w:lang w:val="en-US"/>
        </w:rPr>
        <w:t>, the Court decided that foreign law could only be incorporated into Kenyan written law after that point.</w:t>
      </w:r>
    </w:p>
    <w:p w14:paraId="6B39C526" w14:textId="56F50A8B" w:rsidR="00416B4A" w:rsidRPr="002B1C71" w:rsidRDefault="002B1C71" w:rsidP="00692756">
      <w:pPr>
        <w:spacing w:before="240" w:line="240" w:lineRule="auto"/>
        <w:jc w:val="center"/>
        <w:rPr>
          <w:rFonts w:ascii="Times New Roman" w:eastAsia="Times New Roman" w:hAnsi="Times New Roman" w:cs="Times New Roman"/>
          <w:b/>
          <w:bCs/>
          <w:u w:val="single"/>
          <w:lang w:val="en-US"/>
        </w:rPr>
      </w:pPr>
      <w:r w:rsidRPr="002B1C71">
        <w:rPr>
          <w:rFonts w:ascii="Times New Roman" w:eastAsia="Times New Roman" w:hAnsi="Times New Roman" w:cs="Times New Roman"/>
          <w:b/>
          <w:bCs/>
          <w:u w:val="single"/>
          <w:lang w:val="en-US"/>
        </w:rPr>
        <w:t xml:space="preserve">Monist </w:t>
      </w:r>
      <w:proofErr w:type="spellStart"/>
      <w:r w:rsidRPr="002B1C71">
        <w:rPr>
          <w:rFonts w:ascii="Times New Roman" w:eastAsia="Times New Roman" w:hAnsi="Times New Roman" w:cs="Times New Roman"/>
          <w:b/>
          <w:bCs/>
          <w:u w:val="single"/>
          <w:lang w:val="en-US"/>
        </w:rPr>
        <w:t>Methodolgy</w:t>
      </w:r>
      <w:proofErr w:type="spellEnd"/>
    </w:p>
    <w:p w14:paraId="4091A6CD" w14:textId="31584FDB" w:rsidR="002B1C71" w:rsidRPr="002B1C71" w:rsidRDefault="002B1C71" w:rsidP="00692756">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t>This idea holds that international law is supreme even within municipal boundaries, and that international law and municipal law are components of the same universal legal system.</w:t>
      </w:r>
      <w:r w:rsidR="008915DB" w:rsidRPr="008915DB">
        <w:rPr>
          <w:rFonts w:ascii="Times New Roman" w:eastAsia="Times New Roman" w:hAnsi="Times New Roman" w:cs="Times New Roman"/>
          <w:lang w:val="en-US"/>
        </w:rPr>
        <w:t xml:space="preserve"> </w:t>
      </w:r>
      <w:r w:rsidRPr="002B1C71">
        <w:rPr>
          <w:rFonts w:ascii="Times New Roman" w:eastAsia="Times New Roman" w:hAnsi="Times New Roman" w:cs="Times New Roman"/>
          <w:lang w:val="en-US"/>
        </w:rPr>
        <w:t>They believe that a supreme universal law is a more reliable source of civilized values than national state local law. They contend that since a state is made up of its residents, it makes no difference if the law applies to individual persons or states.  According to them, since the two legal systems are interconnected and comprise a single legal framework, any interpretation that does not adhere to monism amounts to a denial of the actual legal nature of international law.</w:t>
      </w:r>
    </w:p>
    <w:p w14:paraId="7F923DC9" w14:textId="7ECB43CD" w:rsidR="002B1C71" w:rsidRPr="00692756" w:rsidRDefault="002B1C71" w:rsidP="00692756">
      <w:pPr>
        <w:spacing w:before="240" w:line="240" w:lineRule="auto"/>
        <w:jc w:val="both"/>
        <w:rPr>
          <w:rFonts w:ascii="Times New Roman" w:eastAsia="Times New Roman" w:hAnsi="Times New Roman" w:cs="Times New Roman"/>
          <w:lang w:val="en-US"/>
        </w:rPr>
      </w:pPr>
      <w:r w:rsidRPr="002B1C71">
        <w:rPr>
          <w:rFonts w:ascii="Times New Roman" w:eastAsia="Times New Roman" w:hAnsi="Times New Roman" w:cs="Times New Roman"/>
          <w:lang w:val="en-US"/>
        </w:rPr>
        <w:t>In conclusion, in order for the trial attorney to properly and convincingly present his case, he or she must be aware of the complexities surrounding international law as it relates to our legal system. The Court was very clear about the application of international law when it dismissed the Claimants' application against the Respondents, who were diplomats and as such enjoyed diplomatic immunity from any form of legal proceedings under a host of laws, as was the case in Karen Njeri Kandie v. Alsanne Ba and others [2015}. Thus, it is imperative that international law be recognized as such given its crucial role in Kenya's trial advocacy success.</w:t>
      </w:r>
    </w:p>
    <w:p w14:paraId="10E58947" w14:textId="29FF6ED4" w:rsidR="00AA6995" w:rsidRPr="00692756" w:rsidRDefault="00AA6995" w:rsidP="00692756">
      <w:pPr>
        <w:spacing w:before="240" w:line="240" w:lineRule="auto"/>
        <w:jc w:val="center"/>
        <w:rPr>
          <w:rFonts w:ascii="Times New Roman" w:hAnsi="Times New Roman" w:cs="Times New Roman"/>
          <w:b/>
          <w:bCs/>
          <w:u w:val="single"/>
        </w:rPr>
      </w:pPr>
      <w:r>
        <w:rPr>
          <w:rFonts w:ascii="Times New Roman" w:hAnsi="Times New Roman" w:cs="Times New Roman"/>
          <w:b/>
          <w:bCs/>
          <w:u w:val="single"/>
        </w:rPr>
        <w:t>TREATY RATIFICATION PROCESSES</w:t>
      </w:r>
    </w:p>
    <w:p w14:paraId="05D044BA" w14:textId="21E942EE" w:rsidR="00CF6442" w:rsidRPr="008915DB" w:rsidRDefault="008915DB" w:rsidP="00692756">
      <w:pPr>
        <w:pStyle w:val="NoSpacing"/>
        <w:spacing w:before="240"/>
        <w:jc w:val="both"/>
        <w:rPr>
          <w:rFonts w:ascii="Times New Roman" w:hAnsi="Times New Roman" w:cs="Times New Roman"/>
        </w:rPr>
      </w:pPr>
      <w:r w:rsidRPr="008915DB">
        <w:rPr>
          <w:rFonts w:ascii="Times New Roman" w:hAnsi="Times New Roman" w:cs="Times New Roman"/>
        </w:rPr>
        <w:t>In Kenya, incorporation of international law into the Kenyan law as anchored under article2(5) of the Kenyan constitution which provides that the general rules of international law shall form part of the laws of Kenya,</w:t>
      </w:r>
      <w:r w:rsidRPr="008915DB">
        <w:rPr>
          <w:rStyle w:val="FootnoteReference"/>
          <w:rFonts w:ascii="Times New Roman" w:hAnsi="Times New Roman" w:cs="Times New Roman"/>
        </w:rPr>
        <w:footnoteReference w:id="20"/>
      </w:r>
      <w:r w:rsidRPr="008915DB">
        <w:rPr>
          <w:rFonts w:ascii="Times New Roman" w:hAnsi="Times New Roman" w:cs="Times New Roman"/>
        </w:rPr>
        <w:t>.Additional to that, the constitution further provides that any treaty or convention ratified by Kenya shall also form part of the laws of Kenya,</w:t>
      </w:r>
      <w:r w:rsidRPr="008915DB">
        <w:rPr>
          <w:rStyle w:val="FootnoteReference"/>
          <w:rFonts w:ascii="Times New Roman" w:hAnsi="Times New Roman" w:cs="Times New Roman"/>
        </w:rPr>
        <w:footnoteReference w:id="21"/>
      </w:r>
      <w:r w:rsidRPr="008915DB">
        <w:rPr>
          <w:rFonts w:ascii="Times New Roman" w:hAnsi="Times New Roman" w:cs="Times New Roman"/>
        </w:rPr>
        <w:t>.</w:t>
      </w:r>
    </w:p>
    <w:p w14:paraId="22849E11" w14:textId="3E868429" w:rsidR="008915DB" w:rsidRDefault="00CF6442" w:rsidP="00692756">
      <w:pPr>
        <w:pStyle w:val="NoSpacing"/>
        <w:spacing w:before="240"/>
        <w:jc w:val="both"/>
        <w:rPr>
          <w:rFonts w:ascii="Times New Roman" w:hAnsi="Times New Roman" w:cs="Times New Roman"/>
        </w:rPr>
      </w:pPr>
      <w:r w:rsidRPr="00CF6442">
        <w:rPr>
          <w:rFonts w:ascii="Times New Roman" w:hAnsi="Times New Roman" w:cs="Times New Roman"/>
        </w:rPr>
        <w:t>The 2010 Kenyan Constitution, Article 2(6), brought about a radical shift from dualism to relative blend. In a pure dualist system, municipal legislation must be passed after a treaty is signed in order for its provisions to become domesticated. According to a pure monist system, treaties become immediately effective domestically upon ratification by the Executive, without the requirement for enabling local legislation. Inasmuch as signed treaties would take effect domestically right away, the Ratification of Treaties Bill 2012's proposed method is monist. On the other hand, it borrows ideas from the dualist system in that the Executive cannot carry out ratification without first undergoing a rigorous legislative vetting procedure.</w:t>
      </w:r>
      <w:r w:rsidR="008915DB" w:rsidRPr="008915DB">
        <w:rPr>
          <w:rStyle w:val="FootnoteReference"/>
          <w:rFonts w:ascii="Times New Roman" w:hAnsi="Times New Roman" w:cs="Times New Roman"/>
        </w:rPr>
        <w:footnoteReference w:id="22"/>
      </w:r>
    </w:p>
    <w:p w14:paraId="49890072" w14:textId="6731ABB8" w:rsidR="00CF6442" w:rsidRPr="008915DB" w:rsidRDefault="00CF6442" w:rsidP="00CF6442">
      <w:pPr>
        <w:pStyle w:val="NoSpacing"/>
        <w:spacing w:before="240"/>
        <w:jc w:val="both"/>
        <w:rPr>
          <w:rFonts w:ascii="Times New Roman" w:hAnsi="Times New Roman" w:cs="Times New Roman"/>
        </w:rPr>
      </w:pPr>
      <w:r w:rsidRPr="00CF6442">
        <w:rPr>
          <w:rFonts w:ascii="Times New Roman" w:hAnsi="Times New Roman" w:cs="Times New Roman"/>
        </w:rPr>
        <w:t xml:space="preserve">The concepts of incorporation and transformation, which serve as means of domesticating international law into municipal law, clearly illustrate this dualist/monist dichotomy. </w:t>
      </w:r>
      <w:r>
        <w:rPr>
          <w:rFonts w:ascii="Times New Roman" w:hAnsi="Times New Roman" w:cs="Times New Roman"/>
        </w:rPr>
        <w:t xml:space="preserve"> </w:t>
      </w:r>
      <w:r w:rsidRPr="00CF6442">
        <w:rPr>
          <w:rFonts w:ascii="Times New Roman" w:hAnsi="Times New Roman" w:cs="Times New Roman"/>
        </w:rPr>
        <w:t>The monist vantage holds that the "doctrine of incorporation" holds that international law is immediately integrated into municipal law and may be applied as such by municipal courts. The opposing viewpoint, which holds that "international law is not ipso facto a part of municipal law," is expressed by the "doctrine of transformation." It is the dualist approach that states that a norm of international law will only be incorporated into municipal law after being transformed into it by a legislation or Act of Parliament.</w:t>
      </w:r>
      <w:r>
        <w:rPr>
          <w:rFonts w:ascii="Times New Roman" w:hAnsi="Times New Roman" w:cs="Times New Roman"/>
        </w:rPr>
        <w:t xml:space="preserve"> </w:t>
      </w:r>
    </w:p>
    <w:p w14:paraId="1BAF7CBA" w14:textId="392F915F" w:rsidR="008915DB" w:rsidRDefault="008915DB" w:rsidP="00692756">
      <w:pPr>
        <w:pStyle w:val="NoSpacing"/>
        <w:spacing w:before="240"/>
        <w:jc w:val="both"/>
        <w:rPr>
          <w:rFonts w:ascii="Times New Roman" w:hAnsi="Times New Roman" w:cs="Times New Roman"/>
        </w:rPr>
      </w:pPr>
      <w:r w:rsidRPr="008915DB">
        <w:rPr>
          <w:rFonts w:ascii="Times New Roman" w:hAnsi="Times New Roman" w:cs="Times New Roman"/>
        </w:rPr>
        <w:t>International treaties when ratified into law and domesticated into the Kenyan laws, they operate and govern various given aspects of the society. Such aspects include trial advocacy including the conduct of advocated towards their clients and the society at large. The UN basic principles on the role of lawyers being a good example on how general principles of international law form part of the laws of Kenya,</w:t>
      </w:r>
      <w:r w:rsidRPr="008915DB">
        <w:rPr>
          <w:rStyle w:val="FootnoteReference"/>
          <w:rFonts w:ascii="Times New Roman" w:hAnsi="Times New Roman" w:cs="Times New Roman"/>
        </w:rPr>
        <w:footnoteReference w:id="23"/>
      </w:r>
      <w:r w:rsidRPr="008915DB">
        <w:rPr>
          <w:rFonts w:ascii="Times New Roman" w:hAnsi="Times New Roman" w:cs="Times New Roman"/>
        </w:rPr>
        <w:t xml:space="preserve">.  Such being due to the fact that such principles being expected of all lawyers across various </w:t>
      </w:r>
      <w:r w:rsidRPr="008915DB">
        <w:rPr>
          <w:rFonts w:ascii="Times New Roman" w:hAnsi="Times New Roman" w:cs="Times New Roman"/>
        </w:rPr>
        <w:lastRenderedPageBreak/>
        <w:t>jurisdictions. The obligation being placed on states to ensure thorough training and coaching of such professionals to attain the given standards.</w:t>
      </w:r>
      <w:r w:rsidR="00845615">
        <w:rPr>
          <w:rFonts w:ascii="Times New Roman" w:hAnsi="Times New Roman" w:cs="Times New Roman"/>
        </w:rPr>
        <w:t xml:space="preserve"> </w:t>
      </w:r>
      <w:r w:rsidR="00845615" w:rsidRPr="00845615">
        <w:rPr>
          <w:rFonts w:ascii="Times New Roman" w:hAnsi="Times New Roman" w:cs="Times New Roman"/>
        </w:rPr>
        <w:t xml:space="preserve">Treaties entered into by Kenya do not become Municipal Law </w:t>
      </w:r>
      <w:r w:rsidR="00845615">
        <w:rPr>
          <w:rFonts w:ascii="Times New Roman" w:hAnsi="Times New Roman" w:cs="Times New Roman"/>
        </w:rPr>
        <w:t>de</w:t>
      </w:r>
      <w:r w:rsidR="00845615" w:rsidRPr="00845615">
        <w:rPr>
          <w:rFonts w:ascii="Times New Roman" w:hAnsi="Times New Roman" w:cs="Times New Roman"/>
        </w:rPr>
        <w:t xml:space="preserve">spite being ratified but work hand in hand. However, if there is any conflict, the constitution of Kenya is paramount. This is clearly articulated in the case of Karen Njeri Kandie v Alassane Ba &amp; Another, Nairobi, Civil Appeal 20 of 2013 where the Court </w:t>
      </w:r>
      <w:proofErr w:type="spellStart"/>
      <w:proofErr w:type="gramStart"/>
      <w:r w:rsidR="00845615" w:rsidRPr="00845615">
        <w:rPr>
          <w:rFonts w:ascii="Times New Roman" w:hAnsi="Times New Roman" w:cs="Times New Roman"/>
        </w:rPr>
        <w:t>stated:“</w:t>
      </w:r>
      <w:proofErr w:type="gramEnd"/>
      <w:r w:rsidR="00845615" w:rsidRPr="00845615">
        <w:rPr>
          <w:rFonts w:ascii="Times New Roman" w:hAnsi="Times New Roman" w:cs="Times New Roman"/>
        </w:rPr>
        <w:t>We</w:t>
      </w:r>
      <w:proofErr w:type="spellEnd"/>
      <w:r w:rsidR="00845615" w:rsidRPr="00845615">
        <w:rPr>
          <w:rFonts w:ascii="Times New Roman" w:hAnsi="Times New Roman" w:cs="Times New Roman"/>
        </w:rPr>
        <w:t xml:space="preserve"> note also that other than declaring the Constitution’s pre-eminence in Kenya’s juridical system, the listing of the laws in the Article 2 of the Constitution does not denote any prioritization. That being so it is enough to observe that the international treaties and conventions are part of the laws of Kenya and are at least at par with other laws enacted by Parliament.”</w:t>
      </w:r>
    </w:p>
    <w:p w14:paraId="6B335CE0" w14:textId="2D7B6650" w:rsidR="008915DB" w:rsidRDefault="008915DB" w:rsidP="00692756">
      <w:pPr>
        <w:spacing w:before="240" w:line="240" w:lineRule="auto"/>
        <w:jc w:val="both"/>
        <w:rPr>
          <w:rFonts w:ascii="Times New Roman" w:hAnsi="Times New Roman" w:cs="Times New Roman"/>
        </w:rPr>
      </w:pPr>
      <w:r w:rsidRPr="008915DB">
        <w:rPr>
          <w:rFonts w:ascii="Times New Roman" w:hAnsi="Times New Roman" w:cs="Times New Roman"/>
        </w:rPr>
        <w:t>However, International law in itself faces various challenges that render it inferior as compared to the national laws in a country. One of the major challenges faced by international law being the concept of enforceability,</w:t>
      </w:r>
      <w:r w:rsidRPr="008915DB">
        <w:rPr>
          <w:rStyle w:val="FootnoteReference"/>
          <w:rFonts w:ascii="Times New Roman" w:hAnsi="Times New Roman" w:cs="Times New Roman"/>
        </w:rPr>
        <w:footnoteReference w:id="24"/>
      </w:r>
      <w:r w:rsidRPr="008915DB">
        <w:rPr>
          <w:rFonts w:ascii="Times New Roman" w:hAnsi="Times New Roman" w:cs="Times New Roman"/>
        </w:rPr>
        <w:t>. It being an established concept that international law cannot be enforced upon a state unless the given state consents to such enforcement,</w:t>
      </w:r>
      <w:r w:rsidRPr="008915DB">
        <w:rPr>
          <w:rStyle w:val="FootnoteReference"/>
          <w:rFonts w:ascii="Times New Roman" w:hAnsi="Times New Roman" w:cs="Times New Roman"/>
        </w:rPr>
        <w:footnoteReference w:id="25"/>
      </w:r>
      <w:r w:rsidRPr="008915DB">
        <w:rPr>
          <w:rFonts w:ascii="Times New Roman" w:hAnsi="Times New Roman" w:cs="Times New Roman"/>
        </w:rPr>
        <w:t xml:space="preserve">. The result of such a </w:t>
      </w:r>
      <w:proofErr w:type="gramStart"/>
      <w:r w:rsidRPr="008915DB">
        <w:rPr>
          <w:rFonts w:ascii="Times New Roman" w:hAnsi="Times New Roman" w:cs="Times New Roman"/>
        </w:rPr>
        <w:t>phenomena</w:t>
      </w:r>
      <w:proofErr w:type="gramEnd"/>
      <w:r w:rsidRPr="008915DB">
        <w:rPr>
          <w:rFonts w:ascii="Times New Roman" w:hAnsi="Times New Roman" w:cs="Times New Roman"/>
        </w:rPr>
        <w:t xml:space="preserve"> being that states are given a leeway to get away with various breaches of law unless they themselves consent to enforcement creating such law to which they are in breach of,</w:t>
      </w:r>
      <w:r w:rsidRPr="008915DB">
        <w:rPr>
          <w:rStyle w:val="FootnoteReference"/>
          <w:rFonts w:ascii="Times New Roman" w:hAnsi="Times New Roman" w:cs="Times New Roman"/>
        </w:rPr>
        <w:footnoteReference w:id="26"/>
      </w:r>
      <w:r w:rsidRPr="008915DB">
        <w:rPr>
          <w:rFonts w:ascii="Times New Roman" w:hAnsi="Times New Roman" w:cs="Times New Roman"/>
        </w:rPr>
        <w:t>.</w:t>
      </w:r>
    </w:p>
    <w:p w14:paraId="7653FB57" w14:textId="7E414BA2" w:rsidR="008915DB" w:rsidRDefault="008915DB" w:rsidP="00692756">
      <w:pPr>
        <w:spacing w:before="240" w:line="240" w:lineRule="auto"/>
        <w:jc w:val="both"/>
        <w:rPr>
          <w:rFonts w:ascii="Times New Roman" w:hAnsi="Times New Roman" w:cs="Times New Roman"/>
        </w:rPr>
      </w:pPr>
      <w:r w:rsidRPr="008915DB">
        <w:rPr>
          <w:rFonts w:ascii="Times New Roman" w:hAnsi="Times New Roman" w:cs="Times New Roman"/>
        </w:rPr>
        <w:t xml:space="preserve">It is therefore evident that international law plays a vital role in trial advocacy since general principles of international law are enforceable under domestic law and </w:t>
      </w:r>
      <w:proofErr w:type="gramStart"/>
      <w:r w:rsidRPr="008915DB">
        <w:rPr>
          <w:rFonts w:ascii="Times New Roman" w:hAnsi="Times New Roman" w:cs="Times New Roman"/>
        </w:rPr>
        <w:t>hence</w:t>
      </w:r>
      <w:proofErr w:type="gramEnd"/>
      <w:r w:rsidRPr="008915DB">
        <w:rPr>
          <w:rFonts w:ascii="Times New Roman" w:hAnsi="Times New Roman" w:cs="Times New Roman"/>
        </w:rPr>
        <w:t xml:space="preserve"> they are binding upon the conduct of lawyers as pertains the duty and responsibility owed to the clients and the courts by the given professional.</w:t>
      </w:r>
    </w:p>
    <w:p w14:paraId="079B5B22" w14:textId="2C5084EB" w:rsidR="00845615" w:rsidRPr="00845615" w:rsidRDefault="00845615" w:rsidP="00692756">
      <w:pPr>
        <w:spacing w:before="240" w:line="240" w:lineRule="auto"/>
        <w:jc w:val="center"/>
        <w:rPr>
          <w:rFonts w:ascii="Times New Roman" w:hAnsi="Times New Roman" w:cs="Times New Roman"/>
          <w:b/>
          <w:bCs/>
          <w:u w:val="single"/>
          <w:lang w:val="en-US"/>
        </w:rPr>
      </w:pPr>
      <w:r w:rsidRPr="00845615">
        <w:rPr>
          <w:rFonts w:ascii="Times New Roman" w:hAnsi="Times New Roman" w:cs="Times New Roman"/>
          <w:b/>
          <w:bCs/>
          <w:u w:val="single"/>
          <w:lang w:val="en-US"/>
        </w:rPr>
        <w:t>LOOPHOLES IN GENERAL PRINCIPLES OF INTERNATIONAL LAW</w:t>
      </w:r>
    </w:p>
    <w:p w14:paraId="2658F865" w14:textId="77777777"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General principles of international law provide a foundational framework for legal proceedings and advocacy in international contexts, however there are some potential loopholes associated with them. Here are some challenges associated with international law in the context of trial and advocacy.</w:t>
      </w:r>
    </w:p>
    <w:p w14:paraId="52C8E7D0" w14:textId="43CBD899" w:rsidR="00845615" w:rsidRPr="00845615" w:rsidRDefault="00845615" w:rsidP="00692756">
      <w:pPr>
        <w:spacing w:before="240" w:line="240" w:lineRule="auto"/>
        <w:jc w:val="center"/>
        <w:rPr>
          <w:rFonts w:ascii="Times New Roman" w:hAnsi="Times New Roman" w:cs="Times New Roman"/>
          <w:lang w:val="en-US"/>
        </w:rPr>
      </w:pPr>
      <w:r w:rsidRPr="00845615">
        <w:rPr>
          <w:rFonts w:ascii="Times New Roman" w:hAnsi="Times New Roman" w:cs="Times New Roman"/>
          <w:b/>
          <w:bCs/>
          <w:lang w:val="en-US"/>
        </w:rPr>
        <w:t>Vagueness and Ambiguity</w:t>
      </w:r>
      <w:r w:rsidRPr="00845615">
        <w:rPr>
          <w:rFonts w:ascii="Times New Roman" w:hAnsi="Times New Roman" w:cs="Times New Roman"/>
          <w:lang w:val="en-US"/>
        </w:rPr>
        <w:t>:</w:t>
      </w:r>
    </w:p>
    <w:p w14:paraId="6B819B49" w14:textId="44FEC67B"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 xml:space="preserve">General principles of international law can sometimes be vague or ambiguous, leaving room for interpretation. This ambiguity can lead to differing understandings of legal standards and may create uncertainty in legal arguments presented during trials. In </w:t>
      </w:r>
      <w:r w:rsidRPr="00845615">
        <w:rPr>
          <w:rFonts w:ascii="Times New Roman" w:hAnsi="Times New Roman" w:cs="Times New Roman"/>
          <w:i/>
          <w:iCs/>
          <w:lang w:val="en-US"/>
        </w:rPr>
        <w:t xml:space="preserve">Handyside </w:t>
      </w:r>
      <w:proofErr w:type="gramStart"/>
      <w:r w:rsidRPr="00845615">
        <w:rPr>
          <w:rFonts w:ascii="Times New Roman" w:hAnsi="Times New Roman" w:cs="Times New Roman"/>
          <w:i/>
          <w:iCs/>
          <w:lang w:val="en-US"/>
        </w:rPr>
        <w:t>v .</w:t>
      </w:r>
      <w:proofErr w:type="gramEnd"/>
      <w:r w:rsidRPr="00845615">
        <w:rPr>
          <w:rFonts w:ascii="Times New Roman" w:hAnsi="Times New Roman" w:cs="Times New Roman"/>
          <w:i/>
          <w:iCs/>
          <w:lang w:val="en-US"/>
        </w:rPr>
        <w:t xml:space="preserve"> United K </w:t>
      </w:r>
      <w:proofErr w:type="spellStart"/>
      <w:r w:rsidRPr="00845615">
        <w:rPr>
          <w:rFonts w:ascii="Times New Roman" w:hAnsi="Times New Roman" w:cs="Times New Roman"/>
          <w:i/>
          <w:iCs/>
          <w:lang w:val="en-US"/>
        </w:rPr>
        <w:t>ing</w:t>
      </w:r>
      <w:proofErr w:type="spellEnd"/>
      <w:r w:rsidRPr="00845615">
        <w:rPr>
          <w:rFonts w:ascii="Times New Roman" w:hAnsi="Times New Roman" w:cs="Times New Roman"/>
          <w:i/>
          <w:iCs/>
          <w:lang w:val="en-US"/>
        </w:rPr>
        <w:t xml:space="preserve"> </w:t>
      </w:r>
      <w:proofErr w:type="spellStart"/>
      <w:proofErr w:type="gramStart"/>
      <w:r w:rsidRPr="00845615">
        <w:rPr>
          <w:rFonts w:ascii="Times New Roman" w:hAnsi="Times New Roman" w:cs="Times New Roman"/>
          <w:i/>
          <w:iCs/>
          <w:lang w:val="en-US"/>
        </w:rPr>
        <w:t>dom</w:t>
      </w:r>
      <w:proofErr w:type="spellEnd"/>
      <w:r w:rsidRPr="00845615">
        <w:rPr>
          <w:rFonts w:ascii="Times New Roman" w:hAnsi="Times New Roman" w:cs="Times New Roman"/>
          <w:i/>
          <w:iCs/>
          <w:lang w:val="en-US"/>
        </w:rPr>
        <w:t xml:space="preserve">  (</w:t>
      </w:r>
      <w:proofErr w:type="gramEnd"/>
      <w:r w:rsidRPr="00845615">
        <w:rPr>
          <w:rFonts w:ascii="Times New Roman" w:hAnsi="Times New Roman" w:cs="Times New Roman"/>
          <w:i/>
          <w:iCs/>
          <w:lang w:val="en-US"/>
        </w:rPr>
        <w:t>1976)</w:t>
      </w:r>
      <w:r w:rsidRPr="00845615">
        <w:rPr>
          <w:rFonts w:ascii="Times New Roman" w:hAnsi="Times New Roman" w:cs="Times New Roman"/>
          <w:vertAlign w:val="superscript"/>
          <w:lang w:val="en-US"/>
        </w:rPr>
        <w:footnoteReference w:id="27"/>
      </w:r>
      <w:r w:rsidRPr="00845615">
        <w:rPr>
          <w:rFonts w:ascii="Times New Roman" w:hAnsi="Times New Roman" w:cs="Times New Roman"/>
          <w:lang w:val="en-US"/>
        </w:rPr>
        <w:t>: The European Court of Human Rights case dealt with the international interpretation of the  right to freedom of expression under Article 10 of the European Convention on Human Rights. The Court had to balance the right to freedom of expression against the need to protect public morals, highlighting the challenges of interpreting and applying general principles of human rights law in specific contexts.</w:t>
      </w:r>
    </w:p>
    <w:p w14:paraId="3E0E298F" w14:textId="77777777" w:rsidR="00845615" w:rsidRPr="00845615" w:rsidRDefault="00845615" w:rsidP="00692756">
      <w:pPr>
        <w:spacing w:before="240" w:line="240" w:lineRule="auto"/>
        <w:jc w:val="center"/>
        <w:rPr>
          <w:rFonts w:ascii="Times New Roman" w:hAnsi="Times New Roman" w:cs="Times New Roman"/>
          <w:lang w:val="en-US"/>
        </w:rPr>
      </w:pPr>
      <w:r w:rsidRPr="00845615">
        <w:rPr>
          <w:rFonts w:ascii="Times New Roman" w:hAnsi="Times New Roman" w:cs="Times New Roman"/>
          <w:b/>
          <w:bCs/>
          <w:lang w:val="en-US"/>
        </w:rPr>
        <w:t>Lack of Enforcement Mechanisms</w:t>
      </w:r>
    </w:p>
    <w:p w14:paraId="4EC612FF" w14:textId="77777777"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 xml:space="preserve">Unlike treaties and customary international law, general principles of international law may lack specific enforcement mechanisms. This can make it difficult to compel compliance with these principles or to hold parties accountable for violations, which may weaken their effectiveness in legal advocacy. In the case of </w:t>
      </w:r>
      <w:r w:rsidRPr="00845615">
        <w:rPr>
          <w:rFonts w:ascii="Times New Roman" w:hAnsi="Times New Roman" w:cs="Times New Roman"/>
          <w:i/>
          <w:iCs/>
          <w:lang w:val="en-US"/>
        </w:rPr>
        <w:t>Texaco v. Ecuador (2 018)</w:t>
      </w:r>
      <w:r w:rsidRPr="00845615">
        <w:rPr>
          <w:rFonts w:ascii="Times New Roman" w:hAnsi="Times New Roman" w:cs="Times New Roman"/>
          <w:i/>
          <w:iCs/>
          <w:vertAlign w:val="superscript"/>
          <w:lang w:val="en-US"/>
        </w:rPr>
        <w:footnoteReference w:id="28"/>
      </w:r>
      <w:r w:rsidRPr="00845615">
        <w:rPr>
          <w:rFonts w:ascii="Times New Roman" w:hAnsi="Times New Roman" w:cs="Times New Roman"/>
          <w:i/>
          <w:iCs/>
          <w:lang w:val="en-US"/>
        </w:rPr>
        <w:t xml:space="preserve">, </w:t>
      </w:r>
      <w:r w:rsidRPr="00845615">
        <w:rPr>
          <w:rFonts w:ascii="Times New Roman" w:hAnsi="Times New Roman" w:cs="Times New Roman"/>
          <w:lang w:val="en-US"/>
        </w:rPr>
        <w:t xml:space="preserve"> there was a legal dispute over environmental pollution in the Ecuadorian Amazon allegedly caused by oil drilling operations conducted by Texaco. While principles of international environmental law, such as the duty to prevent environmental harm, were invoked, enforcement challenges arose due to jurisdictional issues, resource constraints, and difficulties in holding transnational corporations accountable for environmental damage.</w:t>
      </w:r>
    </w:p>
    <w:p w14:paraId="1FD3AE7C" w14:textId="77777777" w:rsidR="00845615" w:rsidRPr="00845615" w:rsidRDefault="00845615" w:rsidP="00692756">
      <w:pPr>
        <w:spacing w:before="240" w:line="240" w:lineRule="auto"/>
        <w:jc w:val="both"/>
        <w:rPr>
          <w:rFonts w:ascii="Times New Roman" w:hAnsi="Times New Roman" w:cs="Times New Roman"/>
          <w:b/>
          <w:bCs/>
          <w:lang w:val="en-US"/>
        </w:rPr>
      </w:pPr>
      <w:r w:rsidRPr="00845615">
        <w:rPr>
          <w:rFonts w:ascii="Times New Roman" w:hAnsi="Times New Roman" w:cs="Times New Roman"/>
          <w:b/>
          <w:bCs/>
          <w:lang w:val="en-US"/>
        </w:rPr>
        <w:t xml:space="preserve">                                                     Limited Scope</w:t>
      </w:r>
    </w:p>
    <w:p w14:paraId="327B5979" w14:textId="4467CAE7"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lastRenderedPageBreak/>
        <w:t xml:space="preserve">General principles of international law may not cover all aspects of international legal disputes or may not be sufficiently developed in certain areas. This can create gaps in legal arguments and may require reliance on other sources of international law, such as treaties or customary practices. In the case </w:t>
      </w:r>
      <w:r w:rsidRPr="00845615">
        <w:rPr>
          <w:rFonts w:ascii="Times New Roman" w:hAnsi="Times New Roman" w:cs="Times New Roman"/>
          <w:i/>
          <w:iCs/>
          <w:lang w:val="en-US"/>
        </w:rPr>
        <w:t>Nicaragua v. United States (1986)</w:t>
      </w:r>
      <w:r w:rsidRPr="00845615">
        <w:rPr>
          <w:rFonts w:ascii="Times New Roman" w:hAnsi="Times New Roman" w:cs="Times New Roman"/>
          <w:vertAlign w:val="superscript"/>
          <w:lang w:val="en-US"/>
        </w:rPr>
        <w:footnoteReference w:id="29"/>
      </w:r>
      <w:r w:rsidRPr="00845615">
        <w:rPr>
          <w:rFonts w:ascii="Times New Roman" w:hAnsi="Times New Roman" w:cs="Times New Roman"/>
          <w:lang w:val="en-US"/>
        </w:rPr>
        <w:t xml:space="preserve"> before the International Court of Justice (ICJ), Nicaragua alleged that the United States violated its sovereignty by supporting armed groups (Contras) in Nicaragua's internal affairs. The case raised complex issues regarding the interpretation of state sovereignty and the principle of non-intervention in the internal affairs of other states, demonstrating the challenges of applying these principles in cases involving geopolitical interests.</w:t>
      </w:r>
    </w:p>
    <w:p w14:paraId="4124361F" w14:textId="77777777"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b/>
          <w:bCs/>
          <w:lang w:val="en-US"/>
        </w:rPr>
        <w:t xml:space="preserve">                                        Differing Interpretations</w:t>
      </w:r>
    </w:p>
    <w:p w14:paraId="267F7A13" w14:textId="616B1160" w:rsidR="00692756" w:rsidRPr="00692756"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 xml:space="preserve">States and international legal scholars may have differing interpretations of general principles of international law, particularly in cases where there is no clear consensus or established precedent. This can lead to conflicting legal arguments and may complicate advocacy efforts in international legal proceedings. In </w:t>
      </w:r>
      <w:r w:rsidRPr="00845615">
        <w:rPr>
          <w:rFonts w:ascii="Times New Roman" w:hAnsi="Times New Roman" w:cs="Times New Roman"/>
          <w:i/>
          <w:iCs/>
          <w:lang w:val="en-US"/>
        </w:rPr>
        <w:t>United States - Measures Affecting the Cross-Border Supply of Gambling and Betting Services (2005)</w:t>
      </w:r>
      <w:r w:rsidRPr="00845615">
        <w:rPr>
          <w:rFonts w:ascii="Times New Roman" w:hAnsi="Times New Roman" w:cs="Times New Roman"/>
          <w:i/>
          <w:iCs/>
          <w:vertAlign w:val="superscript"/>
          <w:lang w:val="en-US"/>
        </w:rPr>
        <w:footnoteReference w:id="30"/>
      </w:r>
      <w:r w:rsidRPr="00845615">
        <w:rPr>
          <w:rFonts w:ascii="Times New Roman" w:hAnsi="Times New Roman" w:cs="Times New Roman"/>
          <w:i/>
          <w:iCs/>
          <w:lang w:val="en-US"/>
        </w:rPr>
        <w:t xml:space="preserve"> </w:t>
      </w:r>
      <w:r w:rsidRPr="00845615">
        <w:rPr>
          <w:rFonts w:ascii="Times New Roman" w:hAnsi="Times New Roman" w:cs="Times New Roman"/>
          <w:lang w:val="en-US"/>
        </w:rPr>
        <w:t>a dispute before the World Trade Organization (WTO) involved conflicting interpretations of WTO rules on trade in services, particularly in relation to online gambling services. The case highlighted differing interpretations of general principles of international trade law, such as the principle of non-discrimination, and the challenges of reconciling national regulatory policies with international trade obligations.</w:t>
      </w:r>
    </w:p>
    <w:p w14:paraId="0D06A767" w14:textId="45A6AE74" w:rsidR="00845615" w:rsidRPr="00845615" w:rsidRDefault="00845615" w:rsidP="00692756">
      <w:pPr>
        <w:spacing w:before="240" w:line="240" w:lineRule="auto"/>
        <w:jc w:val="center"/>
        <w:rPr>
          <w:rFonts w:ascii="Times New Roman" w:hAnsi="Times New Roman" w:cs="Times New Roman"/>
          <w:lang w:val="en-US"/>
        </w:rPr>
      </w:pPr>
      <w:r w:rsidRPr="00845615">
        <w:rPr>
          <w:rFonts w:ascii="Times New Roman" w:hAnsi="Times New Roman" w:cs="Times New Roman"/>
          <w:b/>
          <w:bCs/>
          <w:lang w:val="en-US"/>
        </w:rPr>
        <w:t>Political Considerations</w:t>
      </w:r>
    </w:p>
    <w:p w14:paraId="5FC3872B" w14:textId="037AEDE4"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International legal proceedings are often influenced by political considerations, which at times end up overshadowing the application of general principles of international law. This can lead to undermining the impartiality of legal advocacy and may lead to outcomes that are influenced more by power dynamics than by legal principles.</w:t>
      </w:r>
      <w:r w:rsidRPr="00845615">
        <w:rPr>
          <w:rFonts w:ascii="Times New Roman" w:hAnsi="Times New Roman" w:cs="Times New Roman"/>
          <w:i/>
          <w:iCs/>
          <w:lang w:val="en-US"/>
        </w:rPr>
        <w:t xml:space="preserve"> </w:t>
      </w:r>
      <w:r w:rsidRPr="00845615">
        <w:rPr>
          <w:rFonts w:ascii="Times New Roman" w:hAnsi="Times New Roman" w:cs="Times New Roman"/>
          <w:lang w:val="en-US"/>
        </w:rPr>
        <w:t xml:space="preserve">In the case of </w:t>
      </w:r>
      <w:r w:rsidRPr="00845615">
        <w:rPr>
          <w:rFonts w:ascii="Times New Roman" w:hAnsi="Times New Roman" w:cs="Times New Roman"/>
          <w:i/>
          <w:iCs/>
          <w:lang w:val="en-US"/>
        </w:rPr>
        <w:t>Prosecutor v. Omar al-Bashir (2010)</w:t>
      </w:r>
      <w:r w:rsidRPr="00845615">
        <w:rPr>
          <w:rFonts w:ascii="Times New Roman" w:hAnsi="Times New Roman" w:cs="Times New Roman"/>
          <w:vertAlign w:val="superscript"/>
          <w:lang w:val="en-US"/>
        </w:rPr>
        <w:footnoteReference w:id="31"/>
      </w:r>
      <w:r w:rsidRPr="00845615">
        <w:rPr>
          <w:rFonts w:ascii="Times New Roman" w:hAnsi="Times New Roman" w:cs="Times New Roman"/>
          <w:lang w:val="en-US"/>
        </w:rPr>
        <w:t xml:space="preserve"> before the International Criminal Court (ICC) involved allegations of genocide, and crimes against humanity committed in Darfur, Sudan by Omar al-Bashir.  However political considerations, including concerns about stability in the region and the role of the ICC in relation to sovereign states, influenced legal proceedings and efforts to hold Omar high-ranking officials accountable for serious international crimes.</w:t>
      </w:r>
    </w:p>
    <w:p w14:paraId="6B25752E" w14:textId="77777777" w:rsidR="00845615" w:rsidRPr="00845615" w:rsidRDefault="00845615" w:rsidP="00692756">
      <w:pPr>
        <w:spacing w:before="240" w:line="240" w:lineRule="auto"/>
        <w:jc w:val="center"/>
        <w:rPr>
          <w:rFonts w:ascii="Times New Roman" w:hAnsi="Times New Roman" w:cs="Times New Roman"/>
          <w:lang w:val="en-US"/>
        </w:rPr>
      </w:pPr>
      <w:r w:rsidRPr="00845615">
        <w:rPr>
          <w:rFonts w:ascii="Times New Roman" w:hAnsi="Times New Roman" w:cs="Times New Roman"/>
          <w:b/>
          <w:bCs/>
          <w:lang w:val="en-US"/>
        </w:rPr>
        <w:t>Limited Recognition</w:t>
      </w:r>
    </w:p>
    <w:p w14:paraId="73CA24B1" w14:textId="63868270" w:rsidR="00845615" w:rsidRPr="00845615"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Not all states may recognize or adhere to certain general principles of international law, particularly if they conflict with national interests or domestic legal frameworks. This can create challenges in advocating for the application of these principles in international legal proceedings.</w:t>
      </w:r>
      <w:r w:rsidRPr="00845615">
        <w:rPr>
          <w:rFonts w:ascii="Times New Roman" w:hAnsi="Times New Roman" w:cs="Times New Roman"/>
          <w:i/>
          <w:iCs/>
          <w:lang w:val="en-US"/>
        </w:rPr>
        <w:t xml:space="preserve"> Matter of A-B- (2018)</w:t>
      </w:r>
      <w:r w:rsidRPr="00845615">
        <w:rPr>
          <w:rFonts w:ascii="Times New Roman" w:hAnsi="Times New Roman" w:cs="Times New Roman"/>
          <w:vertAlign w:val="superscript"/>
          <w:lang w:val="en-US"/>
        </w:rPr>
        <w:footnoteReference w:id="32"/>
      </w:r>
      <w:r w:rsidRPr="00845615">
        <w:rPr>
          <w:rFonts w:ascii="Times New Roman" w:hAnsi="Times New Roman" w:cs="Times New Roman"/>
          <w:lang w:val="en-US"/>
        </w:rPr>
        <w:t>: This case involved a decision by the United States Attorney General regarding the eligibility of certain asylum seekers fleeing domestic violence or gang violence to seek asylum in the United States. The decision reflected a narrower interpretation of refugee rights under international law and limited recognition of claims based on gender-based violence, illustrating challenges in securing protection for vulnerable populations under existing international legal frameworks.</w:t>
      </w:r>
    </w:p>
    <w:p w14:paraId="6B3D0D26" w14:textId="41C96367" w:rsidR="00845615" w:rsidRPr="00692756" w:rsidRDefault="00845615" w:rsidP="00692756">
      <w:pPr>
        <w:spacing w:before="240" w:line="240" w:lineRule="auto"/>
        <w:jc w:val="both"/>
        <w:rPr>
          <w:rFonts w:ascii="Times New Roman" w:hAnsi="Times New Roman" w:cs="Times New Roman"/>
          <w:lang w:val="en-US"/>
        </w:rPr>
      </w:pPr>
      <w:r w:rsidRPr="00845615">
        <w:rPr>
          <w:rFonts w:ascii="Times New Roman" w:hAnsi="Times New Roman" w:cs="Times New Roman"/>
          <w:lang w:val="en-US"/>
        </w:rPr>
        <w:t>Overall, while general principles of international law provide a valuable framework for trial and advocacy in international contexts, their application may face challenges due to ambiguities, limited enforcement mechanisms, differing interpretations, political influences, and varying levels of recognition by states. Effective advocacy in international legal proceedings often requires careful navigation of these challenges and a strategic approach to presenting legal arguments.</w:t>
      </w:r>
    </w:p>
    <w:p w14:paraId="2612135B" w14:textId="65F73577" w:rsidR="000B6C1B" w:rsidRPr="003D3F3C" w:rsidRDefault="00416B4A" w:rsidP="00692756">
      <w:pPr>
        <w:spacing w:before="240" w:line="240" w:lineRule="auto"/>
        <w:jc w:val="center"/>
        <w:rPr>
          <w:rFonts w:ascii="Times New Roman" w:hAnsi="Times New Roman" w:cs="Times New Roman"/>
          <w:b/>
          <w:bCs/>
          <w:u w:val="single"/>
        </w:rPr>
      </w:pPr>
      <w:r w:rsidRPr="003D3F3C">
        <w:rPr>
          <w:rFonts w:ascii="Times New Roman" w:hAnsi="Times New Roman" w:cs="Times New Roman"/>
          <w:b/>
          <w:bCs/>
          <w:u w:val="single"/>
        </w:rPr>
        <w:lastRenderedPageBreak/>
        <w:t>CONCLUSION</w:t>
      </w:r>
    </w:p>
    <w:p w14:paraId="5EE49726" w14:textId="57CB0845" w:rsidR="00416B4A" w:rsidRPr="003D3F3C" w:rsidRDefault="00416B4A" w:rsidP="00692756">
      <w:pPr>
        <w:spacing w:before="240" w:line="240" w:lineRule="auto"/>
        <w:jc w:val="both"/>
        <w:rPr>
          <w:rFonts w:ascii="Times New Roman" w:hAnsi="Times New Roman" w:cs="Times New Roman"/>
        </w:rPr>
      </w:pPr>
      <w:r w:rsidRPr="003D3F3C">
        <w:rPr>
          <w:rFonts w:ascii="Times New Roman" w:hAnsi="Times New Roman" w:cs="Times New Roman"/>
        </w:rPr>
        <w:t>The interplay between trial advocacy and international law in Kenya underscores the intense influence of global legal principles on the country's judicial system. International law, through its establishment of fundamental principles and institutions, profoundly shapes the practice of trial advocacy in Kenya, ensuring adherence to standards of fairness, justice, and accountability. International law serves as the cornerstone for the principles and standards governing trial advocacy. Enshrined in documents such as the Universal Declaration of Human Rights and the International Covenant on Civil and Political Rights, these principles guarantee the rights of individuals, including the right to a fair trial, presumption of innocence, and access to legal representation. Additionally, international instruments like the United Nations Declaration of Basic Principles of Justice for Victims of Crime emphasize the importance of fair treatment for all parties involved in legal proceedings, including victims.</w:t>
      </w:r>
    </w:p>
    <w:p w14:paraId="14A39CF0" w14:textId="3D7578F0" w:rsidR="00416B4A" w:rsidRPr="003D3F3C" w:rsidRDefault="00416B4A" w:rsidP="00692756">
      <w:pPr>
        <w:spacing w:before="240" w:line="240" w:lineRule="auto"/>
        <w:jc w:val="both"/>
        <w:rPr>
          <w:rFonts w:ascii="Times New Roman" w:hAnsi="Times New Roman" w:cs="Times New Roman"/>
        </w:rPr>
      </w:pPr>
      <w:r w:rsidRPr="003D3F3C">
        <w:rPr>
          <w:rFonts w:ascii="Times New Roman" w:hAnsi="Times New Roman" w:cs="Times New Roman"/>
        </w:rPr>
        <w:t>Moreover, international institutions such as the International Court of Justice and the International Criminal Court provide avenues for addressing transnational legal issues and ensuring accountability for serious international crimes. By exercising jurisdiction over individuals accused of crimes against humanity, war crimes, and genocide, these institutions reinforce the principles of international law within the realm of trial advocacy. The relationship between international law and municipal law further underscores the integration of global legal norms into domestic legal systems. Kenya's constitution, by incorporating principles of international law into domestic legislation, acknowledges the interconnectedness of these legal frameworks. Whether through a dualist or monist approach, the recognition of international law within municipal legal systems ensures consistency and coherence in legal practice.</w:t>
      </w:r>
    </w:p>
    <w:p w14:paraId="1A7A695C" w14:textId="77777777" w:rsidR="00416B4A" w:rsidRPr="003D3F3C" w:rsidRDefault="00416B4A" w:rsidP="00692756">
      <w:pPr>
        <w:spacing w:before="240" w:line="240" w:lineRule="auto"/>
        <w:jc w:val="both"/>
        <w:rPr>
          <w:rFonts w:ascii="Times New Roman" w:hAnsi="Times New Roman" w:cs="Times New Roman"/>
        </w:rPr>
      </w:pPr>
      <w:r w:rsidRPr="003D3F3C">
        <w:rPr>
          <w:rFonts w:ascii="Times New Roman" w:hAnsi="Times New Roman" w:cs="Times New Roman"/>
        </w:rPr>
        <w:t>In conclusion, the place of international law in trial advocacy in Kenya is paramount. By upholding principles of fairness, accountability, and accessibility, international law ensures the integrity of legal proceedings and contributes to the advancement of justice both domestically and internationally. As Kenya continues to navigate the complexities of trial advocacy in an evolving legal landscape, a steadfast commitment to international legal norms will be essential in promoting a robust and equitable judicial system.</w:t>
      </w:r>
    </w:p>
    <w:p w14:paraId="6528AF3C" w14:textId="77777777" w:rsidR="00416B4A" w:rsidRPr="003D3F3C" w:rsidRDefault="00416B4A" w:rsidP="00692756">
      <w:pPr>
        <w:spacing w:before="240" w:line="240" w:lineRule="auto"/>
        <w:jc w:val="both"/>
        <w:rPr>
          <w:rFonts w:ascii="Times New Roman" w:hAnsi="Times New Roman" w:cs="Times New Roman"/>
        </w:rPr>
      </w:pPr>
    </w:p>
    <w:p w14:paraId="3926289D" w14:textId="77777777" w:rsidR="008915DB" w:rsidRPr="008915DB" w:rsidRDefault="008915DB" w:rsidP="00692756">
      <w:pPr>
        <w:spacing w:before="240" w:line="240" w:lineRule="auto"/>
        <w:jc w:val="both"/>
        <w:rPr>
          <w:rFonts w:ascii="Times New Roman" w:eastAsia="Times New Roman" w:hAnsi="Times New Roman" w:cs="Times New Roman"/>
        </w:rPr>
      </w:pPr>
    </w:p>
    <w:sectPr w:rsidR="008915DB" w:rsidRPr="008915D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064CC" w14:textId="77777777" w:rsidR="006B4733" w:rsidRDefault="006B4733">
      <w:pPr>
        <w:spacing w:line="240" w:lineRule="auto"/>
      </w:pPr>
      <w:r>
        <w:separator/>
      </w:r>
    </w:p>
  </w:endnote>
  <w:endnote w:type="continuationSeparator" w:id="0">
    <w:p w14:paraId="15AC3209" w14:textId="77777777" w:rsidR="006B4733" w:rsidRDefault="006B4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EC77C" w14:textId="77777777" w:rsidR="006B4733" w:rsidRDefault="006B4733">
      <w:pPr>
        <w:spacing w:line="240" w:lineRule="auto"/>
      </w:pPr>
      <w:r>
        <w:separator/>
      </w:r>
    </w:p>
  </w:footnote>
  <w:footnote w:type="continuationSeparator" w:id="0">
    <w:p w14:paraId="4C89FFB3" w14:textId="77777777" w:rsidR="006B4733" w:rsidRDefault="006B4733">
      <w:pPr>
        <w:spacing w:line="240" w:lineRule="auto"/>
      </w:pPr>
      <w:r>
        <w:continuationSeparator/>
      </w:r>
    </w:p>
  </w:footnote>
  <w:footnote w:id="1">
    <w:p w14:paraId="0000000A" w14:textId="77777777" w:rsidR="004464A9" w:rsidRPr="003836BA" w:rsidRDefault="00AA6B4A">
      <w:pPr>
        <w:spacing w:line="240" w:lineRule="auto"/>
        <w:rPr>
          <w:rFonts w:ascii="Times New Roman" w:eastAsia="Times New Roman" w:hAnsi="Times New Roman" w:cs="Times New Roman"/>
          <w:sz w:val="16"/>
          <w:szCs w:val="16"/>
        </w:rPr>
      </w:pPr>
      <w:r w:rsidRPr="003836BA">
        <w:rPr>
          <w:sz w:val="16"/>
          <w:szCs w:val="16"/>
          <w:vertAlign w:val="superscript"/>
        </w:rPr>
        <w:footnoteRef/>
      </w:r>
      <w:r w:rsidRPr="003836BA">
        <w:rPr>
          <w:sz w:val="16"/>
          <w:szCs w:val="16"/>
        </w:rPr>
        <w:t xml:space="preserve"> </w:t>
      </w:r>
      <w:r w:rsidRPr="003836BA">
        <w:rPr>
          <w:rFonts w:ascii="Times New Roman" w:eastAsia="Times New Roman" w:hAnsi="Times New Roman" w:cs="Times New Roman"/>
          <w:sz w:val="16"/>
          <w:szCs w:val="16"/>
        </w:rPr>
        <w:t>International Covenant on Civil and Political Rights (adopted 16 December 1966, entered into force 23 March 1976</w:t>
      </w:r>
      <w:proofErr w:type="gramStart"/>
      <w:r w:rsidRPr="003836BA">
        <w:rPr>
          <w:rFonts w:ascii="Times New Roman" w:eastAsia="Times New Roman" w:hAnsi="Times New Roman" w:cs="Times New Roman"/>
          <w:sz w:val="16"/>
          <w:szCs w:val="16"/>
        </w:rPr>
        <w:t>) ,</w:t>
      </w:r>
      <w:proofErr w:type="gramEnd"/>
      <w:r w:rsidRPr="003836BA">
        <w:rPr>
          <w:rFonts w:ascii="Times New Roman" w:eastAsia="Times New Roman" w:hAnsi="Times New Roman" w:cs="Times New Roman"/>
          <w:sz w:val="16"/>
          <w:szCs w:val="16"/>
        </w:rPr>
        <w:t xml:space="preserve"> Art. 9(3)</w:t>
      </w:r>
    </w:p>
  </w:footnote>
  <w:footnote w:id="2">
    <w:p w14:paraId="0000000B"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hAnsi="Times New Roman" w:cs="Times New Roman"/>
          <w:sz w:val="16"/>
          <w:szCs w:val="16"/>
          <w:highlight w:val="white"/>
        </w:rPr>
        <w:t xml:space="preserve"> </w:t>
      </w:r>
      <w:r w:rsidRPr="003836BA">
        <w:rPr>
          <w:rFonts w:ascii="Times New Roman" w:eastAsia="Times New Roman" w:hAnsi="Times New Roman" w:cs="Times New Roman"/>
          <w:sz w:val="16"/>
          <w:szCs w:val="16"/>
          <w:highlight w:val="white"/>
        </w:rPr>
        <w:t xml:space="preserve">United Nations Declaration of Basic Principles of Justice for Victims of Crime and Abuse of </w:t>
      </w:r>
      <w:proofErr w:type="gramStart"/>
      <w:r w:rsidRPr="003836BA">
        <w:rPr>
          <w:rFonts w:ascii="Times New Roman" w:eastAsia="Times New Roman" w:hAnsi="Times New Roman" w:cs="Times New Roman"/>
          <w:sz w:val="16"/>
          <w:szCs w:val="16"/>
          <w:highlight w:val="white"/>
        </w:rPr>
        <w:t>Power ,</w:t>
      </w:r>
      <w:proofErr w:type="gramEnd"/>
      <w:r w:rsidRPr="003836BA">
        <w:rPr>
          <w:rFonts w:ascii="Times New Roman" w:eastAsia="Times New Roman" w:hAnsi="Times New Roman" w:cs="Times New Roman"/>
          <w:sz w:val="16"/>
          <w:szCs w:val="16"/>
          <w:highlight w:val="white"/>
        </w:rPr>
        <w:t xml:space="preserve"> Art 5</w:t>
      </w:r>
    </w:p>
  </w:footnote>
  <w:footnote w:id="3">
    <w:p w14:paraId="0000000C"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i/>
          <w:sz w:val="16"/>
          <w:szCs w:val="16"/>
        </w:rPr>
        <w:t xml:space="preserve"> </w:t>
      </w:r>
      <w:r w:rsidRPr="003836BA">
        <w:rPr>
          <w:rFonts w:ascii="Times New Roman" w:eastAsia="Times New Roman" w:hAnsi="Times New Roman" w:cs="Times New Roman"/>
          <w:i/>
          <w:sz w:val="16"/>
          <w:szCs w:val="16"/>
        </w:rPr>
        <w:t>Ibid.</w:t>
      </w:r>
      <w:r w:rsidRPr="003836BA">
        <w:rPr>
          <w:rFonts w:ascii="Times New Roman" w:eastAsia="Times New Roman" w:hAnsi="Times New Roman" w:cs="Times New Roman"/>
          <w:sz w:val="16"/>
          <w:szCs w:val="16"/>
        </w:rPr>
        <w:t xml:space="preserve"> Art 6(b)</w:t>
      </w:r>
    </w:p>
  </w:footnote>
  <w:footnote w:id="4">
    <w:p w14:paraId="0000000D"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eastAsia="Times New Roman" w:hAnsi="Times New Roman" w:cs="Times New Roman"/>
          <w:i/>
          <w:sz w:val="16"/>
          <w:szCs w:val="16"/>
        </w:rPr>
        <w:t xml:space="preserve">Ibid </w:t>
      </w:r>
      <w:r w:rsidRPr="003836BA">
        <w:rPr>
          <w:rFonts w:ascii="Times New Roman" w:eastAsia="Times New Roman" w:hAnsi="Times New Roman" w:cs="Times New Roman"/>
          <w:sz w:val="16"/>
          <w:szCs w:val="16"/>
        </w:rPr>
        <w:t>(n2) Art 6(d)</w:t>
      </w:r>
    </w:p>
  </w:footnote>
  <w:footnote w:id="5">
    <w:p w14:paraId="0000000E"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eastAsia="Times New Roman" w:hAnsi="Times New Roman" w:cs="Times New Roman"/>
          <w:sz w:val="16"/>
          <w:szCs w:val="16"/>
        </w:rPr>
        <w:t xml:space="preserve">Joseph Lendrix Waswa v Republic [2020] </w:t>
      </w:r>
      <w:proofErr w:type="spellStart"/>
      <w:r w:rsidRPr="003836BA">
        <w:rPr>
          <w:rFonts w:ascii="Times New Roman" w:eastAsia="Times New Roman" w:hAnsi="Times New Roman" w:cs="Times New Roman"/>
          <w:sz w:val="16"/>
          <w:szCs w:val="16"/>
        </w:rPr>
        <w:t>eKLR</w:t>
      </w:r>
      <w:proofErr w:type="spellEnd"/>
    </w:p>
  </w:footnote>
  <w:footnote w:id="6">
    <w:p w14:paraId="0000000F"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hAnsi="Times New Roman" w:cs="Times New Roman"/>
          <w:sz w:val="16"/>
          <w:szCs w:val="16"/>
          <w:highlight w:val="white"/>
        </w:rPr>
        <w:t xml:space="preserve"> </w:t>
      </w:r>
      <w:r w:rsidRPr="003836BA">
        <w:rPr>
          <w:rFonts w:ascii="Times New Roman" w:eastAsia="Times New Roman" w:hAnsi="Times New Roman" w:cs="Times New Roman"/>
          <w:sz w:val="16"/>
          <w:szCs w:val="16"/>
          <w:highlight w:val="white"/>
        </w:rPr>
        <w:t xml:space="preserve">UN Basic Principles on the Role of Lawyers </w:t>
      </w:r>
      <w:proofErr w:type="gramStart"/>
      <w:r w:rsidRPr="003836BA">
        <w:rPr>
          <w:rFonts w:ascii="Times New Roman" w:eastAsia="Times New Roman" w:hAnsi="Times New Roman" w:cs="Times New Roman"/>
          <w:sz w:val="16"/>
          <w:szCs w:val="16"/>
          <w:highlight w:val="white"/>
        </w:rPr>
        <w:t>( adopted</w:t>
      </w:r>
      <w:proofErr w:type="gramEnd"/>
      <w:r w:rsidRPr="003836BA">
        <w:rPr>
          <w:rFonts w:ascii="Times New Roman" w:eastAsia="Times New Roman" w:hAnsi="Times New Roman" w:cs="Times New Roman"/>
          <w:sz w:val="16"/>
          <w:szCs w:val="16"/>
          <w:highlight w:val="white"/>
        </w:rPr>
        <w:t xml:space="preserve"> </w:t>
      </w:r>
      <w:r w:rsidRPr="003836BA">
        <w:rPr>
          <w:rFonts w:ascii="Times New Roman" w:eastAsia="Times New Roman" w:hAnsi="Times New Roman" w:cs="Times New Roman"/>
          <w:sz w:val="16"/>
          <w:szCs w:val="16"/>
        </w:rPr>
        <w:t>07 September 1990</w:t>
      </w:r>
    </w:p>
  </w:footnote>
  <w:footnote w:id="7">
    <w:p w14:paraId="00000013"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eastAsia="Times New Roman" w:hAnsi="Times New Roman" w:cs="Times New Roman"/>
          <w:i/>
          <w:sz w:val="16"/>
          <w:szCs w:val="16"/>
        </w:rPr>
        <w:t>Ibid</w:t>
      </w:r>
      <w:r w:rsidRPr="003836BA">
        <w:rPr>
          <w:rFonts w:ascii="Times New Roman" w:eastAsia="Times New Roman" w:hAnsi="Times New Roman" w:cs="Times New Roman"/>
          <w:sz w:val="16"/>
          <w:szCs w:val="16"/>
        </w:rPr>
        <w:t xml:space="preserve"> Art 13 </w:t>
      </w:r>
    </w:p>
  </w:footnote>
  <w:footnote w:id="8">
    <w:p w14:paraId="00000011"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eastAsia="Times New Roman" w:hAnsi="Times New Roman" w:cs="Times New Roman"/>
          <w:sz w:val="16"/>
          <w:szCs w:val="16"/>
        </w:rPr>
        <w:t xml:space="preserve">Statute of the International Court of Justice, Article 1 </w:t>
      </w:r>
    </w:p>
  </w:footnote>
  <w:footnote w:id="9">
    <w:p w14:paraId="00000012" w14:textId="77777777" w:rsidR="004464A9" w:rsidRPr="003836BA" w:rsidRDefault="00AA6B4A">
      <w:pPr>
        <w:spacing w:line="240" w:lineRule="auto"/>
        <w:rPr>
          <w:rFonts w:ascii="Times New Roman" w:eastAsia="Times New Roman" w:hAnsi="Times New Roman" w:cs="Times New Roman"/>
          <w:sz w:val="16"/>
          <w:szCs w:val="16"/>
        </w:rPr>
      </w:pPr>
      <w:r w:rsidRPr="003836BA">
        <w:rPr>
          <w:rFonts w:ascii="Times New Roman" w:hAnsi="Times New Roman" w:cs="Times New Roman"/>
          <w:sz w:val="16"/>
          <w:szCs w:val="16"/>
          <w:vertAlign w:val="superscript"/>
        </w:rPr>
        <w:footnoteRef/>
      </w:r>
      <w:r w:rsidRPr="003836BA">
        <w:rPr>
          <w:rFonts w:ascii="Times New Roman" w:hAnsi="Times New Roman" w:cs="Times New Roman"/>
          <w:sz w:val="16"/>
          <w:szCs w:val="16"/>
        </w:rPr>
        <w:t xml:space="preserve"> </w:t>
      </w:r>
      <w:r w:rsidRPr="003836BA">
        <w:rPr>
          <w:rFonts w:ascii="Times New Roman" w:eastAsia="Times New Roman" w:hAnsi="Times New Roman" w:cs="Times New Roman"/>
          <w:sz w:val="16"/>
          <w:szCs w:val="16"/>
        </w:rPr>
        <w:t>Ibid. Article 36(1)</w:t>
      </w:r>
    </w:p>
  </w:footnote>
  <w:footnote w:id="10">
    <w:p w14:paraId="00000010" w14:textId="77777777" w:rsidR="004464A9" w:rsidRPr="003836BA" w:rsidRDefault="00AA6B4A">
      <w:pPr>
        <w:spacing w:line="240" w:lineRule="auto"/>
        <w:rPr>
          <w:rFonts w:ascii="Times New Roman" w:hAnsi="Times New Roman" w:cs="Times New Roman"/>
          <w:sz w:val="16"/>
          <w:szCs w:val="16"/>
        </w:rPr>
      </w:pPr>
      <w:r w:rsidRPr="003836BA">
        <w:rPr>
          <w:sz w:val="16"/>
          <w:szCs w:val="16"/>
          <w:vertAlign w:val="superscript"/>
        </w:rPr>
        <w:footnoteRef/>
      </w:r>
      <w:r w:rsidRPr="003836BA">
        <w:rPr>
          <w:sz w:val="16"/>
          <w:szCs w:val="16"/>
        </w:rPr>
        <w:t xml:space="preserve"> </w:t>
      </w:r>
      <w:r w:rsidRPr="003836BA">
        <w:rPr>
          <w:rFonts w:ascii="Times New Roman" w:hAnsi="Times New Roman" w:cs="Times New Roman"/>
          <w:sz w:val="16"/>
          <w:szCs w:val="16"/>
        </w:rPr>
        <w:t>Rome Statute 2001, Article 17</w:t>
      </w:r>
    </w:p>
  </w:footnote>
  <w:footnote w:id="11">
    <w:p w14:paraId="1556EDB4" w14:textId="77777777" w:rsidR="003836BA" w:rsidRPr="003836BA" w:rsidRDefault="003836BA" w:rsidP="003836BA">
      <w:pPr>
        <w:pStyle w:val="FootnoteText"/>
        <w:rPr>
          <w:sz w:val="16"/>
          <w:szCs w:val="16"/>
          <w:lang w:val="en-GB"/>
        </w:rPr>
      </w:pPr>
      <w:r w:rsidRPr="003836BA">
        <w:rPr>
          <w:rStyle w:val="FootnoteReference"/>
          <w:sz w:val="16"/>
          <w:szCs w:val="16"/>
        </w:rPr>
        <w:footnoteRef/>
      </w:r>
      <w:r w:rsidRPr="003836BA">
        <w:rPr>
          <w:sz w:val="16"/>
          <w:szCs w:val="16"/>
        </w:rPr>
        <w:t xml:space="preserve"> </w:t>
      </w:r>
      <w:r w:rsidRPr="003836BA">
        <w:rPr>
          <w:sz w:val="16"/>
          <w:szCs w:val="16"/>
          <w:lang w:val="en-GB"/>
        </w:rPr>
        <w:t>The Constitution of Kenya 2010</w:t>
      </w:r>
    </w:p>
  </w:footnote>
  <w:footnote w:id="12">
    <w:p w14:paraId="42E9DCB8" w14:textId="77777777" w:rsidR="003836BA" w:rsidRPr="003836BA" w:rsidRDefault="003836BA" w:rsidP="003836BA">
      <w:pPr>
        <w:pStyle w:val="FootnoteText"/>
        <w:rPr>
          <w:rFonts w:ascii="Times New Roman" w:hAnsi="Times New Roman" w:cs="Times New Roman"/>
          <w:sz w:val="16"/>
          <w:szCs w:val="16"/>
          <w:lang w:val="en-GB"/>
        </w:rPr>
      </w:pPr>
      <w:r>
        <w:rPr>
          <w:rStyle w:val="FootnoteReference"/>
        </w:rPr>
        <w:footnoteRef/>
      </w:r>
      <w:r>
        <w:t xml:space="preserve"> </w:t>
      </w:r>
      <w:r w:rsidRPr="003836BA">
        <w:rPr>
          <w:rFonts w:ascii="Times New Roman" w:hAnsi="Times New Roman" w:cs="Times New Roman"/>
          <w:sz w:val="16"/>
          <w:szCs w:val="16"/>
        </w:rPr>
        <w:t xml:space="preserve">The Statute of the </w:t>
      </w:r>
      <w:r w:rsidRPr="003836BA">
        <w:rPr>
          <w:rFonts w:ascii="Times New Roman" w:hAnsi="Times New Roman" w:cs="Times New Roman"/>
          <w:sz w:val="16"/>
          <w:szCs w:val="16"/>
          <w:lang w:val="en-GB"/>
        </w:rPr>
        <w:t>International Court of Justice</w:t>
      </w:r>
    </w:p>
  </w:footnote>
  <w:footnote w:id="13">
    <w:p w14:paraId="20C55FE1" w14:textId="77777777" w:rsidR="003836BA" w:rsidRPr="009D5EB1" w:rsidRDefault="003836BA" w:rsidP="003836BA">
      <w:pPr>
        <w:pStyle w:val="FootnoteText"/>
        <w:rPr>
          <w:lang w:val="en-GB"/>
        </w:rPr>
      </w:pPr>
      <w:r w:rsidRPr="003836BA">
        <w:rPr>
          <w:rStyle w:val="FootnoteReference"/>
          <w:rFonts w:ascii="Times New Roman" w:hAnsi="Times New Roman" w:cs="Times New Roman"/>
          <w:sz w:val="16"/>
          <w:szCs w:val="16"/>
        </w:rPr>
        <w:footnoteRef/>
      </w:r>
      <w:r w:rsidRPr="003836BA">
        <w:rPr>
          <w:rFonts w:ascii="Times New Roman" w:hAnsi="Times New Roman" w:cs="Times New Roman"/>
          <w:sz w:val="16"/>
          <w:szCs w:val="16"/>
        </w:rPr>
        <w:t xml:space="preserve"> </w:t>
      </w:r>
      <w:r w:rsidRPr="003836BA">
        <w:rPr>
          <w:rFonts w:ascii="Times New Roman" w:hAnsi="Times New Roman" w:cs="Times New Roman"/>
          <w:sz w:val="16"/>
          <w:szCs w:val="16"/>
          <w:lang w:val="en-GB"/>
        </w:rPr>
        <w:t>United Nations Charter</w:t>
      </w:r>
    </w:p>
  </w:footnote>
  <w:footnote w:id="14">
    <w:p w14:paraId="4EFBF6D5" w14:textId="77777777" w:rsidR="003836BA" w:rsidRPr="003836BA" w:rsidRDefault="003836BA" w:rsidP="003836BA">
      <w:pPr>
        <w:pStyle w:val="FootnoteText"/>
        <w:rPr>
          <w:rFonts w:ascii="Times New Roman" w:hAnsi="Times New Roman" w:cs="Times New Roman"/>
          <w:sz w:val="16"/>
          <w:szCs w:val="16"/>
          <w:lang w:val="en-GB"/>
        </w:rPr>
      </w:pPr>
      <w:r w:rsidRPr="003836BA">
        <w:rPr>
          <w:rStyle w:val="FootnoteReference"/>
          <w:sz w:val="16"/>
          <w:szCs w:val="16"/>
        </w:rPr>
        <w:footnoteRef/>
      </w:r>
      <w:r>
        <w:t xml:space="preserve"> </w:t>
      </w:r>
      <w:r w:rsidRPr="003836BA">
        <w:rPr>
          <w:rFonts w:ascii="Times New Roman" w:hAnsi="Times New Roman" w:cs="Times New Roman"/>
          <w:sz w:val="16"/>
          <w:szCs w:val="16"/>
          <w:lang w:val="en-GB"/>
        </w:rPr>
        <w:t>Ibid</w:t>
      </w:r>
    </w:p>
  </w:footnote>
  <w:footnote w:id="15">
    <w:p w14:paraId="333916C8" w14:textId="77777777" w:rsidR="003836BA" w:rsidRPr="003836BA" w:rsidRDefault="003836BA" w:rsidP="003836BA">
      <w:pPr>
        <w:pStyle w:val="FootnoteText"/>
        <w:rPr>
          <w:rFonts w:ascii="Times New Roman" w:hAnsi="Times New Roman" w:cs="Times New Roman"/>
          <w:sz w:val="16"/>
          <w:szCs w:val="16"/>
          <w:lang w:val="en-GB"/>
        </w:rPr>
      </w:pPr>
      <w:r w:rsidRPr="003836BA">
        <w:rPr>
          <w:rStyle w:val="FootnoteReference"/>
          <w:rFonts w:ascii="Times New Roman" w:hAnsi="Times New Roman" w:cs="Times New Roman"/>
          <w:sz w:val="16"/>
          <w:szCs w:val="16"/>
        </w:rPr>
        <w:footnoteRef/>
      </w:r>
      <w:r w:rsidRPr="003836BA">
        <w:rPr>
          <w:rFonts w:ascii="Times New Roman" w:hAnsi="Times New Roman" w:cs="Times New Roman"/>
          <w:sz w:val="16"/>
          <w:szCs w:val="16"/>
        </w:rPr>
        <w:t xml:space="preserve"> The Universal Declaration of Human Rights</w:t>
      </w:r>
    </w:p>
  </w:footnote>
  <w:footnote w:id="16">
    <w:p w14:paraId="302BC27C" w14:textId="77777777" w:rsidR="003836BA" w:rsidRPr="003836BA" w:rsidRDefault="003836BA" w:rsidP="003836BA">
      <w:pPr>
        <w:pStyle w:val="FootnoteText"/>
        <w:rPr>
          <w:rFonts w:ascii="Times New Roman" w:hAnsi="Times New Roman" w:cs="Times New Roman"/>
          <w:sz w:val="16"/>
          <w:szCs w:val="16"/>
          <w:lang w:val="en-GB"/>
        </w:rPr>
      </w:pPr>
      <w:r w:rsidRPr="003836BA">
        <w:rPr>
          <w:rStyle w:val="FootnoteReference"/>
          <w:rFonts w:ascii="Times New Roman" w:hAnsi="Times New Roman" w:cs="Times New Roman"/>
          <w:sz w:val="16"/>
          <w:szCs w:val="16"/>
        </w:rPr>
        <w:footnoteRef/>
      </w:r>
      <w:r w:rsidRPr="003836BA">
        <w:rPr>
          <w:rFonts w:ascii="Times New Roman" w:hAnsi="Times New Roman" w:cs="Times New Roman"/>
          <w:sz w:val="16"/>
          <w:szCs w:val="16"/>
        </w:rPr>
        <w:t xml:space="preserve"> The International Covenant on Civil and Political Rights</w:t>
      </w:r>
    </w:p>
  </w:footnote>
  <w:footnote w:id="17">
    <w:p w14:paraId="19D0E1FF" w14:textId="77777777" w:rsidR="003836BA" w:rsidRPr="003836BA" w:rsidRDefault="003836BA" w:rsidP="003836BA">
      <w:pPr>
        <w:pStyle w:val="FootnoteText"/>
        <w:rPr>
          <w:rFonts w:ascii="Times New Roman" w:hAnsi="Times New Roman" w:cs="Times New Roman"/>
          <w:sz w:val="16"/>
          <w:szCs w:val="16"/>
          <w:lang w:val="en-GB"/>
        </w:rPr>
      </w:pPr>
      <w:r w:rsidRPr="003836BA">
        <w:rPr>
          <w:rStyle w:val="FootnoteReference"/>
          <w:rFonts w:ascii="Times New Roman" w:hAnsi="Times New Roman" w:cs="Times New Roman"/>
          <w:sz w:val="16"/>
          <w:szCs w:val="16"/>
        </w:rPr>
        <w:footnoteRef/>
      </w:r>
      <w:r w:rsidRPr="003836BA">
        <w:rPr>
          <w:rFonts w:ascii="Times New Roman" w:hAnsi="Times New Roman" w:cs="Times New Roman"/>
          <w:sz w:val="16"/>
          <w:szCs w:val="16"/>
        </w:rPr>
        <w:t xml:space="preserve"> The International Covenant on Economic, Social, and Cultural Rights</w:t>
      </w:r>
    </w:p>
  </w:footnote>
  <w:footnote w:id="18">
    <w:p w14:paraId="7D7AAA08" w14:textId="77777777" w:rsidR="003836BA" w:rsidRPr="003925D9" w:rsidRDefault="003836BA" w:rsidP="003836BA">
      <w:pPr>
        <w:pStyle w:val="FootnoteText"/>
        <w:rPr>
          <w:lang w:val="en-GB"/>
        </w:rPr>
      </w:pPr>
      <w:r w:rsidRPr="003836BA">
        <w:rPr>
          <w:rStyle w:val="FootnoteReference"/>
          <w:rFonts w:ascii="Times New Roman" w:hAnsi="Times New Roman" w:cs="Times New Roman"/>
          <w:sz w:val="16"/>
          <w:szCs w:val="16"/>
        </w:rPr>
        <w:footnoteRef/>
      </w:r>
      <w:r w:rsidRPr="003836BA">
        <w:rPr>
          <w:rFonts w:ascii="Times New Roman" w:hAnsi="Times New Roman" w:cs="Times New Roman"/>
          <w:sz w:val="16"/>
          <w:szCs w:val="16"/>
        </w:rPr>
        <w:t xml:space="preserve"> Declaration of Basic Principles of Justice for Victims of Crime and Abuse of Power</w:t>
      </w:r>
    </w:p>
  </w:footnote>
  <w:footnote w:id="19">
    <w:p w14:paraId="02859124" w14:textId="77777777" w:rsidR="002B1C71" w:rsidRPr="008915DB" w:rsidRDefault="002B1C71" w:rsidP="002B1C71">
      <w:pPr>
        <w:pStyle w:val="FootnoteText"/>
        <w:rPr>
          <w:rFonts w:ascii="Times New Roman" w:hAnsi="Times New Roman" w:cs="Times New Roman"/>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Pattni and Another v Republic [2001] KLR 262</w:t>
      </w:r>
    </w:p>
  </w:footnote>
  <w:footnote w:id="20">
    <w:p w14:paraId="0EDE1F56" w14:textId="77777777"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Constitution of Kenya </w:t>
      </w:r>
      <w:proofErr w:type="gramStart"/>
      <w:r w:rsidRPr="008915DB">
        <w:rPr>
          <w:rFonts w:ascii="Times New Roman" w:hAnsi="Times New Roman" w:cs="Times New Roman"/>
          <w:sz w:val="16"/>
          <w:szCs w:val="16"/>
        </w:rPr>
        <w:t>2010,Article</w:t>
      </w:r>
      <w:proofErr w:type="gramEnd"/>
      <w:r w:rsidRPr="008915DB">
        <w:rPr>
          <w:rFonts w:ascii="Times New Roman" w:hAnsi="Times New Roman" w:cs="Times New Roman"/>
          <w:sz w:val="16"/>
          <w:szCs w:val="16"/>
        </w:rPr>
        <w:t xml:space="preserve"> 2(5)</w:t>
      </w:r>
    </w:p>
  </w:footnote>
  <w:footnote w:id="21">
    <w:p w14:paraId="7A64DAEA" w14:textId="385D437E"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Ibid</w:t>
      </w:r>
    </w:p>
  </w:footnote>
  <w:footnote w:id="22">
    <w:p w14:paraId="0A2F3773" w14:textId="77777777"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Treaty Making and ratification Act,2012.</w:t>
      </w:r>
    </w:p>
  </w:footnote>
  <w:footnote w:id="23">
    <w:p w14:paraId="506EF4BE" w14:textId="77777777"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UN Basic principles on the role of lawyers</w:t>
      </w:r>
    </w:p>
  </w:footnote>
  <w:footnote w:id="24">
    <w:p w14:paraId="4BAFFF2E" w14:textId="77777777"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Luama N Duengre” The Issue of Enforcement in International Law: A Case Study of the War in Ukraine”</w:t>
      </w:r>
    </w:p>
  </w:footnote>
  <w:footnote w:id="25">
    <w:p w14:paraId="39DD5F9A" w14:textId="18CB8140"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Ibid</w:t>
      </w:r>
    </w:p>
  </w:footnote>
  <w:footnote w:id="26">
    <w:p w14:paraId="7CA97341" w14:textId="660DBECA" w:rsidR="008915DB" w:rsidRPr="008915DB" w:rsidRDefault="008915DB" w:rsidP="008915DB">
      <w:pPr>
        <w:pStyle w:val="FootnoteText"/>
        <w:rPr>
          <w:rFonts w:ascii="Times New Roman" w:hAnsi="Times New Roman" w:cs="Times New Roman"/>
          <w:sz w:val="16"/>
          <w:szCs w:val="16"/>
        </w:rPr>
      </w:pPr>
      <w:r w:rsidRPr="008915DB">
        <w:rPr>
          <w:rStyle w:val="FootnoteReference"/>
          <w:rFonts w:ascii="Times New Roman" w:hAnsi="Times New Roman" w:cs="Times New Roman"/>
          <w:sz w:val="16"/>
          <w:szCs w:val="16"/>
        </w:rPr>
        <w:footnoteRef/>
      </w:r>
      <w:r w:rsidRPr="008915DB">
        <w:rPr>
          <w:rFonts w:ascii="Times New Roman" w:hAnsi="Times New Roman" w:cs="Times New Roman"/>
          <w:sz w:val="16"/>
          <w:szCs w:val="16"/>
        </w:rPr>
        <w:t xml:space="preserve"> Ibid</w:t>
      </w:r>
    </w:p>
  </w:footnote>
  <w:footnote w:id="27">
    <w:p w14:paraId="286C8FA1"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Handyside v. United Kingdom, [1976] ECHR 5, Application no. 5493/72.</w:t>
      </w:r>
    </w:p>
  </w:footnote>
  <w:footnote w:id="28">
    <w:p w14:paraId="67CEECE0"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Texaco (Chevron) v. Ecuador, PCA Case No. 2009-23.</w:t>
      </w:r>
    </w:p>
  </w:footnote>
  <w:footnote w:id="29">
    <w:p w14:paraId="086241F8"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Nicaragua v. United States, [1986] ICJ Rep 14.</w:t>
      </w:r>
    </w:p>
  </w:footnote>
  <w:footnote w:id="30">
    <w:p w14:paraId="3C896C7C"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United States - Measures Affecting the Cross-Border Supply of Gambling and Betting Services, WT/DS285/AB/R.</w:t>
      </w:r>
    </w:p>
  </w:footnote>
  <w:footnote w:id="31">
    <w:p w14:paraId="7F139D05"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Prosecutor v. Omar al-Bashir, ICC-02/05-01/09.</w:t>
      </w:r>
    </w:p>
  </w:footnote>
  <w:footnote w:id="32">
    <w:p w14:paraId="2E7BD010" w14:textId="77777777" w:rsidR="00845615" w:rsidRDefault="00845615" w:rsidP="00845615">
      <w:pPr>
        <w:pStyle w:val="FootnoteText"/>
      </w:pPr>
      <w:r w:rsidRPr="714C0575">
        <w:rPr>
          <w:rStyle w:val="FootnoteReference"/>
          <w:rFonts w:ascii="Calibri" w:eastAsia="Calibri" w:hAnsi="Calibri" w:cs="Calibri"/>
        </w:rPr>
        <w:footnoteRef/>
      </w:r>
      <w:r w:rsidRPr="714C0575">
        <w:rPr>
          <w:rFonts w:ascii="Calibri" w:eastAsia="Calibri" w:hAnsi="Calibri" w:cs="Calibri"/>
        </w:rPr>
        <w:t xml:space="preserve"> </w:t>
      </w:r>
      <w:r w:rsidRPr="714C0575">
        <w:rPr>
          <w:rFonts w:ascii="Calibri" w:eastAsia="Calibri" w:hAnsi="Calibri" w:cs="Calibri"/>
          <w:color w:val="0D0D0D" w:themeColor="text1" w:themeTint="F2"/>
        </w:rPr>
        <w:t>Matter of A-B-, 27 I&amp;N Dec. 316 (A.G.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023BD"/>
    <w:multiLevelType w:val="hybridMultilevel"/>
    <w:tmpl w:val="724EA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6038D1"/>
    <w:multiLevelType w:val="hybridMultilevel"/>
    <w:tmpl w:val="A2460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4A9"/>
    <w:rsid w:val="00073E0D"/>
    <w:rsid w:val="000B6C1B"/>
    <w:rsid w:val="00220F85"/>
    <w:rsid w:val="002B1C71"/>
    <w:rsid w:val="003836BA"/>
    <w:rsid w:val="00416B4A"/>
    <w:rsid w:val="004464A9"/>
    <w:rsid w:val="004B4747"/>
    <w:rsid w:val="00692756"/>
    <w:rsid w:val="006B4733"/>
    <w:rsid w:val="00845615"/>
    <w:rsid w:val="008915DB"/>
    <w:rsid w:val="009A40EE"/>
    <w:rsid w:val="00A643D6"/>
    <w:rsid w:val="00AA6995"/>
    <w:rsid w:val="00AA6B4A"/>
    <w:rsid w:val="00AE7FF0"/>
    <w:rsid w:val="00CC595D"/>
    <w:rsid w:val="00CF6442"/>
    <w:rsid w:val="00DD7725"/>
    <w:rsid w:val="00FF0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9D124"/>
  <w15:docId w15:val="{155DDE84-95F9-4E7E-B783-E1847A9B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2B1C71"/>
    <w:pPr>
      <w:spacing w:line="240" w:lineRule="auto"/>
    </w:pPr>
    <w:rPr>
      <w:rFonts w:asciiTheme="minorHAnsi" w:eastAsiaTheme="minorHAnsi" w:hAnsiTheme="minorHAnsi" w:cstheme="minorBidi"/>
      <w:kern w:val="2"/>
      <w:sz w:val="20"/>
      <w:szCs w:val="20"/>
      <w:lang w:val="en-US"/>
      <w14:ligatures w14:val="standardContextual"/>
    </w:rPr>
  </w:style>
  <w:style w:type="character" w:customStyle="1" w:styleId="FootnoteTextChar">
    <w:name w:val="Footnote Text Char"/>
    <w:basedOn w:val="DefaultParagraphFont"/>
    <w:link w:val="FootnoteText"/>
    <w:uiPriority w:val="99"/>
    <w:semiHidden/>
    <w:rsid w:val="002B1C71"/>
    <w:rPr>
      <w:rFonts w:asciiTheme="minorHAnsi" w:eastAsiaTheme="minorHAnsi" w:hAnsiTheme="minorHAnsi" w:cstheme="minorBidi"/>
      <w:kern w:val="2"/>
      <w:sz w:val="20"/>
      <w:szCs w:val="20"/>
      <w:lang w:val="en-US"/>
      <w14:ligatures w14:val="standardContextual"/>
    </w:rPr>
  </w:style>
  <w:style w:type="character" w:styleId="FootnoteReference">
    <w:name w:val="footnote reference"/>
    <w:basedOn w:val="DefaultParagraphFont"/>
    <w:uiPriority w:val="99"/>
    <w:semiHidden/>
    <w:unhideWhenUsed/>
    <w:rsid w:val="002B1C71"/>
    <w:rPr>
      <w:vertAlign w:val="superscript"/>
    </w:rPr>
  </w:style>
  <w:style w:type="paragraph" w:styleId="NoSpacing">
    <w:name w:val="No Spacing"/>
    <w:uiPriority w:val="1"/>
    <w:qFormat/>
    <w:rsid w:val="008915DB"/>
    <w:pPr>
      <w:spacing w:line="240" w:lineRule="auto"/>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9BC7C-5785-4744-9AB9-BDB65F79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3548</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leinad mwendwa</dc:creator>
  <cp:lastModifiedBy>Mwendwa Katungo</cp:lastModifiedBy>
  <cp:revision>2</cp:revision>
  <dcterms:created xsi:type="dcterms:W3CDTF">2024-02-15T07:20:00Z</dcterms:created>
  <dcterms:modified xsi:type="dcterms:W3CDTF">2024-02-15T07:20:00Z</dcterms:modified>
</cp:coreProperties>
</file>