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2958E" w14:textId="4C9CFE37" w:rsidR="00537EB1" w:rsidRDefault="00537EB1" w:rsidP="003A4621">
      <w:pPr>
        <w:spacing w:line="240" w:lineRule="auto"/>
        <w:jc w:val="both"/>
        <w:rPr>
          <w:sz w:val="24"/>
          <w:szCs w:val="24"/>
        </w:rPr>
      </w:pPr>
      <w:r>
        <w:rPr>
          <w:sz w:val="24"/>
          <w:szCs w:val="24"/>
        </w:rPr>
        <w:t xml:space="preserve">                                  </w:t>
      </w:r>
      <w:r>
        <w:rPr>
          <w:noProof/>
          <w:sz w:val="24"/>
          <w:szCs w:val="24"/>
        </w:rPr>
        <w:drawing>
          <wp:inline distT="0" distB="0" distL="0" distR="0" wp14:anchorId="3A49064F" wp14:editId="584470FB">
            <wp:extent cx="3096895" cy="2493645"/>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6895" cy="2493645"/>
                    </a:xfrm>
                    <a:prstGeom prst="rect">
                      <a:avLst/>
                    </a:prstGeom>
                    <a:noFill/>
                  </pic:spPr>
                </pic:pic>
              </a:graphicData>
            </a:graphic>
          </wp:inline>
        </w:drawing>
      </w:r>
    </w:p>
    <w:p w14:paraId="66A7A2CB" w14:textId="5694140C" w:rsidR="00537EB1" w:rsidRPr="00537EB1" w:rsidRDefault="00537EB1" w:rsidP="006043A8">
      <w:pPr>
        <w:spacing w:after="96" w:line="240" w:lineRule="auto"/>
        <w:ind w:left="2915" w:hanging="10"/>
        <w:rPr>
          <w:rFonts w:ascii="Times New Roman" w:eastAsia="Times New Roman" w:hAnsi="Times New Roman" w:cs="Times New Roman"/>
          <w:color w:val="000000"/>
          <w:sz w:val="24"/>
        </w:rPr>
      </w:pPr>
      <w:r w:rsidRPr="00537EB1">
        <w:rPr>
          <w:rFonts w:ascii="Times New Roman" w:eastAsia="Times New Roman" w:hAnsi="Times New Roman" w:cs="Times New Roman"/>
          <w:b/>
          <w:color w:val="000000"/>
          <w:sz w:val="24"/>
        </w:rPr>
        <w:t>THE KENYA SCHOOL OF LAW</w:t>
      </w:r>
    </w:p>
    <w:p w14:paraId="481D359D" w14:textId="09D20327" w:rsidR="00537EB1" w:rsidRPr="00537EB1" w:rsidRDefault="00537EB1" w:rsidP="006043A8">
      <w:pPr>
        <w:spacing w:after="0" w:line="240" w:lineRule="auto"/>
        <w:jc w:val="center"/>
        <w:rPr>
          <w:rFonts w:ascii="Times New Roman" w:eastAsia="Times New Roman" w:hAnsi="Times New Roman" w:cs="Times New Roman"/>
          <w:color w:val="000000"/>
          <w:sz w:val="24"/>
        </w:rPr>
      </w:pPr>
    </w:p>
    <w:p w14:paraId="239EA925" w14:textId="77777777" w:rsidR="00537EB1" w:rsidRPr="00537EB1" w:rsidRDefault="00537EB1" w:rsidP="006043A8">
      <w:pPr>
        <w:spacing w:after="12" w:line="240" w:lineRule="auto"/>
        <w:ind w:left="-29" w:right="-26"/>
        <w:jc w:val="center"/>
        <w:rPr>
          <w:rFonts w:ascii="Times New Roman" w:eastAsia="Times New Roman" w:hAnsi="Times New Roman" w:cs="Times New Roman"/>
          <w:color w:val="000000"/>
          <w:sz w:val="24"/>
        </w:rPr>
      </w:pPr>
      <w:r w:rsidRPr="00537EB1">
        <w:rPr>
          <w:rFonts w:ascii="Calibri" w:eastAsia="Calibri" w:hAnsi="Calibri" w:cs="Calibri"/>
          <w:noProof/>
          <w:color w:val="000000"/>
        </w:rPr>
        <mc:AlternateContent>
          <mc:Choice Requires="wpg">
            <w:drawing>
              <wp:inline distT="0" distB="0" distL="0" distR="0" wp14:anchorId="73EA5403" wp14:editId="7FA5E84E">
                <wp:extent cx="5981065" cy="18288"/>
                <wp:effectExtent l="0" t="0" r="0" b="0"/>
                <wp:docPr id="27570" name="Group 27570"/>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33530" name="Shape 33530"/>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solidFill>
                            <a:srgbClr val="000000"/>
                          </a:solidFill>
                          <a:ln w="0" cap="flat">
                            <a:noFill/>
                            <a:miter lim="127000"/>
                          </a:ln>
                          <a:effectLst/>
                        </wps:spPr>
                        <wps:bodyPr/>
                      </wps:wsp>
                    </wpg:wgp>
                  </a:graphicData>
                </a:graphic>
              </wp:inline>
            </w:drawing>
          </mc:Choice>
          <mc:Fallback>
            <w:pict>
              <v:group w14:anchorId="5C811C85" id="Group 27570" o:spid="_x0000_s1026" style="width:470.95pt;height:1.45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">
                <v:shape id="Shape 33530" o:spid="_x0000_s1027" style="position:absolute;width:59810;height:182;visibility:visible;mso-wrap-style:square;v-text-anchor:top"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" path="m,l5981065,r,18288l,18288,,e" fillcolor="black" stroked="f" strokeweight="0">
                  <v:stroke miterlimit="83231f" joinstyle="miter"/>
                  <v:path arrowok="t" textboxrect="0,0,5981065,18288"/>
                </v:shape>
                <w10:anchorlock/>
              </v:group>
            </w:pict>
          </mc:Fallback>
        </mc:AlternateContent>
      </w:r>
    </w:p>
    <w:p w14:paraId="18CBB381" w14:textId="58CFAD22" w:rsidR="00537EB1" w:rsidRPr="00537EB1" w:rsidRDefault="00537EB1" w:rsidP="006043A8">
      <w:pPr>
        <w:spacing w:after="355" w:line="240" w:lineRule="auto"/>
        <w:jc w:val="center"/>
        <w:rPr>
          <w:rFonts w:ascii="Times New Roman" w:eastAsia="Times New Roman" w:hAnsi="Times New Roman" w:cs="Times New Roman"/>
          <w:color w:val="000000"/>
          <w:sz w:val="24"/>
        </w:rPr>
      </w:pPr>
    </w:p>
    <w:p w14:paraId="59B22524" w14:textId="382A72CF" w:rsidR="00537EB1" w:rsidRPr="00537EB1" w:rsidRDefault="006043A8" w:rsidP="006043A8">
      <w:pPr>
        <w:spacing w:after="96"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r w:rsidR="00537EB1" w:rsidRPr="00537EB1">
        <w:rPr>
          <w:rFonts w:ascii="Times New Roman" w:eastAsia="Times New Roman" w:hAnsi="Times New Roman" w:cs="Times New Roman"/>
          <w:b/>
          <w:color w:val="000000"/>
          <w:sz w:val="24"/>
        </w:rPr>
        <w:t>ATP 10</w:t>
      </w:r>
      <w:r w:rsidR="00537EB1">
        <w:rPr>
          <w:rFonts w:ascii="Times New Roman" w:eastAsia="Times New Roman" w:hAnsi="Times New Roman" w:cs="Times New Roman"/>
          <w:b/>
          <w:color w:val="000000"/>
          <w:sz w:val="24"/>
        </w:rPr>
        <w:t>4</w:t>
      </w:r>
      <w:r w:rsidR="00537EB1" w:rsidRPr="00537EB1">
        <w:rPr>
          <w:rFonts w:ascii="Times New Roman" w:eastAsia="Times New Roman" w:hAnsi="Times New Roman" w:cs="Times New Roman"/>
          <w:b/>
          <w:color w:val="000000"/>
          <w:sz w:val="24"/>
        </w:rPr>
        <w:t xml:space="preserve"> TRIAL</w:t>
      </w:r>
      <w:r w:rsidR="00537EB1">
        <w:rPr>
          <w:rFonts w:ascii="Times New Roman" w:eastAsia="Times New Roman" w:hAnsi="Times New Roman" w:cs="Times New Roman"/>
          <w:b/>
          <w:color w:val="000000"/>
          <w:sz w:val="24"/>
        </w:rPr>
        <w:t xml:space="preserve"> ADVOCACY</w:t>
      </w:r>
    </w:p>
    <w:p w14:paraId="2247C8A5" w14:textId="08313C82" w:rsidR="00537EB1" w:rsidRPr="00537EB1" w:rsidRDefault="006043A8" w:rsidP="006043A8">
      <w:pPr>
        <w:spacing w:after="115" w:line="240" w:lineRule="auto"/>
        <w:ind w:left="10" w:right="4"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r w:rsidR="00537EB1" w:rsidRPr="00537EB1">
        <w:rPr>
          <w:rFonts w:ascii="Times New Roman" w:eastAsia="Times New Roman" w:hAnsi="Times New Roman" w:cs="Times New Roman"/>
          <w:b/>
          <w:color w:val="000000"/>
          <w:sz w:val="24"/>
        </w:rPr>
        <w:t>2022/2023</w:t>
      </w:r>
    </w:p>
    <w:p w14:paraId="36E9315E" w14:textId="61072D35" w:rsidR="00537EB1" w:rsidRPr="00537EB1" w:rsidRDefault="00537EB1" w:rsidP="006043A8">
      <w:pPr>
        <w:spacing w:after="352" w:line="240" w:lineRule="auto"/>
        <w:jc w:val="center"/>
        <w:rPr>
          <w:rFonts w:ascii="Times New Roman" w:eastAsia="Times New Roman" w:hAnsi="Times New Roman" w:cs="Times New Roman"/>
          <w:color w:val="000000"/>
          <w:sz w:val="24"/>
        </w:rPr>
      </w:pPr>
    </w:p>
    <w:p w14:paraId="2B17AB4E" w14:textId="3342A6F9" w:rsidR="00537EB1" w:rsidRPr="00537EB1" w:rsidRDefault="006043A8" w:rsidP="006043A8">
      <w:pPr>
        <w:spacing w:after="115" w:line="240" w:lineRule="auto"/>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color="000000"/>
        </w:rPr>
        <w:t xml:space="preserve">                                             </w:t>
      </w:r>
      <w:r w:rsidR="00537EB1" w:rsidRPr="00537EB1">
        <w:rPr>
          <w:rFonts w:ascii="Times New Roman" w:eastAsia="Times New Roman" w:hAnsi="Times New Roman" w:cs="Times New Roman"/>
          <w:b/>
          <w:color w:val="000000"/>
          <w:sz w:val="24"/>
          <w:u w:val="single" w:color="000000"/>
        </w:rPr>
        <w:t>WEEK 1 PRESENTATION</w:t>
      </w:r>
    </w:p>
    <w:p w14:paraId="4613A61A" w14:textId="1A194AAA" w:rsidR="00537EB1" w:rsidRPr="00537EB1" w:rsidRDefault="00537EB1" w:rsidP="006043A8">
      <w:pPr>
        <w:spacing w:after="352" w:line="240" w:lineRule="auto"/>
        <w:ind w:left="57"/>
        <w:jc w:val="center"/>
        <w:rPr>
          <w:rFonts w:ascii="Times New Roman" w:eastAsia="Times New Roman" w:hAnsi="Times New Roman" w:cs="Times New Roman"/>
          <w:color w:val="000000"/>
          <w:sz w:val="24"/>
        </w:rPr>
      </w:pPr>
    </w:p>
    <w:p w14:paraId="7AD81A52" w14:textId="73A7517E" w:rsidR="00537EB1" w:rsidRPr="00537EB1" w:rsidRDefault="006043A8" w:rsidP="006043A8">
      <w:pPr>
        <w:spacing w:after="115" w:line="240" w:lineRule="auto"/>
        <w:ind w:right="6"/>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                                                             </w:t>
      </w:r>
      <w:r w:rsidR="00537EB1" w:rsidRPr="00537EB1">
        <w:rPr>
          <w:rFonts w:ascii="Times New Roman" w:eastAsia="Times New Roman" w:hAnsi="Times New Roman" w:cs="Times New Roman"/>
          <w:color w:val="000000"/>
          <w:sz w:val="24"/>
        </w:rPr>
        <w:t>By</w:t>
      </w:r>
    </w:p>
    <w:p w14:paraId="4F76A4B0" w14:textId="0241C0EC" w:rsidR="00537EB1" w:rsidRPr="00537EB1" w:rsidRDefault="00537EB1" w:rsidP="006043A8">
      <w:pPr>
        <w:spacing w:after="113" w:line="240" w:lineRule="auto"/>
        <w:ind w:left="57"/>
        <w:jc w:val="center"/>
        <w:rPr>
          <w:rFonts w:ascii="Times New Roman" w:eastAsia="Times New Roman" w:hAnsi="Times New Roman" w:cs="Times New Roman"/>
          <w:color w:val="000000"/>
          <w:sz w:val="24"/>
        </w:rPr>
      </w:pPr>
    </w:p>
    <w:p w14:paraId="1598D92B" w14:textId="2F92C5AC" w:rsidR="00537EB1" w:rsidRPr="00537EB1" w:rsidRDefault="00537EB1" w:rsidP="006043A8">
      <w:pPr>
        <w:spacing w:after="273" w:line="240" w:lineRule="auto"/>
        <w:ind w:right="2115"/>
        <w:jc w:val="center"/>
        <w:rPr>
          <w:rFonts w:ascii="Times New Roman" w:eastAsia="Times New Roman" w:hAnsi="Times New Roman" w:cs="Times New Roman"/>
          <w:color w:val="000000"/>
          <w:sz w:val="24"/>
        </w:rPr>
      </w:pPr>
      <w:r w:rsidRPr="00537EB1">
        <w:rPr>
          <w:rFonts w:ascii="Times New Roman" w:eastAsia="Times New Roman" w:hAnsi="Times New Roman" w:cs="Times New Roman"/>
          <w:b/>
          <w:color w:val="000000"/>
          <w:sz w:val="24"/>
          <w:u w:val="single" w:color="000000"/>
        </w:rPr>
        <w:t>SHERIA &amp; PARTNERS ADVOCATES</w:t>
      </w:r>
      <w:r w:rsidRPr="00537EB1">
        <w:rPr>
          <w:rFonts w:ascii="Times New Roman" w:eastAsia="Times New Roman" w:hAnsi="Times New Roman" w:cs="Times New Roman"/>
          <w:b/>
          <w:color w:val="000000"/>
          <w:sz w:val="24"/>
        </w:rPr>
        <w:t xml:space="preserve"> (FIRM 1)</w:t>
      </w:r>
    </w:p>
    <w:p w14:paraId="23D0094F" w14:textId="2CB62A36" w:rsidR="00537EB1" w:rsidRPr="00537EB1" w:rsidRDefault="00537EB1" w:rsidP="006043A8">
      <w:pPr>
        <w:spacing w:after="115" w:line="240" w:lineRule="auto"/>
        <w:jc w:val="center"/>
        <w:rPr>
          <w:rFonts w:ascii="Times New Roman" w:eastAsia="Times New Roman" w:hAnsi="Times New Roman" w:cs="Times New Roman"/>
          <w:color w:val="000000"/>
          <w:sz w:val="24"/>
        </w:rPr>
      </w:pPr>
    </w:p>
    <w:p w14:paraId="7F01E87F" w14:textId="172EE223" w:rsidR="00537EB1" w:rsidRPr="00537EB1" w:rsidRDefault="006043A8" w:rsidP="006043A8">
      <w:pPr>
        <w:spacing w:after="0" w:line="240" w:lineRule="auto"/>
        <w:ind w:left="10" w:right="3" w:hanging="1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 xml:space="preserve">                                                       </w:t>
      </w:r>
      <w:r w:rsidR="00537EB1" w:rsidRPr="00537EB1">
        <w:rPr>
          <w:rFonts w:ascii="Times New Roman" w:eastAsia="Times New Roman" w:hAnsi="Times New Roman" w:cs="Times New Roman"/>
          <w:b/>
          <w:color w:val="000000"/>
          <w:sz w:val="24"/>
        </w:rPr>
        <w:t>CLASS D</w:t>
      </w:r>
    </w:p>
    <w:p w14:paraId="07415750" w14:textId="77777777" w:rsidR="00537EB1" w:rsidRPr="00537EB1" w:rsidRDefault="00537EB1" w:rsidP="006043A8">
      <w:pPr>
        <w:spacing w:after="12" w:line="240" w:lineRule="auto"/>
        <w:ind w:left="-29" w:right="-26"/>
        <w:jc w:val="center"/>
        <w:rPr>
          <w:rFonts w:ascii="Times New Roman" w:eastAsia="Times New Roman" w:hAnsi="Times New Roman" w:cs="Times New Roman"/>
          <w:color w:val="000000"/>
          <w:sz w:val="24"/>
        </w:rPr>
      </w:pPr>
      <w:r w:rsidRPr="00537EB1">
        <w:rPr>
          <w:rFonts w:ascii="Calibri" w:eastAsia="Calibri" w:hAnsi="Calibri" w:cs="Calibri"/>
          <w:noProof/>
          <w:color w:val="000000"/>
        </w:rPr>
        <mc:AlternateContent>
          <mc:Choice Requires="wpg">
            <w:drawing>
              <wp:inline distT="0" distB="0" distL="0" distR="0" wp14:anchorId="1ACDE3DC" wp14:editId="67AB3B92">
                <wp:extent cx="5981065" cy="18288"/>
                <wp:effectExtent l="0" t="0" r="0" b="0"/>
                <wp:docPr id="27571" name="Group 27571"/>
                <wp:cNvGraphicFramePr/>
                <a:graphic xmlns:a="http://schemas.openxmlformats.org/drawingml/2006/main">
                  <a:graphicData uri="http://schemas.microsoft.com/office/word/2010/wordprocessingGroup">
                    <wpg:wgp>
                      <wpg:cNvGrpSpPr/>
                      <wpg:grpSpPr>
                        <a:xfrm>
                          <a:off x="0" y="0"/>
                          <a:ext cx="5981065" cy="18288"/>
                          <a:chOff x="0" y="0"/>
                          <a:chExt cx="5981065" cy="18288"/>
                        </a:xfrm>
                      </wpg:grpSpPr>
                      <wps:wsp>
                        <wps:cNvPr id="33532" name="Shape 33532"/>
                        <wps:cNvSpPr/>
                        <wps:spPr>
                          <a:xfrm>
                            <a:off x="0" y="0"/>
                            <a:ext cx="5981065" cy="18288"/>
                          </a:xfrm>
                          <a:custGeom>
                            <a:avLst/>
                            <a:gdLst/>
                            <a:ahLst/>
                            <a:cxnLst/>
                            <a:rect l="0" t="0" r="0" b="0"/>
                            <a:pathLst>
                              <a:path w="5981065" h="18288">
                                <a:moveTo>
                                  <a:pt x="0" y="0"/>
                                </a:moveTo>
                                <a:lnTo>
                                  <a:pt x="5981065" y="0"/>
                                </a:lnTo>
                                <a:lnTo>
                                  <a:pt x="5981065" y="18288"/>
                                </a:lnTo>
                                <a:lnTo>
                                  <a:pt x="0" y="18288"/>
                                </a:lnTo>
                                <a:lnTo>
                                  <a:pt x="0" y="0"/>
                                </a:lnTo>
                              </a:path>
                            </a:pathLst>
                          </a:custGeom>
                          <a:solidFill>
                            <a:srgbClr val="000000"/>
                          </a:solidFill>
                          <a:ln w="0" cap="flat">
                            <a:noFill/>
                            <a:miter lim="127000"/>
                          </a:ln>
                          <a:effectLst/>
                        </wps:spPr>
                        <wps:bodyPr/>
                      </wps:wsp>
                    </wpg:wgp>
                  </a:graphicData>
                </a:graphic>
              </wp:inline>
            </w:drawing>
          </mc:Choice>
          <mc:Fallback>
            <w:pict>
              <v:group w14:anchorId="65F4E372" id="Group 27571" o:spid="_x0000_s1026" style="width:470.95pt;height:1.45pt;mso-position-horizontal-relative:char;mso-position-vertical-relative:line" coordsize="5981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">
                <v:shape id="Shape 33532" o:spid="_x0000_s1027" style="position:absolute;width:59810;height:182;visibility:visible;mso-wrap-style:square;v-text-anchor:top" coordsize="59810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" path="m,l5981065,r,18288l,18288,,e" fillcolor="black" stroked="f" strokeweight="0">
                  <v:stroke miterlimit="83231f" joinstyle="miter"/>
                  <v:path arrowok="t" textboxrect="0,0,5981065,18288"/>
                </v:shape>
                <w10:anchorlock/>
              </v:group>
            </w:pict>
          </mc:Fallback>
        </mc:AlternateContent>
      </w:r>
    </w:p>
    <w:p w14:paraId="70BF3F3F" w14:textId="7689BAB9" w:rsidR="00537EB1" w:rsidRPr="00537EB1" w:rsidRDefault="00537EB1" w:rsidP="006043A8">
      <w:pPr>
        <w:spacing w:after="273" w:line="240" w:lineRule="auto"/>
        <w:jc w:val="center"/>
        <w:rPr>
          <w:rFonts w:ascii="Times New Roman" w:eastAsia="Times New Roman" w:hAnsi="Times New Roman" w:cs="Times New Roman"/>
          <w:color w:val="000000"/>
          <w:sz w:val="24"/>
        </w:rPr>
      </w:pPr>
    </w:p>
    <w:p w14:paraId="3DD15F2B" w14:textId="6BB492CD" w:rsidR="00537EB1" w:rsidRDefault="00537EB1" w:rsidP="006043A8">
      <w:pPr>
        <w:spacing w:line="240" w:lineRule="auto"/>
        <w:jc w:val="center"/>
        <w:rPr>
          <w:sz w:val="24"/>
          <w:szCs w:val="24"/>
        </w:rPr>
      </w:pPr>
    </w:p>
    <w:p w14:paraId="0970C227" w14:textId="45D5196D" w:rsidR="00537EB1" w:rsidRDefault="00537EB1" w:rsidP="006043A8">
      <w:pPr>
        <w:spacing w:line="240" w:lineRule="auto"/>
        <w:jc w:val="center"/>
        <w:rPr>
          <w:sz w:val="24"/>
          <w:szCs w:val="24"/>
        </w:rPr>
      </w:pPr>
    </w:p>
    <w:p w14:paraId="1B3D3A79" w14:textId="16F8FF90" w:rsidR="00537EB1" w:rsidRDefault="00537EB1" w:rsidP="006043A8">
      <w:pPr>
        <w:spacing w:line="240" w:lineRule="auto"/>
        <w:jc w:val="center"/>
        <w:rPr>
          <w:sz w:val="24"/>
          <w:szCs w:val="24"/>
        </w:rPr>
      </w:pPr>
    </w:p>
    <w:p w14:paraId="0A64F782" w14:textId="77777777" w:rsidR="006043A8" w:rsidRDefault="006043A8" w:rsidP="006043A8">
      <w:pPr>
        <w:spacing w:line="240" w:lineRule="auto"/>
        <w:rPr>
          <w:b/>
          <w:sz w:val="24"/>
          <w:szCs w:val="24"/>
          <w:u w:val="single"/>
        </w:rPr>
      </w:pPr>
    </w:p>
    <w:p w14:paraId="31D64DC4" w14:textId="7CA61448" w:rsidR="00537EB1" w:rsidRPr="00537EB1" w:rsidRDefault="00537EB1" w:rsidP="006043A8">
      <w:pPr>
        <w:spacing w:line="240" w:lineRule="auto"/>
        <w:rPr>
          <w:sz w:val="24"/>
          <w:szCs w:val="24"/>
        </w:rPr>
      </w:pPr>
      <w:r w:rsidRPr="00537EB1">
        <w:rPr>
          <w:b/>
          <w:sz w:val="24"/>
          <w:szCs w:val="24"/>
          <w:u w:val="single"/>
        </w:rPr>
        <w:lastRenderedPageBreak/>
        <w:t>LIST OF MEMBERS</w:t>
      </w:r>
    </w:p>
    <w:tbl>
      <w:tblPr>
        <w:tblW w:w="9575" w:type="dxa"/>
        <w:tblInd w:w="-107" w:type="dxa"/>
        <w:tblCellMar>
          <w:top w:w="13" w:type="dxa"/>
          <w:left w:w="106" w:type="dxa"/>
          <w:right w:w="118" w:type="dxa"/>
        </w:tblCellMar>
        <w:tblLook w:val="04A0" w:firstRow="1" w:lastRow="0" w:firstColumn="1" w:lastColumn="0" w:noHBand="0" w:noVBand="1"/>
      </w:tblPr>
      <w:tblGrid>
        <w:gridCol w:w="704"/>
        <w:gridCol w:w="3171"/>
        <w:gridCol w:w="1904"/>
        <w:gridCol w:w="1884"/>
        <w:gridCol w:w="1912"/>
      </w:tblGrid>
      <w:tr w:rsidR="00537EB1" w:rsidRPr="00537EB1" w14:paraId="2C8A2C40" w14:textId="77777777" w:rsidTr="000B755F">
        <w:trPr>
          <w:trHeight w:val="422"/>
        </w:trPr>
        <w:tc>
          <w:tcPr>
            <w:tcW w:w="3875" w:type="dxa"/>
            <w:gridSpan w:val="2"/>
            <w:tcBorders>
              <w:top w:val="single" w:sz="4" w:space="0" w:color="000000"/>
              <w:left w:val="single" w:sz="4" w:space="0" w:color="000000"/>
              <w:bottom w:val="single" w:sz="4" w:space="0" w:color="000000"/>
              <w:right w:val="nil"/>
            </w:tcBorders>
            <w:shd w:val="clear" w:color="auto" w:fill="4472C4"/>
          </w:tcPr>
          <w:p w14:paraId="05722323" w14:textId="77777777" w:rsidR="00537EB1" w:rsidRPr="00537EB1" w:rsidRDefault="00537EB1" w:rsidP="003A4621">
            <w:pPr>
              <w:spacing w:line="240" w:lineRule="auto"/>
              <w:jc w:val="both"/>
              <w:rPr>
                <w:sz w:val="24"/>
                <w:szCs w:val="24"/>
              </w:rPr>
            </w:pPr>
            <w:r w:rsidRPr="00537EB1">
              <w:rPr>
                <w:b/>
                <w:sz w:val="24"/>
                <w:szCs w:val="24"/>
              </w:rPr>
              <w:t xml:space="preserve">MEMBERS OF FIRM 1 CLASS D </w:t>
            </w:r>
          </w:p>
        </w:tc>
        <w:tc>
          <w:tcPr>
            <w:tcW w:w="1904" w:type="dxa"/>
            <w:tcBorders>
              <w:top w:val="single" w:sz="4" w:space="0" w:color="000000"/>
              <w:left w:val="nil"/>
              <w:bottom w:val="single" w:sz="4" w:space="0" w:color="000000"/>
              <w:right w:val="nil"/>
            </w:tcBorders>
            <w:shd w:val="clear" w:color="auto" w:fill="4472C4"/>
          </w:tcPr>
          <w:p w14:paraId="06BA9B68" w14:textId="77777777" w:rsidR="00537EB1" w:rsidRPr="00537EB1" w:rsidRDefault="00537EB1" w:rsidP="003A4621">
            <w:pPr>
              <w:spacing w:line="240" w:lineRule="auto"/>
              <w:jc w:val="both"/>
              <w:rPr>
                <w:sz w:val="24"/>
                <w:szCs w:val="24"/>
              </w:rPr>
            </w:pPr>
          </w:p>
        </w:tc>
        <w:tc>
          <w:tcPr>
            <w:tcW w:w="1884" w:type="dxa"/>
            <w:tcBorders>
              <w:top w:val="single" w:sz="4" w:space="0" w:color="000000"/>
              <w:left w:val="nil"/>
              <w:bottom w:val="single" w:sz="4" w:space="0" w:color="000000"/>
              <w:right w:val="nil"/>
            </w:tcBorders>
            <w:shd w:val="clear" w:color="auto" w:fill="4472C4"/>
          </w:tcPr>
          <w:p w14:paraId="3FE8A645" w14:textId="77777777" w:rsidR="00537EB1" w:rsidRPr="00537EB1" w:rsidRDefault="00537EB1" w:rsidP="003A4621">
            <w:pPr>
              <w:spacing w:line="240" w:lineRule="auto"/>
              <w:jc w:val="both"/>
              <w:rPr>
                <w:sz w:val="24"/>
                <w:szCs w:val="24"/>
              </w:rPr>
            </w:pPr>
          </w:p>
        </w:tc>
        <w:tc>
          <w:tcPr>
            <w:tcW w:w="1912" w:type="dxa"/>
            <w:tcBorders>
              <w:top w:val="single" w:sz="4" w:space="0" w:color="000000"/>
              <w:left w:val="nil"/>
              <w:bottom w:val="single" w:sz="4" w:space="0" w:color="000000"/>
              <w:right w:val="single" w:sz="4" w:space="0" w:color="000000"/>
            </w:tcBorders>
            <w:shd w:val="clear" w:color="auto" w:fill="4472C4"/>
          </w:tcPr>
          <w:p w14:paraId="5B3F7577" w14:textId="77777777" w:rsidR="00537EB1" w:rsidRPr="00537EB1" w:rsidRDefault="00537EB1" w:rsidP="003A4621">
            <w:pPr>
              <w:spacing w:line="240" w:lineRule="auto"/>
              <w:jc w:val="both"/>
              <w:rPr>
                <w:sz w:val="24"/>
                <w:szCs w:val="24"/>
              </w:rPr>
            </w:pPr>
          </w:p>
        </w:tc>
      </w:tr>
      <w:tr w:rsidR="00537EB1" w:rsidRPr="00537EB1" w14:paraId="18981234" w14:textId="77777777" w:rsidTr="000B755F">
        <w:trPr>
          <w:trHeight w:val="426"/>
        </w:trPr>
        <w:tc>
          <w:tcPr>
            <w:tcW w:w="704" w:type="dxa"/>
            <w:tcBorders>
              <w:top w:val="single" w:sz="4" w:space="0" w:color="000000"/>
              <w:left w:val="single" w:sz="4" w:space="0" w:color="000000"/>
              <w:bottom w:val="single" w:sz="4" w:space="0" w:color="000000"/>
              <w:right w:val="single" w:sz="4" w:space="0" w:color="000000"/>
            </w:tcBorders>
          </w:tcPr>
          <w:p w14:paraId="4BD05ACE" w14:textId="77777777" w:rsidR="00537EB1" w:rsidRPr="00537EB1" w:rsidRDefault="00537EB1" w:rsidP="003A4621">
            <w:pPr>
              <w:spacing w:line="240" w:lineRule="auto"/>
              <w:jc w:val="both"/>
              <w:rPr>
                <w:sz w:val="24"/>
                <w:szCs w:val="24"/>
              </w:rPr>
            </w:pPr>
            <w:r w:rsidRPr="00537EB1">
              <w:rPr>
                <w:b/>
                <w:sz w:val="24"/>
                <w:szCs w:val="24"/>
              </w:rPr>
              <w:t xml:space="preserve">NO. </w:t>
            </w:r>
          </w:p>
        </w:tc>
        <w:tc>
          <w:tcPr>
            <w:tcW w:w="3171" w:type="dxa"/>
            <w:tcBorders>
              <w:top w:val="single" w:sz="4" w:space="0" w:color="000000"/>
              <w:left w:val="single" w:sz="4" w:space="0" w:color="000000"/>
              <w:bottom w:val="single" w:sz="4" w:space="0" w:color="000000"/>
              <w:right w:val="single" w:sz="4" w:space="0" w:color="000000"/>
            </w:tcBorders>
          </w:tcPr>
          <w:p w14:paraId="13387C96" w14:textId="77777777" w:rsidR="00537EB1" w:rsidRPr="00537EB1" w:rsidRDefault="00537EB1" w:rsidP="003A4621">
            <w:pPr>
              <w:spacing w:line="240" w:lineRule="auto"/>
              <w:jc w:val="both"/>
              <w:rPr>
                <w:sz w:val="24"/>
                <w:szCs w:val="24"/>
              </w:rPr>
            </w:pPr>
            <w:r w:rsidRPr="00537EB1">
              <w:rPr>
                <w:b/>
                <w:sz w:val="24"/>
                <w:szCs w:val="24"/>
              </w:rPr>
              <w:t xml:space="preserve">NAME </w:t>
            </w:r>
          </w:p>
        </w:tc>
        <w:tc>
          <w:tcPr>
            <w:tcW w:w="1904" w:type="dxa"/>
            <w:tcBorders>
              <w:top w:val="single" w:sz="4" w:space="0" w:color="000000"/>
              <w:left w:val="single" w:sz="4" w:space="0" w:color="000000"/>
              <w:bottom w:val="single" w:sz="4" w:space="0" w:color="000000"/>
              <w:right w:val="single" w:sz="4" w:space="0" w:color="000000"/>
            </w:tcBorders>
          </w:tcPr>
          <w:p w14:paraId="7910419C" w14:textId="77777777" w:rsidR="00537EB1" w:rsidRPr="00537EB1" w:rsidRDefault="00537EB1" w:rsidP="003A4621">
            <w:pPr>
              <w:spacing w:line="240" w:lineRule="auto"/>
              <w:jc w:val="both"/>
              <w:rPr>
                <w:sz w:val="24"/>
                <w:szCs w:val="24"/>
              </w:rPr>
            </w:pPr>
            <w:r w:rsidRPr="00537EB1">
              <w:rPr>
                <w:b/>
                <w:sz w:val="24"/>
                <w:szCs w:val="24"/>
              </w:rPr>
              <w:t xml:space="preserve">INITIALS </w:t>
            </w:r>
          </w:p>
        </w:tc>
        <w:tc>
          <w:tcPr>
            <w:tcW w:w="1884" w:type="dxa"/>
            <w:tcBorders>
              <w:top w:val="single" w:sz="4" w:space="0" w:color="000000"/>
              <w:left w:val="single" w:sz="4" w:space="0" w:color="000000"/>
              <w:bottom w:val="single" w:sz="4" w:space="0" w:color="000000"/>
              <w:right w:val="single" w:sz="4" w:space="0" w:color="000000"/>
            </w:tcBorders>
          </w:tcPr>
          <w:p w14:paraId="7FB1E392" w14:textId="77777777" w:rsidR="00537EB1" w:rsidRPr="00537EB1" w:rsidRDefault="00537EB1" w:rsidP="003A4621">
            <w:pPr>
              <w:spacing w:line="240" w:lineRule="auto"/>
              <w:jc w:val="both"/>
              <w:rPr>
                <w:sz w:val="24"/>
                <w:szCs w:val="24"/>
              </w:rPr>
            </w:pPr>
            <w:r w:rsidRPr="00537EB1">
              <w:rPr>
                <w:b/>
                <w:sz w:val="24"/>
                <w:szCs w:val="24"/>
              </w:rPr>
              <w:t xml:space="preserve">ADM. NO. </w:t>
            </w:r>
          </w:p>
        </w:tc>
        <w:tc>
          <w:tcPr>
            <w:tcW w:w="1912" w:type="dxa"/>
            <w:tcBorders>
              <w:top w:val="single" w:sz="4" w:space="0" w:color="000000"/>
              <w:left w:val="single" w:sz="4" w:space="0" w:color="000000"/>
              <w:bottom w:val="single" w:sz="4" w:space="0" w:color="000000"/>
              <w:right w:val="single" w:sz="4" w:space="0" w:color="000000"/>
            </w:tcBorders>
          </w:tcPr>
          <w:p w14:paraId="66745970" w14:textId="77777777" w:rsidR="00537EB1" w:rsidRPr="00537EB1" w:rsidRDefault="00537EB1" w:rsidP="003A4621">
            <w:pPr>
              <w:spacing w:line="240" w:lineRule="auto"/>
              <w:jc w:val="both"/>
              <w:rPr>
                <w:sz w:val="24"/>
                <w:szCs w:val="24"/>
              </w:rPr>
            </w:pPr>
            <w:r w:rsidRPr="00537EB1">
              <w:rPr>
                <w:b/>
                <w:sz w:val="24"/>
                <w:szCs w:val="24"/>
              </w:rPr>
              <w:t xml:space="preserve">SIGNATURE </w:t>
            </w:r>
          </w:p>
        </w:tc>
      </w:tr>
      <w:tr w:rsidR="00537EB1" w:rsidRPr="00537EB1" w14:paraId="4CBB9A1A" w14:textId="77777777" w:rsidTr="000B755F">
        <w:trPr>
          <w:trHeight w:val="838"/>
        </w:trPr>
        <w:tc>
          <w:tcPr>
            <w:tcW w:w="704" w:type="dxa"/>
            <w:tcBorders>
              <w:top w:val="single" w:sz="4" w:space="0" w:color="000000"/>
              <w:left w:val="single" w:sz="4" w:space="0" w:color="000000"/>
              <w:bottom w:val="single" w:sz="4" w:space="0" w:color="000000"/>
              <w:right w:val="single" w:sz="4" w:space="0" w:color="000000"/>
            </w:tcBorders>
          </w:tcPr>
          <w:p w14:paraId="1CFF19AD" w14:textId="77777777" w:rsidR="00537EB1" w:rsidRPr="00537EB1" w:rsidRDefault="00537EB1" w:rsidP="003A4621">
            <w:pPr>
              <w:spacing w:line="240" w:lineRule="auto"/>
              <w:jc w:val="both"/>
              <w:rPr>
                <w:sz w:val="24"/>
                <w:szCs w:val="24"/>
              </w:rPr>
            </w:pPr>
            <w:r w:rsidRPr="00537EB1">
              <w:rPr>
                <w:b/>
                <w:sz w:val="24"/>
                <w:szCs w:val="24"/>
              </w:rPr>
              <w:t xml:space="preserve">1. </w:t>
            </w:r>
          </w:p>
        </w:tc>
        <w:tc>
          <w:tcPr>
            <w:tcW w:w="3171" w:type="dxa"/>
            <w:tcBorders>
              <w:top w:val="single" w:sz="4" w:space="0" w:color="000000"/>
              <w:left w:val="single" w:sz="4" w:space="0" w:color="000000"/>
              <w:bottom w:val="single" w:sz="4" w:space="0" w:color="000000"/>
              <w:right w:val="single" w:sz="4" w:space="0" w:color="000000"/>
            </w:tcBorders>
          </w:tcPr>
          <w:p w14:paraId="0188D1F3" w14:textId="77777777" w:rsidR="00537EB1" w:rsidRPr="00537EB1" w:rsidRDefault="00537EB1" w:rsidP="003A4621">
            <w:pPr>
              <w:spacing w:line="240" w:lineRule="auto"/>
              <w:jc w:val="both"/>
              <w:rPr>
                <w:sz w:val="24"/>
                <w:szCs w:val="24"/>
              </w:rPr>
            </w:pPr>
            <w:r w:rsidRPr="00537EB1">
              <w:rPr>
                <w:b/>
                <w:sz w:val="24"/>
                <w:szCs w:val="24"/>
              </w:rPr>
              <w:t xml:space="preserve">TONY GABRIEL </w:t>
            </w:r>
          </w:p>
          <w:p w14:paraId="78EB116B" w14:textId="77777777" w:rsidR="00537EB1" w:rsidRPr="00537EB1" w:rsidRDefault="00537EB1" w:rsidP="003A4621">
            <w:pPr>
              <w:spacing w:line="240" w:lineRule="auto"/>
              <w:jc w:val="both"/>
              <w:rPr>
                <w:sz w:val="24"/>
                <w:szCs w:val="24"/>
              </w:rPr>
            </w:pPr>
            <w:r w:rsidRPr="00537EB1">
              <w:rPr>
                <w:b/>
                <w:sz w:val="24"/>
                <w:szCs w:val="24"/>
              </w:rPr>
              <w:t xml:space="preserve">(FIRM LEADER) </w:t>
            </w:r>
          </w:p>
        </w:tc>
        <w:tc>
          <w:tcPr>
            <w:tcW w:w="1904" w:type="dxa"/>
            <w:tcBorders>
              <w:top w:val="single" w:sz="4" w:space="0" w:color="000000"/>
              <w:left w:val="single" w:sz="4" w:space="0" w:color="000000"/>
              <w:bottom w:val="single" w:sz="4" w:space="0" w:color="000000"/>
              <w:right w:val="single" w:sz="4" w:space="0" w:color="000000"/>
            </w:tcBorders>
          </w:tcPr>
          <w:p w14:paraId="6D083446" w14:textId="77777777" w:rsidR="00537EB1" w:rsidRPr="00537EB1" w:rsidRDefault="00537EB1" w:rsidP="003A4621">
            <w:pPr>
              <w:spacing w:line="240" w:lineRule="auto"/>
              <w:jc w:val="both"/>
              <w:rPr>
                <w:sz w:val="24"/>
                <w:szCs w:val="24"/>
              </w:rPr>
            </w:pPr>
            <w:r w:rsidRPr="00537EB1">
              <w:rPr>
                <w:b/>
                <w:sz w:val="24"/>
                <w:szCs w:val="24"/>
              </w:rPr>
              <w:t xml:space="preserve">T.G </w:t>
            </w:r>
          </w:p>
        </w:tc>
        <w:tc>
          <w:tcPr>
            <w:tcW w:w="1884" w:type="dxa"/>
            <w:tcBorders>
              <w:top w:val="single" w:sz="4" w:space="0" w:color="000000"/>
              <w:left w:val="single" w:sz="4" w:space="0" w:color="000000"/>
              <w:bottom w:val="single" w:sz="4" w:space="0" w:color="000000"/>
              <w:right w:val="single" w:sz="4" w:space="0" w:color="000000"/>
            </w:tcBorders>
          </w:tcPr>
          <w:p w14:paraId="6ECA574A" w14:textId="77777777" w:rsidR="00537EB1" w:rsidRPr="00537EB1" w:rsidRDefault="00537EB1" w:rsidP="003A4621">
            <w:pPr>
              <w:spacing w:line="240" w:lineRule="auto"/>
              <w:jc w:val="both"/>
              <w:rPr>
                <w:sz w:val="24"/>
                <w:szCs w:val="24"/>
              </w:rPr>
            </w:pPr>
            <w:r w:rsidRPr="00537EB1">
              <w:rPr>
                <w:b/>
                <w:sz w:val="24"/>
                <w:szCs w:val="24"/>
              </w:rPr>
              <w:t xml:space="preserve">20220137 </w:t>
            </w:r>
          </w:p>
        </w:tc>
        <w:tc>
          <w:tcPr>
            <w:tcW w:w="1912" w:type="dxa"/>
            <w:tcBorders>
              <w:top w:val="single" w:sz="4" w:space="0" w:color="000000"/>
              <w:left w:val="single" w:sz="4" w:space="0" w:color="000000"/>
              <w:bottom w:val="single" w:sz="4" w:space="0" w:color="000000"/>
              <w:right w:val="single" w:sz="4" w:space="0" w:color="000000"/>
            </w:tcBorders>
          </w:tcPr>
          <w:p w14:paraId="6383A772" w14:textId="77777777" w:rsidR="00537EB1" w:rsidRPr="00537EB1" w:rsidRDefault="00537EB1" w:rsidP="003A4621">
            <w:pPr>
              <w:spacing w:line="240" w:lineRule="auto"/>
              <w:jc w:val="both"/>
              <w:rPr>
                <w:sz w:val="24"/>
                <w:szCs w:val="24"/>
              </w:rPr>
            </w:pPr>
            <w:r w:rsidRPr="00537EB1">
              <w:rPr>
                <w:b/>
                <w:sz w:val="24"/>
                <w:szCs w:val="24"/>
              </w:rPr>
              <w:t xml:space="preserve"> </w:t>
            </w:r>
            <w:r w:rsidRPr="00537EB1">
              <w:rPr>
                <w:noProof/>
                <w:sz w:val="24"/>
                <w:szCs w:val="24"/>
              </w:rPr>
              <w:drawing>
                <wp:inline distT="0" distB="0" distL="0" distR="0" wp14:anchorId="31ADF5F9" wp14:editId="79C21E08">
                  <wp:extent cx="720164" cy="419856"/>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8"/>
                          <a:stretch>
                            <a:fillRect/>
                          </a:stretch>
                        </pic:blipFill>
                        <pic:spPr>
                          <a:xfrm>
                            <a:off x="0" y="0"/>
                            <a:ext cx="720164" cy="419856"/>
                          </a:xfrm>
                          <a:prstGeom prst="rect">
                            <a:avLst/>
                          </a:prstGeom>
                        </pic:spPr>
                      </pic:pic>
                    </a:graphicData>
                  </a:graphic>
                </wp:inline>
              </w:drawing>
            </w:r>
          </w:p>
        </w:tc>
      </w:tr>
      <w:tr w:rsidR="00537EB1" w:rsidRPr="00537EB1" w14:paraId="7D4E89F7" w14:textId="77777777" w:rsidTr="000B755F">
        <w:trPr>
          <w:trHeight w:val="838"/>
        </w:trPr>
        <w:tc>
          <w:tcPr>
            <w:tcW w:w="704" w:type="dxa"/>
            <w:tcBorders>
              <w:top w:val="single" w:sz="4" w:space="0" w:color="000000"/>
              <w:left w:val="single" w:sz="4" w:space="0" w:color="000000"/>
              <w:bottom w:val="single" w:sz="4" w:space="0" w:color="000000"/>
              <w:right w:val="single" w:sz="4" w:space="0" w:color="000000"/>
            </w:tcBorders>
          </w:tcPr>
          <w:p w14:paraId="5413C18B" w14:textId="77777777" w:rsidR="00537EB1" w:rsidRPr="00537EB1" w:rsidRDefault="00537EB1" w:rsidP="003A4621">
            <w:pPr>
              <w:spacing w:line="240" w:lineRule="auto"/>
              <w:jc w:val="both"/>
              <w:rPr>
                <w:sz w:val="24"/>
                <w:szCs w:val="24"/>
              </w:rPr>
            </w:pPr>
            <w:r w:rsidRPr="00537EB1">
              <w:rPr>
                <w:b/>
                <w:sz w:val="24"/>
                <w:szCs w:val="24"/>
              </w:rPr>
              <w:t xml:space="preserve">2. </w:t>
            </w:r>
          </w:p>
        </w:tc>
        <w:tc>
          <w:tcPr>
            <w:tcW w:w="3171" w:type="dxa"/>
            <w:tcBorders>
              <w:top w:val="single" w:sz="4" w:space="0" w:color="000000"/>
              <w:left w:val="single" w:sz="4" w:space="0" w:color="000000"/>
              <w:bottom w:val="single" w:sz="4" w:space="0" w:color="000000"/>
              <w:right w:val="single" w:sz="4" w:space="0" w:color="000000"/>
            </w:tcBorders>
          </w:tcPr>
          <w:p w14:paraId="14F4D321" w14:textId="77777777" w:rsidR="00537EB1" w:rsidRPr="00537EB1" w:rsidRDefault="00537EB1" w:rsidP="003A4621">
            <w:pPr>
              <w:spacing w:line="240" w:lineRule="auto"/>
              <w:jc w:val="both"/>
              <w:rPr>
                <w:sz w:val="24"/>
                <w:szCs w:val="24"/>
              </w:rPr>
            </w:pPr>
            <w:r w:rsidRPr="00537EB1">
              <w:rPr>
                <w:b/>
                <w:sz w:val="24"/>
                <w:szCs w:val="24"/>
              </w:rPr>
              <w:t xml:space="preserve">RUKIA MBWANA </w:t>
            </w:r>
          </w:p>
          <w:p w14:paraId="0F546678" w14:textId="77777777" w:rsidR="00537EB1" w:rsidRPr="00537EB1" w:rsidRDefault="00537EB1" w:rsidP="003A4621">
            <w:pPr>
              <w:spacing w:line="240" w:lineRule="auto"/>
              <w:jc w:val="both"/>
              <w:rPr>
                <w:sz w:val="24"/>
                <w:szCs w:val="24"/>
              </w:rPr>
            </w:pPr>
            <w:r w:rsidRPr="00537EB1">
              <w:rPr>
                <w:b/>
                <w:sz w:val="24"/>
                <w:szCs w:val="24"/>
              </w:rPr>
              <w:t xml:space="preserve">(SECRETARY) </w:t>
            </w:r>
          </w:p>
        </w:tc>
        <w:tc>
          <w:tcPr>
            <w:tcW w:w="1904" w:type="dxa"/>
            <w:tcBorders>
              <w:top w:val="single" w:sz="4" w:space="0" w:color="000000"/>
              <w:left w:val="single" w:sz="4" w:space="0" w:color="000000"/>
              <w:bottom w:val="single" w:sz="4" w:space="0" w:color="000000"/>
              <w:right w:val="single" w:sz="4" w:space="0" w:color="000000"/>
            </w:tcBorders>
          </w:tcPr>
          <w:p w14:paraId="33EBB607" w14:textId="77777777" w:rsidR="00537EB1" w:rsidRPr="00537EB1" w:rsidRDefault="00537EB1" w:rsidP="003A4621">
            <w:pPr>
              <w:spacing w:line="240" w:lineRule="auto"/>
              <w:jc w:val="both"/>
              <w:rPr>
                <w:sz w:val="24"/>
                <w:szCs w:val="24"/>
              </w:rPr>
            </w:pPr>
            <w:r w:rsidRPr="00537EB1">
              <w:rPr>
                <w:b/>
                <w:sz w:val="24"/>
                <w:szCs w:val="24"/>
              </w:rPr>
              <w:t xml:space="preserve">R.M </w:t>
            </w:r>
          </w:p>
        </w:tc>
        <w:tc>
          <w:tcPr>
            <w:tcW w:w="1884" w:type="dxa"/>
            <w:tcBorders>
              <w:top w:val="single" w:sz="4" w:space="0" w:color="000000"/>
              <w:left w:val="single" w:sz="4" w:space="0" w:color="000000"/>
              <w:bottom w:val="single" w:sz="4" w:space="0" w:color="000000"/>
              <w:right w:val="single" w:sz="4" w:space="0" w:color="000000"/>
            </w:tcBorders>
          </w:tcPr>
          <w:p w14:paraId="74B2F95D" w14:textId="77777777" w:rsidR="00537EB1" w:rsidRPr="00537EB1" w:rsidRDefault="00537EB1" w:rsidP="003A4621">
            <w:pPr>
              <w:spacing w:line="240" w:lineRule="auto"/>
              <w:jc w:val="both"/>
              <w:rPr>
                <w:sz w:val="24"/>
                <w:szCs w:val="24"/>
              </w:rPr>
            </w:pPr>
            <w:r w:rsidRPr="00537EB1">
              <w:rPr>
                <w:b/>
                <w:sz w:val="24"/>
                <w:szCs w:val="24"/>
              </w:rPr>
              <w:t xml:space="preserve">20221134 </w:t>
            </w:r>
          </w:p>
        </w:tc>
        <w:tc>
          <w:tcPr>
            <w:tcW w:w="1912" w:type="dxa"/>
            <w:tcBorders>
              <w:top w:val="single" w:sz="4" w:space="0" w:color="000000"/>
              <w:left w:val="single" w:sz="4" w:space="0" w:color="000000"/>
              <w:bottom w:val="single" w:sz="4" w:space="0" w:color="000000"/>
              <w:right w:val="single" w:sz="4" w:space="0" w:color="000000"/>
            </w:tcBorders>
          </w:tcPr>
          <w:p w14:paraId="1115684A" w14:textId="77777777" w:rsidR="00537EB1" w:rsidRPr="00537EB1" w:rsidRDefault="00537EB1" w:rsidP="003A4621">
            <w:pPr>
              <w:spacing w:line="240" w:lineRule="auto"/>
              <w:jc w:val="both"/>
              <w:rPr>
                <w:sz w:val="24"/>
                <w:szCs w:val="24"/>
              </w:rPr>
            </w:pPr>
            <w:r w:rsidRPr="00537EB1">
              <w:rPr>
                <w:b/>
                <w:sz w:val="24"/>
                <w:szCs w:val="24"/>
              </w:rPr>
              <w:t xml:space="preserve"> </w:t>
            </w:r>
            <w:r w:rsidRPr="00537EB1">
              <w:rPr>
                <w:noProof/>
                <w:sz w:val="24"/>
                <w:szCs w:val="24"/>
              </w:rPr>
              <w:drawing>
                <wp:inline distT="0" distB="0" distL="0" distR="0" wp14:anchorId="27070B2C" wp14:editId="544470F9">
                  <wp:extent cx="652964" cy="419856"/>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9"/>
                          <a:stretch>
                            <a:fillRect/>
                          </a:stretch>
                        </pic:blipFill>
                        <pic:spPr>
                          <a:xfrm>
                            <a:off x="0" y="0"/>
                            <a:ext cx="652964" cy="419856"/>
                          </a:xfrm>
                          <a:prstGeom prst="rect">
                            <a:avLst/>
                          </a:prstGeom>
                        </pic:spPr>
                      </pic:pic>
                    </a:graphicData>
                  </a:graphic>
                </wp:inline>
              </w:drawing>
            </w:r>
          </w:p>
        </w:tc>
      </w:tr>
      <w:tr w:rsidR="00537EB1" w:rsidRPr="00537EB1" w14:paraId="0B1611C9" w14:textId="77777777" w:rsidTr="000B755F">
        <w:trPr>
          <w:trHeight w:val="838"/>
        </w:trPr>
        <w:tc>
          <w:tcPr>
            <w:tcW w:w="704" w:type="dxa"/>
            <w:tcBorders>
              <w:top w:val="single" w:sz="4" w:space="0" w:color="000000"/>
              <w:left w:val="single" w:sz="4" w:space="0" w:color="000000"/>
              <w:bottom w:val="single" w:sz="4" w:space="0" w:color="000000"/>
              <w:right w:val="single" w:sz="4" w:space="0" w:color="000000"/>
            </w:tcBorders>
          </w:tcPr>
          <w:p w14:paraId="490FB394" w14:textId="77777777" w:rsidR="00537EB1" w:rsidRPr="00537EB1" w:rsidRDefault="00537EB1" w:rsidP="003A4621">
            <w:pPr>
              <w:spacing w:line="240" w:lineRule="auto"/>
              <w:jc w:val="both"/>
              <w:rPr>
                <w:sz w:val="24"/>
                <w:szCs w:val="24"/>
              </w:rPr>
            </w:pPr>
            <w:r w:rsidRPr="00537EB1">
              <w:rPr>
                <w:b/>
                <w:sz w:val="24"/>
                <w:szCs w:val="24"/>
              </w:rPr>
              <w:t xml:space="preserve">3. </w:t>
            </w:r>
          </w:p>
        </w:tc>
        <w:tc>
          <w:tcPr>
            <w:tcW w:w="3171" w:type="dxa"/>
            <w:tcBorders>
              <w:top w:val="single" w:sz="4" w:space="0" w:color="000000"/>
              <w:left w:val="single" w:sz="4" w:space="0" w:color="000000"/>
              <w:bottom w:val="single" w:sz="4" w:space="0" w:color="000000"/>
              <w:right w:val="single" w:sz="4" w:space="0" w:color="000000"/>
            </w:tcBorders>
          </w:tcPr>
          <w:p w14:paraId="7A690F80" w14:textId="77777777" w:rsidR="00537EB1" w:rsidRPr="00537EB1" w:rsidRDefault="00537EB1" w:rsidP="003A4621">
            <w:pPr>
              <w:spacing w:line="240" w:lineRule="auto"/>
              <w:jc w:val="both"/>
              <w:rPr>
                <w:sz w:val="24"/>
                <w:szCs w:val="24"/>
              </w:rPr>
            </w:pPr>
            <w:r w:rsidRPr="00537EB1">
              <w:rPr>
                <w:b/>
                <w:sz w:val="24"/>
                <w:szCs w:val="24"/>
              </w:rPr>
              <w:t xml:space="preserve">CHARITY ANDABWA </w:t>
            </w:r>
          </w:p>
          <w:p w14:paraId="2B84A06E" w14:textId="77777777" w:rsidR="00537EB1" w:rsidRPr="00537EB1" w:rsidRDefault="00537EB1" w:rsidP="003A4621">
            <w:pPr>
              <w:spacing w:line="240" w:lineRule="auto"/>
              <w:jc w:val="both"/>
              <w:rPr>
                <w:sz w:val="24"/>
                <w:szCs w:val="24"/>
              </w:rPr>
            </w:pPr>
            <w:r w:rsidRPr="00537EB1">
              <w:rPr>
                <w:b/>
                <w:sz w:val="24"/>
                <w:szCs w:val="24"/>
              </w:rPr>
              <w:t xml:space="preserve">(CHAPERONE) </w:t>
            </w:r>
          </w:p>
        </w:tc>
        <w:tc>
          <w:tcPr>
            <w:tcW w:w="1904" w:type="dxa"/>
            <w:tcBorders>
              <w:top w:val="single" w:sz="4" w:space="0" w:color="000000"/>
              <w:left w:val="single" w:sz="4" w:space="0" w:color="000000"/>
              <w:bottom w:val="single" w:sz="4" w:space="0" w:color="000000"/>
              <w:right w:val="single" w:sz="4" w:space="0" w:color="000000"/>
            </w:tcBorders>
          </w:tcPr>
          <w:p w14:paraId="1A0B6A6A" w14:textId="77777777" w:rsidR="00537EB1" w:rsidRPr="00537EB1" w:rsidRDefault="00537EB1" w:rsidP="003A4621">
            <w:pPr>
              <w:spacing w:line="240" w:lineRule="auto"/>
              <w:jc w:val="both"/>
              <w:rPr>
                <w:sz w:val="24"/>
                <w:szCs w:val="24"/>
              </w:rPr>
            </w:pPr>
            <w:r w:rsidRPr="00537EB1">
              <w:rPr>
                <w:b/>
                <w:sz w:val="24"/>
                <w:szCs w:val="24"/>
              </w:rPr>
              <w:t xml:space="preserve">C.A </w:t>
            </w:r>
          </w:p>
        </w:tc>
        <w:tc>
          <w:tcPr>
            <w:tcW w:w="1884" w:type="dxa"/>
            <w:tcBorders>
              <w:top w:val="single" w:sz="4" w:space="0" w:color="000000"/>
              <w:left w:val="single" w:sz="4" w:space="0" w:color="000000"/>
              <w:bottom w:val="single" w:sz="4" w:space="0" w:color="000000"/>
              <w:right w:val="single" w:sz="4" w:space="0" w:color="000000"/>
            </w:tcBorders>
          </w:tcPr>
          <w:p w14:paraId="42FE1ECD" w14:textId="77777777" w:rsidR="00537EB1" w:rsidRPr="00537EB1" w:rsidRDefault="00537EB1" w:rsidP="003A4621">
            <w:pPr>
              <w:spacing w:line="240" w:lineRule="auto"/>
              <w:jc w:val="both"/>
              <w:rPr>
                <w:sz w:val="24"/>
                <w:szCs w:val="24"/>
              </w:rPr>
            </w:pPr>
            <w:r w:rsidRPr="00537EB1">
              <w:rPr>
                <w:b/>
                <w:sz w:val="24"/>
                <w:szCs w:val="24"/>
              </w:rPr>
              <w:t xml:space="preserve">20220158 </w:t>
            </w:r>
          </w:p>
        </w:tc>
        <w:tc>
          <w:tcPr>
            <w:tcW w:w="1912" w:type="dxa"/>
            <w:tcBorders>
              <w:top w:val="single" w:sz="4" w:space="0" w:color="000000"/>
              <w:left w:val="single" w:sz="4" w:space="0" w:color="000000"/>
              <w:bottom w:val="single" w:sz="4" w:space="0" w:color="000000"/>
              <w:right w:val="single" w:sz="4" w:space="0" w:color="000000"/>
            </w:tcBorders>
          </w:tcPr>
          <w:p w14:paraId="29F08474" w14:textId="2E34DAF5" w:rsidR="00537EB1" w:rsidRPr="00537EB1" w:rsidRDefault="00537EB1" w:rsidP="003A4621">
            <w:pPr>
              <w:spacing w:line="240" w:lineRule="auto"/>
              <w:jc w:val="both"/>
              <w:rPr>
                <w:sz w:val="24"/>
                <w:szCs w:val="24"/>
              </w:rPr>
            </w:pPr>
            <w:r w:rsidRPr="00537EB1">
              <w:rPr>
                <w:b/>
                <w:sz w:val="24"/>
                <w:szCs w:val="24"/>
              </w:rPr>
              <w:t xml:space="preserve"> </w:t>
            </w:r>
            <w:r w:rsidR="00B16836" w:rsidRPr="00537EB1">
              <w:rPr>
                <w:noProof/>
                <w:sz w:val="24"/>
                <w:szCs w:val="24"/>
              </w:rPr>
              <w:drawing>
                <wp:inline distT="0" distB="0" distL="0" distR="0" wp14:anchorId="3CC0A8B2" wp14:editId="46147746">
                  <wp:extent cx="567055" cy="419650"/>
                  <wp:effectExtent l="0" t="0" r="4445"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10"/>
                          <a:stretch>
                            <a:fillRect/>
                          </a:stretch>
                        </pic:blipFill>
                        <pic:spPr>
                          <a:xfrm>
                            <a:off x="0" y="0"/>
                            <a:ext cx="577844" cy="427634"/>
                          </a:xfrm>
                          <a:prstGeom prst="rect">
                            <a:avLst/>
                          </a:prstGeom>
                        </pic:spPr>
                      </pic:pic>
                    </a:graphicData>
                  </a:graphic>
                </wp:inline>
              </w:drawing>
            </w:r>
            <w:r w:rsidRPr="00537EB1">
              <w:rPr>
                <w:b/>
                <w:sz w:val="24"/>
                <w:szCs w:val="24"/>
              </w:rPr>
              <w:tab/>
            </w:r>
          </w:p>
        </w:tc>
      </w:tr>
      <w:tr w:rsidR="00537EB1" w:rsidRPr="00537EB1" w14:paraId="25D5D249" w14:textId="77777777" w:rsidTr="000B755F">
        <w:trPr>
          <w:trHeight w:val="838"/>
        </w:trPr>
        <w:tc>
          <w:tcPr>
            <w:tcW w:w="704" w:type="dxa"/>
            <w:tcBorders>
              <w:top w:val="single" w:sz="4" w:space="0" w:color="000000"/>
              <w:left w:val="single" w:sz="4" w:space="0" w:color="000000"/>
              <w:bottom w:val="single" w:sz="4" w:space="0" w:color="000000"/>
              <w:right w:val="single" w:sz="4" w:space="0" w:color="000000"/>
            </w:tcBorders>
          </w:tcPr>
          <w:p w14:paraId="68B515F9" w14:textId="77777777" w:rsidR="00537EB1" w:rsidRPr="00537EB1" w:rsidRDefault="00537EB1" w:rsidP="003A4621">
            <w:pPr>
              <w:spacing w:line="240" w:lineRule="auto"/>
              <w:jc w:val="both"/>
              <w:rPr>
                <w:sz w:val="24"/>
                <w:szCs w:val="24"/>
              </w:rPr>
            </w:pPr>
            <w:r w:rsidRPr="00537EB1">
              <w:rPr>
                <w:b/>
                <w:sz w:val="24"/>
                <w:szCs w:val="24"/>
              </w:rPr>
              <w:t xml:space="preserve">4. </w:t>
            </w:r>
          </w:p>
        </w:tc>
        <w:tc>
          <w:tcPr>
            <w:tcW w:w="3171" w:type="dxa"/>
            <w:tcBorders>
              <w:top w:val="single" w:sz="4" w:space="0" w:color="000000"/>
              <w:left w:val="single" w:sz="4" w:space="0" w:color="000000"/>
              <w:bottom w:val="single" w:sz="4" w:space="0" w:color="000000"/>
              <w:right w:val="single" w:sz="4" w:space="0" w:color="000000"/>
            </w:tcBorders>
          </w:tcPr>
          <w:p w14:paraId="0618D604" w14:textId="77777777" w:rsidR="00537EB1" w:rsidRPr="00537EB1" w:rsidRDefault="00537EB1" w:rsidP="003A4621">
            <w:pPr>
              <w:spacing w:line="240" w:lineRule="auto"/>
              <w:jc w:val="both"/>
              <w:rPr>
                <w:sz w:val="24"/>
                <w:szCs w:val="24"/>
              </w:rPr>
            </w:pPr>
            <w:r w:rsidRPr="00537EB1">
              <w:rPr>
                <w:b/>
                <w:sz w:val="24"/>
                <w:szCs w:val="24"/>
              </w:rPr>
              <w:t xml:space="preserve">JAMES WAWERU </w:t>
            </w:r>
          </w:p>
          <w:p w14:paraId="01D701CB" w14:textId="77777777" w:rsidR="00537EB1" w:rsidRPr="00537EB1" w:rsidRDefault="00537EB1" w:rsidP="003A4621">
            <w:pPr>
              <w:spacing w:line="240" w:lineRule="auto"/>
              <w:jc w:val="both"/>
              <w:rPr>
                <w:sz w:val="24"/>
                <w:szCs w:val="24"/>
              </w:rPr>
            </w:pPr>
            <w:r w:rsidRPr="00537EB1">
              <w:rPr>
                <w:b/>
                <w:sz w:val="24"/>
                <w:szCs w:val="24"/>
              </w:rPr>
              <w:t xml:space="preserve">(MEMBER) </w:t>
            </w:r>
          </w:p>
        </w:tc>
        <w:tc>
          <w:tcPr>
            <w:tcW w:w="1904" w:type="dxa"/>
            <w:tcBorders>
              <w:top w:val="single" w:sz="4" w:space="0" w:color="000000"/>
              <w:left w:val="single" w:sz="4" w:space="0" w:color="000000"/>
              <w:bottom w:val="single" w:sz="4" w:space="0" w:color="000000"/>
              <w:right w:val="single" w:sz="4" w:space="0" w:color="000000"/>
            </w:tcBorders>
          </w:tcPr>
          <w:p w14:paraId="306C6DE9" w14:textId="77777777" w:rsidR="00537EB1" w:rsidRPr="00537EB1" w:rsidRDefault="00537EB1" w:rsidP="003A4621">
            <w:pPr>
              <w:spacing w:line="240" w:lineRule="auto"/>
              <w:jc w:val="both"/>
              <w:rPr>
                <w:sz w:val="24"/>
                <w:szCs w:val="24"/>
              </w:rPr>
            </w:pPr>
            <w:r w:rsidRPr="00537EB1">
              <w:rPr>
                <w:b/>
                <w:sz w:val="24"/>
                <w:szCs w:val="24"/>
              </w:rPr>
              <w:t xml:space="preserve">J.W </w:t>
            </w:r>
          </w:p>
        </w:tc>
        <w:tc>
          <w:tcPr>
            <w:tcW w:w="1884" w:type="dxa"/>
            <w:tcBorders>
              <w:top w:val="single" w:sz="4" w:space="0" w:color="000000"/>
              <w:left w:val="single" w:sz="4" w:space="0" w:color="000000"/>
              <w:bottom w:val="single" w:sz="4" w:space="0" w:color="000000"/>
              <w:right w:val="single" w:sz="4" w:space="0" w:color="000000"/>
            </w:tcBorders>
          </w:tcPr>
          <w:p w14:paraId="4AC16115" w14:textId="77777777" w:rsidR="00537EB1" w:rsidRPr="00537EB1" w:rsidRDefault="00537EB1" w:rsidP="003A4621">
            <w:pPr>
              <w:spacing w:line="240" w:lineRule="auto"/>
              <w:jc w:val="both"/>
              <w:rPr>
                <w:sz w:val="24"/>
                <w:szCs w:val="24"/>
              </w:rPr>
            </w:pPr>
            <w:r w:rsidRPr="00537EB1">
              <w:rPr>
                <w:b/>
                <w:sz w:val="24"/>
                <w:szCs w:val="24"/>
              </w:rPr>
              <w:t xml:space="preserve">20221569 </w:t>
            </w:r>
          </w:p>
        </w:tc>
        <w:tc>
          <w:tcPr>
            <w:tcW w:w="1912" w:type="dxa"/>
            <w:tcBorders>
              <w:top w:val="single" w:sz="4" w:space="0" w:color="000000"/>
              <w:left w:val="single" w:sz="4" w:space="0" w:color="000000"/>
              <w:bottom w:val="single" w:sz="4" w:space="0" w:color="000000"/>
              <w:right w:val="single" w:sz="4" w:space="0" w:color="000000"/>
            </w:tcBorders>
          </w:tcPr>
          <w:p w14:paraId="77B64083" w14:textId="0BE4992B" w:rsidR="00537EB1" w:rsidRPr="00537EB1" w:rsidRDefault="00537EB1" w:rsidP="003A4621">
            <w:pPr>
              <w:spacing w:line="240" w:lineRule="auto"/>
              <w:jc w:val="both"/>
              <w:rPr>
                <w:sz w:val="24"/>
                <w:szCs w:val="24"/>
              </w:rPr>
            </w:pPr>
            <w:r w:rsidRPr="00537EB1">
              <w:rPr>
                <w:b/>
                <w:sz w:val="24"/>
                <w:szCs w:val="24"/>
              </w:rPr>
              <w:t xml:space="preserve"> </w:t>
            </w:r>
            <w:r w:rsidR="00B16836" w:rsidRPr="00537EB1">
              <w:rPr>
                <w:noProof/>
                <w:sz w:val="24"/>
                <w:szCs w:val="24"/>
              </w:rPr>
              <w:drawing>
                <wp:inline distT="0" distB="0" distL="0" distR="0" wp14:anchorId="5BD4C436" wp14:editId="0C78314C">
                  <wp:extent cx="342459" cy="419856"/>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1"/>
                          <a:stretch>
                            <a:fillRect/>
                          </a:stretch>
                        </pic:blipFill>
                        <pic:spPr>
                          <a:xfrm>
                            <a:off x="0" y="0"/>
                            <a:ext cx="342459" cy="419856"/>
                          </a:xfrm>
                          <a:prstGeom prst="rect">
                            <a:avLst/>
                          </a:prstGeom>
                        </pic:spPr>
                      </pic:pic>
                    </a:graphicData>
                  </a:graphic>
                </wp:inline>
              </w:drawing>
            </w:r>
            <w:r w:rsidRPr="00537EB1">
              <w:rPr>
                <w:b/>
                <w:sz w:val="24"/>
                <w:szCs w:val="24"/>
              </w:rPr>
              <w:tab/>
            </w:r>
          </w:p>
        </w:tc>
      </w:tr>
      <w:tr w:rsidR="00537EB1" w:rsidRPr="00537EB1" w14:paraId="2BFC8521" w14:textId="77777777" w:rsidTr="000B755F">
        <w:trPr>
          <w:trHeight w:val="838"/>
        </w:trPr>
        <w:tc>
          <w:tcPr>
            <w:tcW w:w="704" w:type="dxa"/>
            <w:tcBorders>
              <w:top w:val="single" w:sz="4" w:space="0" w:color="000000"/>
              <w:left w:val="single" w:sz="4" w:space="0" w:color="000000"/>
              <w:bottom w:val="single" w:sz="4" w:space="0" w:color="000000"/>
              <w:right w:val="single" w:sz="4" w:space="0" w:color="000000"/>
            </w:tcBorders>
          </w:tcPr>
          <w:p w14:paraId="16F0F531" w14:textId="77777777" w:rsidR="00537EB1" w:rsidRPr="00537EB1" w:rsidRDefault="00537EB1" w:rsidP="003A4621">
            <w:pPr>
              <w:spacing w:line="240" w:lineRule="auto"/>
              <w:jc w:val="both"/>
              <w:rPr>
                <w:sz w:val="24"/>
                <w:szCs w:val="24"/>
              </w:rPr>
            </w:pPr>
            <w:r w:rsidRPr="00537EB1">
              <w:rPr>
                <w:b/>
                <w:sz w:val="24"/>
                <w:szCs w:val="24"/>
              </w:rPr>
              <w:t xml:space="preserve">5. </w:t>
            </w:r>
          </w:p>
        </w:tc>
        <w:tc>
          <w:tcPr>
            <w:tcW w:w="3171" w:type="dxa"/>
            <w:tcBorders>
              <w:top w:val="single" w:sz="4" w:space="0" w:color="000000"/>
              <w:left w:val="single" w:sz="4" w:space="0" w:color="000000"/>
              <w:bottom w:val="single" w:sz="4" w:space="0" w:color="000000"/>
              <w:right w:val="single" w:sz="4" w:space="0" w:color="000000"/>
            </w:tcBorders>
          </w:tcPr>
          <w:p w14:paraId="34FB14E5" w14:textId="77777777" w:rsidR="00537EB1" w:rsidRPr="00537EB1" w:rsidRDefault="00537EB1" w:rsidP="003A4621">
            <w:pPr>
              <w:spacing w:line="240" w:lineRule="auto"/>
              <w:jc w:val="both"/>
              <w:rPr>
                <w:sz w:val="24"/>
                <w:szCs w:val="24"/>
              </w:rPr>
            </w:pPr>
            <w:r w:rsidRPr="00537EB1">
              <w:rPr>
                <w:b/>
                <w:sz w:val="24"/>
                <w:szCs w:val="24"/>
              </w:rPr>
              <w:t xml:space="preserve">MONICAH KALUNDE </w:t>
            </w:r>
          </w:p>
          <w:p w14:paraId="1F5D6298" w14:textId="77777777" w:rsidR="00537EB1" w:rsidRPr="00537EB1" w:rsidRDefault="00537EB1" w:rsidP="003A4621">
            <w:pPr>
              <w:spacing w:line="240" w:lineRule="auto"/>
              <w:jc w:val="both"/>
              <w:rPr>
                <w:sz w:val="24"/>
                <w:szCs w:val="24"/>
              </w:rPr>
            </w:pPr>
            <w:r w:rsidRPr="00537EB1">
              <w:rPr>
                <w:b/>
                <w:sz w:val="24"/>
                <w:szCs w:val="24"/>
              </w:rPr>
              <w:t xml:space="preserve">(MEMBER) </w:t>
            </w:r>
          </w:p>
        </w:tc>
        <w:tc>
          <w:tcPr>
            <w:tcW w:w="1904" w:type="dxa"/>
            <w:tcBorders>
              <w:top w:val="single" w:sz="4" w:space="0" w:color="000000"/>
              <w:left w:val="single" w:sz="4" w:space="0" w:color="000000"/>
              <w:bottom w:val="single" w:sz="4" w:space="0" w:color="000000"/>
              <w:right w:val="single" w:sz="4" w:space="0" w:color="000000"/>
            </w:tcBorders>
          </w:tcPr>
          <w:p w14:paraId="5C9C2D0B" w14:textId="77777777" w:rsidR="00537EB1" w:rsidRPr="00537EB1" w:rsidRDefault="00537EB1" w:rsidP="003A4621">
            <w:pPr>
              <w:spacing w:line="240" w:lineRule="auto"/>
              <w:jc w:val="both"/>
              <w:rPr>
                <w:sz w:val="24"/>
                <w:szCs w:val="24"/>
              </w:rPr>
            </w:pPr>
            <w:r w:rsidRPr="00537EB1">
              <w:rPr>
                <w:b/>
                <w:sz w:val="24"/>
                <w:szCs w:val="24"/>
              </w:rPr>
              <w:t xml:space="preserve">M.K </w:t>
            </w:r>
          </w:p>
        </w:tc>
        <w:tc>
          <w:tcPr>
            <w:tcW w:w="1884" w:type="dxa"/>
            <w:tcBorders>
              <w:top w:val="single" w:sz="4" w:space="0" w:color="000000"/>
              <w:left w:val="single" w:sz="4" w:space="0" w:color="000000"/>
              <w:bottom w:val="single" w:sz="4" w:space="0" w:color="000000"/>
              <w:right w:val="single" w:sz="4" w:space="0" w:color="000000"/>
            </w:tcBorders>
          </w:tcPr>
          <w:p w14:paraId="6E78F84D" w14:textId="77777777" w:rsidR="00537EB1" w:rsidRPr="00537EB1" w:rsidRDefault="00537EB1" w:rsidP="003A4621">
            <w:pPr>
              <w:spacing w:line="240" w:lineRule="auto"/>
              <w:jc w:val="both"/>
              <w:rPr>
                <w:sz w:val="24"/>
                <w:szCs w:val="24"/>
              </w:rPr>
            </w:pPr>
            <w:r w:rsidRPr="00537EB1">
              <w:rPr>
                <w:b/>
                <w:sz w:val="24"/>
                <w:szCs w:val="24"/>
              </w:rPr>
              <w:t xml:space="preserve">20221351 </w:t>
            </w:r>
          </w:p>
        </w:tc>
        <w:tc>
          <w:tcPr>
            <w:tcW w:w="1912" w:type="dxa"/>
            <w:tcBorders>
              <w:top w:val="single" w:sz="4" w:space="0" w:color="000000"/>
              <w:left w:val="single" w:sz="4" w:space="0" w:color="000000"/>
              <w:bottom w:val="single" w:sz="4" w:space="0" w:color="000000"/>
              <w:right w:val="single" w:sz="4" w:space="0" w:color="000000"/>
            </w:tcBorders>
          </w:tcPr>
          <w:p w14:paraId="31DAA519" w14:textId="77777777" w:rsidR="00537EB1" w:rsidRPr="00537EB1" w:rsidRDefault="00537EB1" w:rsidP="003A4621">
            <w:pPr>
              <w:spacing w:line="240" w:lineRule="auto"/>
              <w:jc w:val="both"/>
              <w:rPr>
                <w:sz w:val="24"/>
                <w:szCs w:val="24"/>
              </w:rPr>
            </w:pPr>
            <w:r w:rsidRPr="00537EB1">
              <w:rPr>
                <w:b/>
                <w:sz w:val="24"/>
                <w:szCs w:val="24"/>
              </w:rPr>
              <w:t xml:space="preserve"> </w:t>
            </w:r>
            <w:r w:rsidRPr="00537EB1">
              <w:rPr>
                <w:noProof/>
                <w:sz w:val="24"/>
                <w:szCs w:val="24"/>
              </w:rPr>
              <w:drawing>
                <wp:inline distT="0" distB="0" distL="0" distR="0" wp14:anchorId="76C9E228" wp14:editId="39F5FD29">
                  <wp:extent cx="752668" cy="418483"/>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12"/>
                          <a:stretch>
                            <a:fillRect/>
                          </a:stretch>
                        </pic:blipFill>
                        <pic:spPr>
                          <a:xfrm>
                            <a:off x="0" y="0"/>
                            <a:ext cx="752668" cy="418483"/>
                          </a:xfrm>
                          <a:prstGeom prst="rect">
                            <a:avLst/>
                          </a:prstGeom>
                        </pic:spPr>
                      </pic:pic>
                    </a:graphicData>
                  </a:graphic>
                </wp:inline>
              </w:drawing>
            </w:r>
          </w:p>
        </w:tc>
      </w:tr>
      <w:tr w:rsidR="00537EB1" w:rsidRPr="00537EB1" w14:paraId="624C16AF" w14:textId="77777777" w:rsidTr="000B755F">
        <w:trPr>
          <w:trHeight w:val="838"/>
        </w:trPr>
        <w:tc>
          <w:tcPr>
            <w:tcW w:w="704" w:type="dxa"/>
            <w:tcBorders>
              <w:top w:val="single" w:sz="4" w:space="0" w:color="000000"/>
              <w:left w:val="single" w:sz="4" w:space="0" w:color="000000"/>
              <w:bottom w:val="single" w:sz="4" w:space="0" w:color="000000"/>
              <w:right w:val="single" w:sz="4" w:space="0" w:color="000000"/>
            </w:tcBorders>
          </w:tcPr>
          <w:p w14:paraId="118BFCB0" w14:textId="77777777" w:rsidR="00537EB1" w:rsidRPr="00537EB1" w:rsidRDefault="00537EB1" w:rsidP="003A4621">
            <w:pPr>
              <w:spacing w:line="240" w:lineRule="auto"/>
              <w:jc w:val="both"/>
              <w:rPr>
                <w:sz w:val="24"/>
                <w:szCs w:val="24"/>
              </w:rPr>
            </w:pPr>
            <w:r w:rsidRPr="00537EB1">
              <w:rPr>
                <w:b/>
                <w:sz w:val="24"/>
                <w:szCs w:val="24"/>
              </w:rPr>
              <w:t xml:space="preserve">6. </w:t>
            </w:r>
          </w:p>
        </w:tc>
        <w:tc>
          <w:tcPr>
            <w:tcW w:w="3171" w:type="dxa"/>
            <w:tcBorders>
              <w:top w:val="single" w:sz="4" w:space="0" w:color="000000"/>
              <w:left w:val="single" w:sz="4" w:space="0" w:color="000000"/>
              <w:bottom w:val="single" w:sz="4" w:space="0" w:color="000000"/>
              <w:right w:val="single" w:sz="4" w:space="0" w:color="000000"/>
            </w:tcBorders>
          </w:tcPr>
          <w:p w14:paraId="42699A2B" w14:textId="77777777" w:rsidR="00537EB1" w:rsidRPr="00537EB1" w:rsidRDefault="00537EB1" w:rsidP="003A4621">
            <w:pPr>
              <w:spacing w:line="240" w:lineRule="auto"/>
              <w:jc w:val="both"/>
              <w:rPr>
                <w:sz w:val="24"/>
                <w:szCs w:val="24"/>
              </w:rPr>
            </w:pPr>
            <w:r w:rsidRPr="00537EB1">
              <w:rPr>
                <w:b/>
                <w:sz w:val="24"/>
                <w:szCs w:val="24"/>
              </w:rPr>
              <w:t xml:space="preserve">BRIAN GACHARI </w:t>
            </w:r>
          </w:p>
          <w:p w14:paraId="684C403B" w14:textId="77777777" w:rsidR="00537EB1" w:rsidRPr="00537EB1" w:rsidRDefault="00537EB1" w:rsidP="003A4621">
            <w:pPr>
              <w:spacing w:line="240" w:lineRule="auto"/>
              <w:jc w:val="both"/>
              <w:rPr>
                <w:sz w:val="24"/>
                <w:szCs w:val="24"/>
              </w:rPr>
            </w:pPr>
            <w:r w:rsidRPr="00537EB1">
              <w:rPr>
                <w:b/>
                <w:sz w:val="24"/>
                <w:szCs w:val="24"/>
              </w:rPr>
              <w:t xml:space="preserve">(MEMBER) </w:t>
            </w:r>
          </w:p>
        </w:tc>
        <w:tc>
          <w:tcPr>
            <w:tcW w:w="1904" w:type="dxa"/>
            <w:tcBorders>
              <w:top w:val="single" w:sz="4" w:space="0" w:color="000000"/>
              <w:left w:val="single" w:sz="4" w:space="0" w:color="000000"/>
              <w:bottom w:val="single" w:sz="4" w:space="0" w:color="000000"/>
              <w:right w:val="single" w:sz="4" w:space="0" w:color="000000"/>
            </w:tcBorders>
          </w:tcPr>
          <w:p w14:paraId="504904C1" w14:textId="77777777" w:rsidR="00537EB1" w:rsidRPr="00537EB1" w:rsidRDefault="00537EB1" w:rsidP="003A4621">
            <w:pPr>
              <w:spacing w:line="240" w:lineRule="auto"/>
              <w:jc w:val="both"/>
              <w:rPr>
                <w:sz w:val="24"/>
                <w:szCs w:val="24"/>
              </w:rPr>
            </w:pPr>
            <w:r w:rsidRPr="00537EB1">
              <w:rPr>
                <w:b/>
                <w:sz w:val="24"/>
                <w:szCs w:val="24"/>
              </w:rPr>
              <w:t xml:space="preserve">B.G </w:t>
            </w:r>
          </w:p>
        </w:tc>
        <w:tc>
          <w:tcPr>
            <w:tcW w:w="1884" w:type="dxa"/>
            <w:tcBorders>
              <w:top w:val="single" w:sz="4" w:space="0" w:color="000000"/>
              <w:left w:val="single" w:sz="4" w:space="0" w:color="000000"/>
              <w:bottom w:val="single" w:sz="4" w:space="0" w:color="000000"/>
              <w:right w:val="single" w:sz="4" w:space="0" w:color="000000"/>
            </w:tcBorders>
          </w:tcPr>
          <w:p w14:paraId="1C483A7B" w14:textId="77777777" w:rsidR="00537EB1" w:rsidRPr="00537EB1" w:rsidRDefault="00537EB1" w:rsidP="003A4621">
            <w:pPr>
              <w:spacing w:line="240" w:lineRule="auto"/>
              <w:jc w:val="both"/>
              <w:rPr>
                <w:sz w:val="24"/>
                <w:szCs w:val="24"/>
              </w:rPr>
            </w:pPr>
            <w:r w:rsidRPr="00537EB1">
              <w:rPr>
                <w:b/>
                <w:sz w:val="24"/>
                <w:szCs w:val="24"/>
              </w:rPr>
              <w:t xml:space="preserve">20221004 </w:t>
            </w:r>
          </w:p>
        </w:tc>
        <w:tc>
          <w:tcPr>
            <w:tcW w:w="1912" w:type="dxa"/>
            <w:tcBorders>
              <w:top w:val="single" w:sz="4" w:space="0" w:color="000000"/>
              <w:left w:val="single" w:sz="4" w:space="0" w:color="000000"/>
              <w:bottom w:val="single" w:sz="4" w:space="0" w:color="000000"/>
              <w:right w:val="single" w:sz="4" w:space="0" w:color="000000"/>
            </w:tcBorders>
          </w:tcPr>
          <w:p w14:paraId="19F83669" w14:textId="53F5BF7E" w:rsidR="00537EB1" w:rsidRPr="00537EB1" w:rsidRDefault="00537EB1" w:rsidP="003A4621">
            <w:pPr>
              <w:spacing w:line="240" w:lineRule="auto"/>
              <w:jc w:val="both"/>
              <w:rPr>
                <w:sz w:val="24"/>
                <w:szCs w:val="24"/>
              </w:rPr>
            </w:pPr>
            <w:r w:rsidRPr="00537EB1">
              <w:rPr>
                <w:b/>
                <w:sz w:val="24"/>
                <w:szCs w:val="24"/>
              </w:rPr>
              <w:t xml:space="preserve"> </w:t>
            </w:r>
            <w:r w:rsidR="00B16836" w:rsidRPr="00537EB1">
              <w:rPr>
                <w:noProof/>
                <w:sz w:val="24"/>
                <w:szCs w:val="24"/>
              </w:rPr>
              <w:drawing>
                <wp:inline distT="0" distB="0" distL="0" distR="0" wp14:anchorId="15C03817" wp14:editId="0A3492BD">
                  <wp:extent cx="480935" cy="419856"/>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13"/>
                          <a:stretch>
                            <a:fillRect/>
                          </a:stretch>
                        </pic:blipFill>
                        <pic:spPr>
                          <a:xfrm>
                            <a:off x="0" y="0"/>
                            <a:ext cx="480935" cy="419856"/>
                          </a:xfrm>
                          <a:prstGeom prst="rect">
                            <a:avLst/>
                          </a:prstGeom>
                        </pic:spPr>
                      </pic:pic>
                    </a:graphicData>
                  </a:graphic>
                </wp:inline>
              </w:drawing>
            </w:r>
            <w:r w:rsidRPr="00537EB1">
              <w:rPr>
                <w:b/>
                <w:sz w:val="24"/>
                <w:szCs w:val="24"/>
              </w:rPr>
              <w:tab/>
            </w:r>
          </w:p>
        </w:tc>
      </w:tr>
      <w:tr w:rsidR="00537EB1" w:rsidRPr="00537EB1" w14:paraId="234A1825" w14:textId="77777777" w:rsidTr="000B755F">
        <w:trPr>
          <w:trHeight w:val="840"/>
        </w:trPr>
        <w:tc>
          <w:tcPr>
            <w:tcW w:w="704" w:type="dxa"/>
            <w:tcBorders>
              <w:top w:val="single" w:sz="4" w:space="0" w:color="000000"/>
              <w:left w:val="single" w:sz="4" w:space="0" w:color="000000"/>
              <w:bottom w:val="single" w:sz="4" w:space="0" w:color="000000"/>
              <w:right w:val="single" w:sz="4" w:space="0" w:color="000000"/>
            </w:tcBorders>
          </w:tcPr>
          <w:p w14:paraId="1C0F2ECA" w14:textId="77777777" w:rsidR="00537EB1" w:rsidRPr="00537EB1" w:rsidRDefault="00537EB1" w:rsidP="003A4621">
            <w:pPr>
              <w:spacing w:line="240" w:lineRule="auto"/>
              <w:jc w:val="both"/>
              <w:rPr>
                <w:sz w:val="24"/>
                <w:szCs w:val="24"/>
              </w:rPr>
            </w:pPr>
            <w:r w:rsidRPr="00537EB1">
              <w:rPr>
                <w:b/>
                <w:sz w:val="24"/>
                <w:szCs w:val="24"/>
              </w:rPr>
              <w:t xml:space="preserve">7. </w:t>
            </w:r>
          </w:p>
        </w:tc>
        <w:tc>
          <w:tcPr>
            <w:tcW w:w="3171" w:type="dxa"/>
            <w:tcBorders>
              <w:top w:val="single" w:sz="4" w:space="0" w:color="000000"/>
              <w:left w:val="single" w:sz="4" w:space="0" w:color="000000"/>
              <w:bottom w:val="single" w:sz="4" w:space="0" w:color="000000"/>
              <w:right w:val="single" w:sz="4" w:space="0" w:color="000000"/>
            </w:tcBorders>
          </w:tcPr>
          <w:p w14:paraId="0D82AE7D" w14:textId="77777777" w:rsidR="00537EB1" w:rsidRPr="00537EB1" w:rsidRDefault="00537EB1" w:rsidP="003A4621">
            <w:pPr>
              <w:spacing w:line="240" w:lineRule="auto"/>
              <w:jc w:val="both"/>
              <w:rPr>
                <w:sz w:val="24"/>
                <w:szCs w:val="24"/>
              </w:rPr>
            </w:pPr>
            <w:r w:rsidRPr="00537EB1">
              <w:rPr>
                <w:b/>
                <w:sz w:val="24"/>
                <w:szCs w:val="24"/>
              </w:rPr>
              <w:t xml:space="preserve">GIBSON CHUMBA </w:t>
            </w:r>
          </w:p>
          <w:p w14:paraId="696CA03D" w14:textId="77777777" w:rsidR="00537EB1" w:rsidRPr="00537EB1" w:rsidRDefault="00537EB1" w:rsidP="003A4621">
            <w:pPr>
              <w:spacing w:line="240" w:lineRule="auto"/>
              <w:jc w:val="both"/>
              <w:rPr>
                <w:sz w:val="24"/>
                <w:szCs w:val="24"/>
              </w:rPr>
            </w:pPr>
            <w:r w:rsidRPr="00537EB1">
              <w:rPr>
                <w:b/>
                <w:sz w:val="24"/>
                <w:szCs w:val="24"/>
              </w:rPr>
              <w:t xml:space="preserve">(MEMBER) </w:t>
            </w:r>
          </w:p>
        </w:tc>
        <w:tc>
          <w:tcPr>
            <w:tcW w:w="1904" w:type="dxa"/>
            <w:tcBorders>
              <w:top w:val="single" w:sz="4" w:space="0" w:color="000000"/>
              <w:left w:val="single" w:sz="4" w:space="0" w:color="000000"/>
              <w:bottom w:val="single" w:sz="4" w:space="0" w:color="000000"/>
              <w:right w:val="single" w:sz="4" w:space="0" w:color="000000"/>
            </w:tcBorders>
          </w:tcPr>
          <w:p w14:paraId="074C3229" w14:textId="77777777" w:rsidR="00537EB1" w:rsidRPr="00537EB1" w:rsidRDefault="00537EB1" w:rsidP="003A4621">
            <w:pPr>
              <w:spacing w:line="240" w:lineRule="auto"/>
              <w:jc w:val="both"/>
              <w:rPr>
                <w:sz w:val="24"/>
                <w:szCs w:val="24"/>
              </w:rPr>
            </w:pPr>
            <w:r w:rsidRPr="00537EB1">
              <w:rPr>
                <w:b/>
                <w:sz w:val="24"/>
                <w:szCs w:val="24"/>
              </w:rPr>
              <w:t xml:space="preserve">G.C </w:t>
            </w:r>
          </w:p>
        </w:tc>
        <w:tc>
          <w:tcPr>
            <w:tcW w:w="1884" w:type="dxa"/>
            <w:tcBorders>
              <w:top w:val="single" w:sz="4" w:space="0" w:color="000000"/>
              <w:left w:val="single" w:sz="4" w:space="0" w:color="000000"/>
              <w:bottom w:val="single" w:sz="4" w:space="0" w:color="000000"/>
              <w:right w:val="single" w:sz="4" w:space="0" w:color="000000"/>
            </w:tcBorders>
          </w:tcPr>
          <w:p w14:paraId="112CF4E3" w14:textId="77777777" w:rsidR="00537EB1" w:rsidRPr="00537EB1" w:rsidRDefault="00537EB1" w:rsidP="003A4621">
            <w:pPr>
              <w:spacing w:line="240" w:lineRule="auto"/>
              <w:jc w:val="both"/>
              <w:rPr>
                <w:sz w:val="24"/>
                <w:szCs w:val="24"/>
              </w:rPr>
            </w:pPr>
            <w:r w:rsidRPr="00537EB1">
              <w:rPr>
                <w:b/>
                <w:sz w:val="24"/>
                <w:szCs w:val="24"/>
              </w:rPr>
              <w:t xml:space="preserve">20220375 </w:t>
            </w:r>
          </w:p>
        </w:tc>
        <w:tc>
          <w:tcPr>
            <w:tcW w:w="1912" w:type="dxa"/>
            <w:tcBorders>
              <w:top w:val="single" w:sz="4" w:space="0" w:color="000000"/>
              <w:left w:val="single" w:sz="4" w:space="0" w:color="000000"/>
              <w:bottom w:val="single" w:sz="4" w:space="0" w:color="000000"/>
              <w:right w:val="single" w:sz="4" w:space="0" w:color="000000"/>
            </w:tcBorders>
          </w:tcPr>
          <w:p w14:paraId="04BB5F77" w14:textId="77777777" w:rsidR="00537EB1" w:rsidRPr="00537EB1" w:rsidRDefault="00537EB1" w:rsidP="003A4621">
            <w:pPr>
              <w:spacing w:line="240" w:lineRule="auto"/>
              <w:jc w:val="both"/>
              <w:rPr>
                <w:sz w:val="24"/>
                <w:szCs w:val="24"/>
              </w:rPr>
            </w:pPr>
            <w:r w:rsidRPr="00537EB1">
              <w:rPr>
                <w:b/>
                <w:sz w:val="24"/>
                <w:szCs w:val="24"/>
              </w:rPr>
              <w:t xml:space="preserve"> </w:t>
            </w:r>
            <w:r w:rsidRPr="00537EB1">
              <w:rPr>
                <w:noProof/>
                <w:sz w:val="24"/>
                <w:szCs w:val="24"/>
              </w:rPr>
              <w:drawing>
                <wp:inline distT="0" distB="0" distL="0" distR="0" wp14:anchorId="1ED5B68C" wp14:editId="07C8DC99">
                  <wp:extent cx="690551" cy="419856"/>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14"/>
                          <a:stretch>
                            <a:fillRect/>
                          </a:stretch>
                        </pic:blipFill>
                        <pic:spPr>
                          <a:xfrm>
                            <a:off x="0" y="0"/>
                            <a:ext cx="690551" cy="419856"/>
                          </a:xfrm>
                          <a:prstGeom prst="rect">
                            <a:avLst/>
                          </a:prstGeom>
                        </pic:spPr>
                      </pic:pic>
                    </a:graphicData>
                  </a:graphic>
                </wp:inline>
              </w:drawing>
            </w:r>
          </w:p>
        </w:tc>
      </w:tr>
      <w:tr w:rsidR="00537EB1" w:rsidRPr="00537EB1" w14:paraId="26374710" w14:textId="77777777" w:rsidTr="000B755F">
        <w:trPr>
          <w:trHeight w:val="838"/>
        </w:trPr>
        <w:tc>
          <w:tcPr>
            <w:tcW w:w="704" w:type="dxa"/>
            <w:tcBorders>
              <w:top w:val="single" w:sz="4" w:space="0" w:color="000000"/>
              <w:left w:val="single" w:sz="4" w:space="0" w:color="000000"/>
              <w:bottom w:val="single" w:sz="4" w:space="0" w:color="000000"/>
              <w:right w:val="single" w:sz="4" w:space="0" w:color="000000"/>
            </w:tcBorders>
          </w:tcPr>
          <w:p w14:paraId="6C8D1AF5" w14:textId="77777777" w:rsidR="00537EB1" w:rsidRPr="00537EB1" w:rsidRDefault="00537EB1" w:rsidP="003A4621">
            <w:pPr>
              <w:spacing w:line="240" w:lineRule="auto"/>
              <w:jc w:val="both"/>
              <w:rPr>
                <w:sz w:val="24"/>
                <w:szCs w:val="24"/>
              </w:rPr>
            </w:pPr>
            <w:r w:rsidRPr="00537EB1">
              <w:rPr>
                <w:b/>
                <w:sz w:val="24"/>
                <w:szCs w:val="24"/>
              </w:rPr>
              <w:t xml:space="preserve">8. </w:t>
            </w:r>
          </w:p>
        </w:tc>
        <w:tc>
          <w:tcPr>
            <w:tcW w:w="3171" w:type="dxa"/>
            <w:tcBorders>
              <w:top w:val="single" w:sz="4" w:space="0" w:color="000000"/>
              <w:left w:val="single" w:sz="4" w:space="0" w:color="000000"/>
              <w:bottom w:val="single" w:sz="4" w:space="0" w:color="000000"/>
              <w:right w:val="single" w:sz="4" w:space="0" w:color="000000"/>
            </w:tcBorders>
          </w:tcPr>
          <w:p w14:paraId="7C5008D5" w14:textId="77777777" w:rsidR="00537EB1" w:rsidRPr="00537EB1" w:rsidRDefault="00537EB1" w:rsidP="003A4621">
            <w:pPr>
              <w:spacing w:line="240" w:lineRule="auto"/>
              <w:jc w:val="both"/>
              <w:rPr>
                <w:sz w:val="24"/>
                <w:szCs w:val="24"/>
              </w:rPr>
            </w:pPr>
            <w:r w:rsidRPr="00537EB1">
              <w:rPr>
                <w:b/>
                <w:sz w:val="24"/>
                <w:szCs w:val="24"/>
              </w:rPr>
              <w:t xml:space="preserve">MOHAMED KISINYO </w:t>
            </w:r>
          </w:p>
          <w:p w14:paraId="256FDFDF" w14:textId="77777777" w:rsidR="00537EB1" w:rsidRPr="00537EB1" w:rsidRDefault="00537EB1" w:rsidP="003A4621">
            <w:pPr>
              <w:spacing w:line="240" w:lineRule="auto"/>
              <w:jc w:val="both"/>
              <w:rPr>
                <w:sz w:val="24"/>
                <w:szCs w:val="24"/>
              </w:rPr>
            </w:pPr>
            <w:r w:rsidRPr="00537EB1">
              <w:rPr>
                <w:b/>
                <w:sz w:val="24"/>
                <w:szCs w:val="24"/>
              </w:rPr>
              <w:t xml:space="preserve">(MEMBER) </w:t>
            </w:r>
          </w:p>
        </w:tc>
        <w:tc>
          <w:tcPr>
            <w:tcW w:w="1904" w:type="dxa"/>
            <w:tcBorders>
              <w:top w:val="single" w:sz="4" w:space="0" w:color="000000"/>
              <w:left w:val="single" w:sz="4" w:space="0" w:color="000000"/>
              <w:bottom w:val="single" w:sz="4" w:space="0" w:color="000000"/>
              <w:right w:val="single" w:sz="4" w:space="0" w:color="000000"/>
            </w:tcBorders>
          </w:tcPr>
          <w:p w14:paraId="4FEC37AA" w14:textId="77777777" w:rsidR="00537EB1" w:rsidRPr="00537EB1" w:rsidRDefault="00537EB1" w:rsidP="003A4621">
            <w:pPr>
              <w:spacing w:line="240" w:lineRule="auto"/>
              <w:jc w:val="both"/>
              <w:rPr>
                <w:sz w:val="24"/>
                <w:szCs w:val="24"/>
              </w:rPr>
            </w:pPr>
            <w:r w:rsidRPr="00537EB1">
              <w:rPr>
                <w:b/>
                <w:sz w:val="24"/>
                <w:szCs w:val="24"/>
              </w:rPr>
              <w:t xml:space="preserve">M.K </w:t>
            </w:r>
          </w:p>
        </w:tc>
        <w:tc>
          <w:tcPr>
            <w:tcW w:w="1884" w:type="dxa"/>
            <w:tcBorders>
              <w:top w:val="single" w:sz="4" w:space="0" w:color="000000"/>
              <w:left w:val="single" w:sz="4" w:space="0" w:color="000000"/>
              <w:bottom w:val="single" w:sz="4" w:space="0" w:color="000000"/>
              <w:right w:val="single" w:sz="4" w:space="0" w:color="000000"/>
            </w:tcBorders>
          </w:tcPr>
          <w:p w14:paraId="342063CD" w14:textId="77777777" w:rsidR="00537EB1" w:rsidRPr="00537EB1" w:rsidRDefault="00537EB1" w:rsidP="003A4621">
            <w:pPr>
              <w:spacing w:line="240" w:lineRule="auto"/>
              <w:jc w:val="both"/>
              <w:rPr>
                <w:sz w:val="24"/>
                <w:szCs w:val="24"/>
              </w:rPr>
            </w:pPr>
            <w:r w:rsidRPr="00537EB1">
              <w:rPr>
                <w:b/>
                <w:sz w:val="24"/>
                <w:szCs w:val="24"/>
              </w:rPr>
              <w:t xml:space="preserve">20221191 </w:t>
            </w:r>
          </w:p>
        </w:tc>
        <w:tc>
          <w:tcPr>
            <w:tcW w:w="1912" w:type="dxa"/>
            <w:tcBorders>
              <w:top w:val="single" w:sz="4" w:space="0" w:color="000000"/>
              <w:left w:val="single" w:sz="4" w:space="0" w:color="000000"/>
              <w:bottom w:val="single" w:sz="4" w:space="0" w:color="000000"/>
              <w:right w:val="single" w:sz="4" w:space="0" w:color="000000"/>
            </w:tcBorders>
          </w:tcPr>
          <w:p w14:paraId="59A190A7" w14:textId="77777777" w:rsidR="00537EB1" w:rsidRPr="00537EB1" w:rsidRDefault="00537EB1" w:rsidP="003A4621">
            <w:pPr>
              <w:spacing w:line="240" w:lineRule="auto"/>
              <w:jc w:val="both"/>
              <w:rPr>
                <w:sz w:val="24"/>
                <w:szCs w:val="24"/>
              </w:rPr>
            </w:pPr>
            <w:r w:rsidRPr="00537EB1">
              <w:rPr>
                <w:b/>
                <w:sz w:val="24"/>
                <w:szCs w:val="24"/>
              </w:rPr>
              <w:t xml:space="preserve"> </w:t>
            </w:r>
            <w:r w:rsidRPr="00537EB1">
              <w:rPr>
                <w:noProof/>
                <w:sz w:val="24"/>
                <w:szCs w:val="24"/>
              </w:rPr>
              <w:drawing>
                <wp:inline distT="0" distB="0" distL="0" distR="0" wp14:anchorId="3FC394DA" wp14:editId="4D323CAC">
                  <wp:extent cx="664675" cy="465937"/>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5"/>
                          <a:stretch>
                            <a:fillRect/>
                          </a:stretch>
                        </pic:blipFill>
                        <pic:spPr>
                          <a:xfrm>
                            <a:off x="0" y="0"/>
                            <a:ext cx="664675" cy="465937"/>
                          </a:xfrm>
                          <a:prstGeom prst="rect">
                            <a:avLst/>
                          </a:prstGeom>
                        </pic:spPr>
                      </pic:pic>
                    </a:graphicData>
                  </a:graphic>
                </wp:inline>
              </w:drawing>
            </w:r>
          </w:p>
        </w:tc>
      </w:tr>
    </w:tbl>
    <w:p w14:paraId="6970F55A" w14:textId="1DEE21F9" w:rsidR="00537EB1" w:rsidRDefault="00537EB1" w:rsidP="003A4621">
      <w:pPr>
        <w:spacing w:line="240" w:lineRule="auto"/>
        <w:jc w:val="both"/>
        <w:rPr>
          <w:sz w:val="24"/>
          <w:szCs w:val="24"/>
        </w:rPr>
      </w:pPr>
    </w:p>
    <w:p w14:paraId="585058B1" w14:textId="77777777" w:rsidR="00B16836" w:rsidRPr="00B16836" w:rsidRDefault="00B16836" w:rsidP="003A4621">
      <w:pPr>
        <w:spacing w:line="240" w:lineRule="auto"/>
        <w:jc w:val="both"/>
        <w:rPr>
          <w:b/>
          <w:bCs/>
          <w:sz w:val="32"/>
          <w:szCs w:val="32"/>
        </w:rPr>
      </w:pPr>
      <w:r w:rsidRPr="00B16836">
        <w:rPr>
          <w:b/>
          <w:bCs/>
          <w:sz w:val="32"/>
          <w:szCs w:val="32"/>
        </w:rPr>
        <w:t>FIRM WORK QUESTIONS/ASSIGNMENTS</w:t>
      </w:r>
    </w:p>
    <w:p w14:paraId="1D6765A1" w14:textId="77777777" w:rsidR="00B16836" w:rsidRPr="00B16836" w:rsidRDefault="00B16836" w:rsidP="003A4621">
      <w:pPr>
        <w:spacing w:line="240" w:lineRule="auto"/>
        <w:jc w:val="both"/>
        <w:rPr>
          <w:b/>
          <w:bCs/>
          <w:sz w:val="32"/>
          <w:szCs w:val="32"/>
        </w:rPr>
      </w:pPr>
      <w:r w:rsidRPr="00B16836">
        <w:rPr>
          <w:b/>
          <w:bCs/>
          <w:sz w:val="32"/>
          <w:szCs w:val="32"/>
        </w:rPr>
        <w:t>FIRM 1: 1. Prepare notes on the History of Trial Advocacy</w:t>
      </w:r>
    </w:p>
    <w:p w14:paraId="22B29779" w14:textId="77777777" w:rsidR="00B16836" w:rsidRPr="00B16836" w:rsidRDefault="00B16836" w:rsidP="003A4621">
      <w:pPr>
        <w:spacing w:line="240" w:lineRule="auto"/>
        <w:jc w:val="both"/>
        <w:rPr>
          <w:b/>
          <w:bCs/>
          <w:sz w:val="32"/>
          <w:szCs w:val="32"/>
        </w:rPr>
      </w:pPr>
      <w:r w:rsidRPr="00B16836">
        <w:rPr>
          <w:b/>
          <w:bCs/>
          <w:sz w:val="32"/>
          <w:szCs w:val="32"/>
        </w:rPr>
        <w:t>Capture the law reform</w:t>
      </w:r>
    </w:p>
    <w:p w14:paraId="3869C976" w14:textId="77777777" w:rsidR="00B16836" w:rsidRPr="00B16836" w:rsidRDefault="00B16836" w:rsidP="003A4621">
      <w:pPr>
        <w:spacing w:line="240" w:lineRule="auto"/>
        <w:jc w:val="both"/>
        <w:rPr>
          <w:b/>
          <w:bCs/>
          <w:sz w:val="32"/>
          <w:szCs w:val="32"/>
        </w:rPr>
      </w:pPr>
      <w:r w:rsidRPr="00B16836">
        <w:rPr>
          <w:b/>
          <w:bCs/>
          <w:sz w:val="32"/>
          <w:szCs w:val="32"/>
        </w:rPr>
        <w:t>The UN Basic principles on the Role of Lawyers</w:t>
      </w:r>
    </w:p>
    <w:p w14:paraId="539A019B" w14:textId="68E6012E" w:rsidR="00B16836" w:rsidRDefault="00B16836" w:rsidP="003A4621">
      <w:pPr>
        <w:spacing w:line="240" w:lineRule="auto"/>
        <w:jc w:val="both"/>
        <w:rPr>
          <w:b/>
          <w:bCs/>
          <w:sz w:val="32"/>
          <w:szCs w:val="32"/>
        </w:rPr>
      </w:pPr>
      <w:r w:rsidRPr="00B16836">
        <w:rPr>
          <w:b/>
          <w:bCs/>
          <w:sz w:val="32"/>
          <w:szCs w:val="32"/>
        </w:rPr>
        <w:t>Define; Solicitor, Barrister, Learned Friend</w:t>
      </w:r>
      <w:r>
        <w:rPr>
          <w:b/>
          <w:bCs/>
          <w:sz w:val="32"/>
          <w:szCs w:val="32"/>
        </w:rPr>
        <w:t>.</w:t>
      </w:r>
    </w:p>
    <w:p w14:paraId="5FEA04E2" w14:textId="77777777" w:rsidR="003A4621" w:rsidRDefault="003A4621" w:rsidP="003A4621">
      <w:pPr>
        <w:spacing w:line="240" w:lineRule="auto"/>
        <w:jc w:val="both"/>
        <w:rPr>
          <w:b/>
          <w:bCs/>
          <w:color w:val="00B0F0"/>
          <w:sz w:val="32"/>
          <w:szCs w:val="32"/>
        </w:rPr>
      </w:pPr>
    </w:p>
    <w:p w14:paraId="7F0F3427" w14:textId="77777777" w:rsidR="003A4621" w:rsidRDefault="003A4621" w:rsidP="003A4621">
      <w:pPr>
        <w:spacing w:line="240" w:lineRule="auto"/>
        <w:jc w:val="both"/>
        <w:rPr>
          <w:b/>
          <w:bCs/>
          <w:color w:val="00B0F0"/>
          <w:sz w:val="32"/>
          <w:szCs w:val="32"/>
        </w:rPr>
      </w:pPr>
    </w:p>
    <w:p w14:paraId="5AC82810" w14:textId="2FCA4D96" w:rsidR="00B16836" w:rsidRPr="00B16836" w:rsidRDefault="00B16836" w:rsidP="003A4621">
      <w:pPr>
        <w:spacing w:line="240" w:lineRule="auto"/>
        <w:jc w:val="both"/>
        <w:rPr>
          <w:b/>
          <w:bCs/>
          <w:color w:val="00B0F0"/>
          <w:sz w:val="32"/>
          <w:szCs w:val="32"/>
        </w:rPr>
      </w:pPr>
      <w:r w:rsidRPr="00B16836">
        <w:rPr>
          <w:b/>
          <w:bCs/>
          <w:color w:val="00B0F0"/>
          <w:sz w:val="32"/>
          <w:szCs w:val="32"/>
        </w:rPr>
        <w:t>Question 1.</w:t>
      </w:r>
    </w:p>
    <w:p w14:paraId="5B06E733" w14:textId="3DDD4649" w:rsidR="00B16836" w:rsidRPr="00B16836" w:rsidRDefault="00B16836" w:rsidP="003A4621">
      <w:pPr>
        <w:spacing w:line="240" w:lineRule="auto"/>
        <w:jc w:val="both"/>
        <w:rPr>
          <w:b/>
          <w:bCs/>
          <w:sz w:val="32"/>
          <w:szCs w:val="32"/>
        </w:rPr>
      </w:pPr>
      <w:r w:rsidRPr="00B16836">
        <w:rPr>
          <w:b/>
          <w:bCs/>
          <w:sz w:val="32"/>
          <w:szCs w:val="32"/>
        </w:rPr>
        <w:t>Prepare notes on the History of Trial Advocacy</w:t>
      </w:r>
      <w:r>
        <w:rPr>
          <w:b/>
          <w:bCs/>
          <w:sz w:val="32"/>
          <w:szCs w:val="32"/>
        </w:rPr>
        <w:t>.</w:t>
      </w:r>
    </w:p>
    <w:p w14:paraId="32E084A4" w14:textId="77777777" w:rsidR="00B16836" w:rsidRPr="00B16836" w:rsidRDefault="00B16836" w:rsidP="003A4621">
      <w:pPr>
        <w:spacing w:line="240" w:lineRule="auto"/>
        <w:jc w:val="both"/>
        <w:rPr>
          <w:sz w:val="28"/>
          <w:szCs w:val="28"/>
        </w:rPr>
      </w:pPr>
      <w:r w:rsidRPr="00B16836">
        <w:rPr>
          <w:sz w:val="28"/>
          <w:szCs w:val="28"/>
        </w:rPr>
        <w:t>Trial refers to the examination before a competent tribunal, according to the law of the land, of the facts or law put in issue in a cause, for the purpose of determining such issue. Advocacy is the act or process of supporting a cause or a proposal.</w:t>
      </w:r>
      <w:r w:rsidRPr="00B16836">
        <w:rPr>
          <w:sz w:val="28"/>
          <w:szCs w:val="28"/>
          <w:vertAlign w:val="superscript"/>
        </w:rPr>
        <w:footnoteReference w:id="1"/>
      </w:r>
      <w:r w:rsidRPr="00B16836">
        <w:rPr>
          <w:sz w:val="28"/>
          <w:szCs w:val="28"/>
        </w:rPr>
        <w:t xml:space="preserve"> This is where one person is allowed to speak on behalf of another and present its case to conclusion, providing evidence. Trial advocacy is the formal examination of evidence by a judge in order to decide guilt or innocence in case of civil or criminal proceeding. It is the art of persuasion in courtroom by advocates leading the judge to rule in favor of their cause. The skills of trial advocacy can be broken into two categories; tactical skills and those of strategy. It has developed over the years through apprenticeship and practice of attorneys and later moved to law schools which offered young litigants’ knowledge but failed to impart proper practice skills.</w:t>
      </w:r>
    </w:p>
    <w:p w14:paraId="6A4D5DBE" w14:textId="5EC14221" w:rsidR="00B16836" w:rsidRPr="00B16836" w:rsidRDefault="004538D7" w:rsidP="003A4621">
      <w:pPr>
        <w:spacing w:line="240" w:lineRule="auto"/>
        <w:jc w:val="both"/>
        <w:rPr>
          <w:b/>
          <w:bCs/>
          <w:color w:val="5B9BD5" w:themeColor="accent5"/>
          <w:sz w:val="28"/>
          <w:szCs w:val="28"/>
        </w:rPr>
      </w:pPr>
      <w:r w:rsidRPr="003A4621">
        <w:rPr>
          <w:b/>
          <w:bCs/>
          <w:color w:val="5B9BD5" w:themeColor="accent5"/>
          <w:sz w:val="28"/>
          <w:szCs w:val="28"/>
        </w:rPr>
        <w:t xml:space="preserve">In Ancient </w:t>
      </w:r>
      <w:r w:rsidR="00B16836" w:rsidRPr="00B16836">
        <w:rPr>
          <w:b/>
          <w:bCs/>
          <w:color w:val="5B9BD5" w:themeColor="accent5"/>
          <w:sz w:val="28"/>
          <w:szCs w:val="28"/>
        </w:rPr>
        <w:t>Greece.</w:t>
      </w:r>
    </w:p>
    <w:p w14:paraId="35123DE2" w14:textId="77777777" w:rsidR="00B16836" w:rsidRPr="00B16836" w:rsidRDefault="00B16836" w:rsidP="003A4621">
      <w:pPr>
        <w:spacing w:line="240" w:lineRule="auto"/>
        <w:jc w:val="both"/>
        <w:rPr>
          <w:sz w:val="28"/>
          <w:szCs w:val="28"/>
        </w:rPr>
      </w:pPr>
      <w:r w:rsidRPr="00B16836">
        <w:rPr>
          <w:sz w:val="28"/>
          <w:szCs w:val="28"/>
        </w:rPr>
        <w:t>Advocacy is one of the most ancient and honorable of all callings. From time immemorial the principle that a person has the right to select another to plead his case has been recognized. Many of the great orators of Greece and Rome, though in a manner differing from that of modern times, per- formed the functions of advocates, and many of their most famous orations were composed for that purpose. The influence of the advocate in the administration of justice was scarcely less potent in ancient times than it is at present.</w:t>
      </w:r>
      <w:r w:rsidRPr="00B16836">
        <w:rPr>
          <w:sz w:val="28"/>
          <w:szCs w:val="28"/>
          <w:vertAlign w:val="superscript"/>
        </w:rPr>
        <w:footnoteReference w:id="2"/>
      </w:r>
      <w:r w:rsidRPr="00B16836">
        <w:rPr>
          <w:sz w:val="28"/>
          <w:szCs w:val="28"/>
        </w:rPr>
        <w:t xml:space="preserve"> Among the ancient Greeks, it was not customary for the advocate actually to plead the cause of his client in court. The usual custom was for the client to lay his case before one of the great orators or writers of the day who would then prepare an oration which the client read or delivered at the trial. Referring to this ancient practice. Judge Sherwood says:</w:t>
      </w:r>
    </w:p>
    <w:p w14:paraId="17DCC43F" w14:textId="77777777" w:rsidR="00B16836" w:rsidRPr="00B16836" w:rsidRDefault="00B16836" w:rsidP="003A4621">
      <w:pPr>
        <w:spacing w:line="240" w:lineRule="auto"/>
        <w:jc w:val="both"/>
        <w:rPr>
          <w:b/>
          <w:bCs/>
          <w:i/>
          <w:iCs/>
          <w:sz w:val="28"/>
          <w:szCs w:val="28"/>
        </w:rPr>
      </w:pPr>
      <w:r w:rsidRPr="00B16836">
        <w:rPr>
          <w:sz w:val="28"/>
          <w:szCs w:val="28"/>
        </w:rPr>
        <w:t xml:space="preserve">                     … </w:t>
      </w:r>
      <w:r w:rsidRPr="00B16836">
        <w:rPr>
          <w:b/>
          <w:bCs/>
          <w:i/>
          <w:iCs/>
          <w:sz w:val="28"/>
          <w:szCs w:val="28"/>
        </w:rPr>
        <w:t xml:space="preserve">"In all countries advanced in civilization, and where laws and manners have attained any degree of refinement, there has arisen an order of advocates devoted to prosecuting or de- fending the lawsuits of others. Before the tribunals of Athens, although the party pleaded his own cause, it was usual to have the oration prepared by one of an order of men devoted to this business, </w:t>
      </w:r>
      <w:r w:rsidRPr="00B16836">
        <w:rPr>
          <w:b/>
          <w:bCs/>
          <w:i/>
          <w:iCs/>
          <w:sz w:val="28"/>
          <w:szCs w:val="28"/>
        </w:rPr>
        <w:lastRenderedPageBreak/>
        <w:t>and to compensate him lib- erally for his skill and learning. Many of the orations of Isocrates, which have been handed down to us, are but pri- vate pleadings of this character. He is said to have re- ceived one fee of twenty talents, about eighteen thousand dollars of our money, for a speech that he wrote for Ni- cocles, King of Cyprus. Still, from all that appears, the compensation thus received was honorary or gratuitous merely…."</w:t>
      </w:r>
      <w:r w:rsidRPr="00B16836">
        <w:rPr>
          <w:b/>
          <w:bCs/>
          <w:i/>
          <w:iCs/>
          <w:sz w:val="28"/>
          <w:szCs w:val="28"/>
          <w:vertAlign w:val="superscript"/>
        </w:rPr>
        <w:footnoteReference w:id="3"/>
      </w:r>
    </w:p>
    <w:p w14:paraId="0B6160C2" w14:textId="77777777" w:rsidR="00B16836" w:rsidRPr="00B16836" w:rsidRDefault="00B16836" w:rsidP="003A4621">
      <w:pPr>
        <w:spacing w:line="240" w:lineRule="auto"/>
        <w:jc w:val="both"/>
        <w:rPr>
          <w:sz w:val="28"/>
          <w:szCs w:val="28"/>
        </w:rPr>
      </w:pPr>
      <w:r w:rsidRPr="00B16836">
        <w:rPr>
          <w:sz w:val="28"/>
          <w:szCs w:val="28"/>
        </w:rPr>
        <w:t xml:space="preserve"> in ancient Greece (Athens)only the injured party was permitted to institute legal proceedings. The plaintiff could do so either personally before a judicial magistrate by acting as his own lawyer; or before the Court of the Areopagus through the agency of a member of that Court. The latter, however, was not so much the confidant and counsellor of the plaintiff as his "mouth-piece"; he merely gave voice to what the litigant wished to say, but was perhaps unable to say himself.</w:t>
      </w:r>
      <w:r w:rsidRPr="00B16836">
        <w:rPr>
          <w:sz w:val="28"/>
          <w:szCs w:val="28"/>
          <w:vertAlign w:val="superscript"/>
        </w:rPr>
        <w:footnoteReference w:id="4"/>
      </w:r>
    </w:p>
    <w:p w14:paraId="31C9AAF9" w14:textId="198A7B7A" w:rsidR="00B16836" w:rsidRDefault="00B16836" w:rsidP="003A4621">
      <w:pPr>
        <w:spacing w:line="240" w:lineRule="auto"/>
        <w:jc w:val="both"/>
        <w:rPr>
          <w:sz w:val="28"/>
          <w:szCs w:val="28"/>
        </w:rPr>
      </w:pPr>
      <w:r w:rsidRPr="00B16836">
        <w:rPr>
          <w:sz w:val="28"/>
          <w:szCs w:val="28"/>
        </w:rPr>
        <w:t>In the beginning, then, litigants in a private law suit and defendants in a criminal prosecution were expected to handle in person their own case before the court, a practice of which Aristotle fully approves. It is not strange that a primitive society should expect every man to fight his own battles, using his tongue or his hands as the occasion required. In Athens in particular the idea was firmly rooted that every citizen ought to take care of himself, and it seems to have been the policy of the early City, later so eloquently advocated by Plato, to do nothing for its citizens which they could do for themselves. In keeping with this attitude, they not permitted to employ advocates or agents unless they were totally incapable of attending to their own business. Legal fees were also not allowed.</w:t>
      </w:r>
      <w:r w:rsidRPr="00B16836">
        <w:rPr>
          <w:sz w:val="28"/>
          <w:szCs w:val="28"/>
          <w:vertAlign w:val="superscript"/>
        </w:rPr>
        <w:footnoteReference w:id="5"/>
      </w:r>
    </w:p>
    <w:p w14:paraId="52517D8B" w14:textId="77777777" w:rsidR="005E1757" w:rsidRPr="005E1757" w:rsidRDefault="005E1757" w:rsidP="005E1757">
      <w:pPr>
        <w:spacing w:line="240" w:lineRule="auto"/>
        <w:jc w:val="both"/>
        <w:rPr>
          <w:b/>
          <w:color w:val="5B9BD5" w:themeColor="accent5"/>
          <w:sz w:val="28"/>
          <w:szCs w:val="28"/>
        </w:rPr>
      </w:pPr>
      <w:r w:rsidRPr="005E1757">
        <w:rPr>
          <w:b/>
          <w:color w:val="5B9BD5" w:themeColor="accent5"/>
          <w:sz w:val="28"/>
          <w:szCs w:val="28"/>
        </w:rPr>
        <w:t>ROME</w:t>
      </w:r>
    </w:p>
    <w:p w14:paraId="1B4A1936" w14:textId="77777777" w:rsidR="005E1757" w:rsidRPr="005E1757" w:rsidRDefault="005E1757" w:rsidP="005E1757">
      <w:pPr>
        <w:spacing w:line="240" w:lineRule="auto"/>
        <w:jc w:val="both"/>
        <w:rPr>
          <w:sz w:val="28"/>
          <w:szCs w:val="28"/>
        </w:rPr>
      </w:pPr>
      <w:r w:rsidRPr="005E1757">
        <w:rPr>
          <w:sz w:val="28"/>
          <w:szCs w:val="28"/>
        </w:rPr>
        <w:t>Advocacy is a very old and honorable profession. The right to appoint someone to argue for cause has been recognized on several occasions. Many of the best orators in ancient Rome fulfilled roles similar to those of advocates, but in ways that differed from current times. The majority of their orations were written for the aim of representation. Usually among the ancient Rome the custom was a client should lay his case before one of the great writers or orators of the day who would prepare an oration which the client will read or deliver at the trial. It was not customary for the advocate to actually plead the cause of his client in court.</w:t>
      </w:r>
    </w:p>
    <w:p w14:paraId="04B5ECAF" w14:textId="77777777" w:rsidR="005E1757" w:rsidRPr="005E1757" w:rsidRDefault="005E1757" w:rsidP="005E1757">
      <w:pPr>
        <w:spacing w:line="240" w:lineRule="auto"/>
        <w:jc w:val="both"/>
        <w:rPr>
          <w:sz w:val="28"/>
          <w:szCs w:val="28"/>
        </w:rPr>
      </w:pPr>
      <w:r w:rsidRPr="005E1757">
        <w:rPr>
          <w:sz w:val="28"/>
          <w:szCs w:val="28"/>
        </w:rPr>
        <w:t>In reference to the ancient practice, Judge Sherwood had this to say;</w:t>
      </w:r>
    </w:p>
    <w:p w14:paraId="5245B4AA" w14:textId="6212462E" w:rsidR="005E1757" w:rsidRPr="005E1757" w:rsidRDefault="005E1757" w:rsidP="005E1757">
      <w:pPr>
        <w:spacing w:line="240" w:lineRule="auto"/>
        <w:jc w:val="both"/>
        <w:rPr>
          <w:sz w:val="28"/>
          <w:szCs w:val="28"/>
        </w:rPr>
      </w:pPr>
      <w:r w:rsidRPr="005E1757">
        <w:rPr>
          <w:sz w:val="28"/>
          <w:szCs w:val="28"/>
        </w:rPr>
        <w:lastRenderedPageBreak/>
        <w:t xml:space="preserve">In all countries advanced in </w:t>
      </w:r>
      <w:r w:rsidRPr="005E1757">
        <w:rPr>
          <w:sz w:val="28"/>
          <w:szCs w:val="28"/>
        </w:rPr>
        <w:t>civilization</w:t>
      </w:r>
      <w:r w:rsidRPr="005E1757">
        <w:rPr>
          <w:sz w:val="28"/>
          <w:szCs w:val="28"/>
        </w:rPr>
        <w:t xml:space="preserve"> and where laws and manners have attained any degree of refinement, there has arisen an order of advocates devoted to prosecuting or defending the law suit of others. Before the tribunal of Athens, although the party pleaded its own cause, it was usual to have the oration prepared by one of an order of men devoted to this business and to compensate him liberally for his skill and learning. Many of the orations of Isocrates which have been handed down to us are but private pleadings of this character. He is said to have received one fee of twenty talents about eighteen thousand dollars of our money for a speech that is wrote for Nicocles, King of Cyprus. Still, from all that appears the compensation thus received was honorary or gratuitous merely.</w:t>
      </w:r>
      <w:r w:rsidRPr="005E1757">
        <w:rPr>
          <w:sz w:val="28"/>
          <w:szCs w:val="28"/>
          <w:vertAlign w:val="superscript"/>
        </w:rPr>
        <w:footnoteReference w:id="6"/>
      </w:r>
    </w:p>
    <w:p w14:paraId="5730B559" w14:textId="2A5616BD" w:rsidR="005E1757" w:rsidRPr="005E1757" w:rsidRDefault="005E1757" w:rsidP="005E1757">
      <w:pPr>
        <w:spacing w:line="240" w:lineRule="auto"/>
        <w:jc w:val="both"/>
        <w:rPr>
          <w:sz w:val="28"/>
          <w:szCs w:val="28"/>
        </w:rPr>
      </w:pPr>
      <w:r w:rsidRPr="005E1757">
        <w:rPr>
          <w:sz w:val="28"/>
          <w:szCs w:val="28"/>
        </w:rPr>
        <w:t xml:space="preserve">The ancient Romans were more aware of advocacy than the Greeks. The Roman Patrician of the period provided support and protection to his dependents as well as anyone who sought his services and guidance. As a result, the Patrician appeared in court regularly to defend his clients' cause of action. As a result, the Romans developed a hierarchical type of advocacy, with the patrons causaram or patron as the highest kind of Roman advocate (barrister). The patron provided his services without charge, yet it was not unethical for him to take an honorarium of appreciation from the client. In his book </w:t>
      </w:r>
      <w:r w:rsidRPr="005E1757">
        <w:rPr>
          <w:b/>
          <w:bCs/>
          <w:sz w:val="28"/>
          <w:szCs w:val="28"/>
        </w:rPr>
        <w:t>'American Advocacy,'</w:t>
      </w:r>
      <w:r w:rsidRPr="005E1757">
        <w:rPr>
          <w:sz w:val="28"/>
          <w:szCs w:val="28"/>
        </w:rPr>
        <w:t xml:space="preserve"> Mr. Alexander </w:t>
      </w:r>
      <w:r w:rsidRPr="005E1757">
        <w:rPr>
          <w:sz w:val="28"/>
          <w:szCs w:val="28"/>
        </w:rPr>
        <w:t>H. Robbins</w:t>
      </w:r>
      <w:r w:rsidRPr="005E1757">
        <w:rPr>
          <w:sz w:val="28"/>
          <w:szCs w:val="28"/>
        </w:rPr>
        <w:t xml:space="preserve"> observed the following remarkable anecdote;</w:t>
      </w:r>
    </w:p>
    <w:p w14:paraId="02A9FE23" w14:textId="77777777" w:rsidR="005E1757" w:rsidRPr="005E1757" w:rsidRDefault="005E1757" w:rsidP="005E1757">
      <w:pPr>
        <w:spacing w:line="240" w:lineRule="auto"/>
        <w:jc w:val="both"/>
        <w:rPr>
          <w:b/>
          <w:bCs/>
          <w:i/>
          <w:iCs/>
          <w:sz w:val="28"/>
          <w:szCs w:val="28"/>
        </w:rPr>
      </w:pPr>
      <w:r w:rsidRPr="005E1757">
        <w:rPr>
          <w:b/>
          <w:bCs/>
          <w:i/>
          <w:iCs/>
          <w:sz w:val="28"/>
          <w:szCs w:val="28"/>
        </w:rPr>
        <w:t>“The patron was held in very high esteem, but the professional advocate was considered at that time as an insubordination. Statutes were passed prominent among which was the Cincian Law, which prohibited the advocate to charge or receive any fee for his services.”</w:t>
      </w:r>
      <w:r w:rsidRPr="005E1757">
        <w:rPr>
          <w:b/>
          <w:bCs/>
          <w:i/>
          <w:iCs/>
          <w:sz w:val="28"/>
          <w:szCs w:val="28"/>
          <w:vertAlign w:val="superscript"/>
        </w:rPr>
        <w:footnoteReference w:id="7"/>
      </w:r>
      <w:r w:rsidRPr="005E1757">
        <w:rPr>
          <w:b/>
          <w:bCs/>
          <w:i/>
          <w:iCs/>
          <w:sz w:val="28"/>
          <w:szCs w:val="28"/>
        </w:rPr>
        <w:t xml:space="preserve"> </w:t>
      </w:r>
    </w:p>
    <w:p w14:paraId="4E874048" w14:textId="77777777" w:rsidR="005E1757" w:rsidRPr="005E1757" w:rsidRDefault="005E1757" w:rsidP="005E1757">
      <w:pPr>
        <w:spacing w:line="240" w:lineRule="auto"/>
        <w:jc w:val="both"/>
        <w:rPr>
          <w:sz w:val="28"/>
          <w:szCs w:val="28"/>
        </w:rPr>
      </w:pPr>
      <w:r w:rsidRPr="005E1757">
        <w:rPr>
          <w:sz w:val="28"/>
          <w:szCs w:val="28"/>
        </w:rPr>
        <w:t xml:space="preserve">Later in the Roman period, the Cincian Laws were abandoned, and professional advocates obtained public recognition, and his qualifications, responsibilities, and method of compensation for his services were governed by Statute. Professional advocacy arose as a noble calling, progressively supplanting the traditional and unique client-patron relationship. The professional advocate's primary role was that of a confidential legal counselor, or jurisconsult. The jurisconsult was assumed to be well-versed in the law, and his main job was to provide counsel and knowledge. Eating competence in the Science of the law provided a monetary value to his opinion. This judgment was highly respected not only by his clients or private </w:t>
      </w:r>
      <w:r w:rsidRPr="005E1757">
        <w:rPr>
          <w:sz w:val="28"/>
          <w:szCs w:val="28"/>
        </w:rPr>
        <w:lastRenderedPageBreak/>
        <w:t>individuals, but also by the magistrates, attorneys, and others involved in the administration of justice.</w:t>
      </w:r>
      <w:r w:rsidRPr="005E1757">
        <w:rPr>
          <w:sz w:val="28"/>
          <w:szCs w:val="28"/>
          <w:vertAlign w:val="superscript"/>
        </w:rPr>
        <w:footnoteReference w:id="8"/>
      </w:r>
    </w:p>
    <w:p w14:paraId="101D69FD" w14:textId="1E18B6CA" w:rsidR="0008057D" w:rsidRPr="0008057D" w:rsidRDefault="0008057D" w:rsidP="003A4621">
      <w:pPr>
        <w:spacing w:line="240" w:lineRule="auto"/>
        <w:jc w:val="both"/>
        <w:rPr>
          <w:b/>
          <w:bCs/>
          <w:color w:val="00B0F0"/>
          <w:sz w:val="28"/>
          <w:szCs w:val="28"/>
        </w:rPr>
      </w:pPr>
      <w:r w:rsidRPr="0008057D">
        <w:rPr>
          <w:b/>
          <w:bCs/>
          <w:color w:val="00B0F0"/>
          <w:sz w:val="28"/>
          <w:szCs w:val="28"/>
        </w:rPr>
        <w:t>IN ENGLAND.</w:t>
      </w:r>
    </w:p>
    <w:p w14:paraId="3BEF633A" w14:textId="77777777" w:rsidR="0008057D" w:rsidRPr="0008057D" w:rsidRDefault="0008057D" w:rsidP="003A4621">
      <w:pPr>
        <w:spacing w:line="240" w:lineRule="auto"/>
        <w:jc w:val="both"/>
        <w:rPr>
          <w:sz w:val="28"/>
          <w:szCs w:val="28"/>
          <w:lang w:val="en-GB"/>
        </w:rPr>
      </w:pPr>
      <w:r w:rsidRPr="0008057D">
        <w:rPr>
          <w:sz w:val="28"/>
          <w:szCs w:val="28"/>
          <w:lang w:val="en-GB"/>
        </w:rPr>
        <w:t>This technique is influenced by the viewpoint of historian AH Chroust, who skilfully follows the lengthy history of trial advocacy in England. He splits it into two sections: after the 14th century and before. Chroust believes that trial advocacy is so dependent on existing legal and educational frameworks that he believes it is necessary to distinguish between eras when law was a codified profession and times when it was not.</w:t>
      </w:r>
      <w:r w:rsidRPr="0008057D">
        <w:rPr>
          <w:sz w:val="28"/>
          <w:szCs w:val="28"/>
          <w:vertAlign w:val="superscript"/>
          <w:lang w:val="en-GB"/>
        </w:rPr>
        <w:footnoteReference w:id="9"/>
      </w:r>
    </w:p>
    <w:p w14:paraId="69BE6B21" w14:textId="77777777" w:rsidR="0008057D" w:rsidRPr="0008057D" w:rsidRDefault="0008057D" w:rsidP="003A4621">
      <w:pPr>
        <w:spacing w:line="240" w:lineRule="auto"/>
        <w:jc w:val="both"/>
        <w:rPr>
          <w:sz w:val="28"/>
          <w:szCs w:val="28"/>
          <w:lang w:val="en-GB"/>
        </w:rPr>
      </w:pPr>
      <w:r w:rsidRPr="0008057D">
        <w:rPr>
          <w:sz w:val="28"/>
          <w:szCs w:val="28"/>
          <w:lang w:val="en-GB"/>
        </w:rPr>
        <w:t>Timberlake tends to agree, stating that not only are the exact facts of early periods unknown, but what we do know suggests a rudimentary process of justice facilitated by village assemblies known as 'moots' prior to the establishment of chire courts and barons’ courts later on.</w:t>
      </w:r>
      <w:r w:rsidRPr="0008057D">
        <w:rPr>
          <w:sz w:val="28"/>
          <w:szCs w:val="28"/>
          <w:vertAlign w:val="superscript"/>
          <w:lang w:val="en-GB"/>
        </w:rPr>
        <w:footnoteReference w:id="10"/>
      </w:r>
    </w:p>
    <w:p w14:paraId="088AD30F" w14:textId="77777777" w:rsidR="0008057D" w:rsidRPr="0008057D" w:rsidRDefault="0008057D" w:rsidP="003A4621">
      <w:pPr>
        <w:spacing w:line="240" w:lineRule="auto"/>
        <w:jc w:val="both"/>
        <w:rPr>
          <w:b/>
          <w:color w:val="00B0F0"/>
          <w:sz w:val="28"/>
          <w:szCs w:val="28"/>
          <w:u w:val="single"/>
          <w:lang w:val="en-GB"/>
        </w:rPr>
      </w:pPr>
      <w:r w:rsidRPr="0008057D">
        <w:rPr>
          <w:b/>
          <w:color w:val="00B0F0"/>
          <w:sz w:val="28"/>
          <w:szCs w:val="28"/>
          <w:u w:val="single"/>
          <w:lang w:val="en-GB"/>
        </w:rPr>
        <w:t>THE INFANCY OF TRIAL ADVOCACY IN ENGLAND</w:t>
      </w:r>
    </w:p>
    <w:p w14:paraId="50CF8F82" w14:textId="77777777" w:rsidR="0008057D" w:rsidRPr="0008057D" w:rsidRDefault="0008057D" w:rsidP="003A4621">
      <w:pPr>
        <w:spacing w:line="240" w:lineRule="auto"/>
        <w:jc w:val="both"/>
        <w:rPr>
          <w:sz w:val="28"/>
          <w:szCs w:val="28"/>
          <w:lang w:val="en-GB"/>
        </w:rPr>
      </w:pPr>
      <w:r w:rsidRPr="0008057D">
        <w:rPr>
          <w:sz w:val="28"/>
          <w:szCs w:val="28"/>
          <w:lang w:val="en-GB"/>
        </w:rPr>
        <w:t>The forespeka/forespeca first appeared in Anglo-Saxon times. He was viewed as a steward who would speak on the litigant's behalf. During the Norman period, this figure developed into an attornatus. When the Attornatus appeared in court, his words and actions were interpreted as those of his client. As a result, he only appeared when the litigant did not present. This is a small departure from current Kenyan practice, in which litigants are sometimes surrounded by a swarm of aggrieved people who argue on their behalf and in their presence.</w:t>
      </w:r>
    </w:p>
    <w:p w14:paraId="45C15CBF" w14:textId="77777777" w:rsidR="0008057D" w:rsidRPr="0008057D" w:rsidRDefault="0008057D" w:rsidP="003A4621">
      <w:pPr>
        <w:spacing w:line="240" w:lineRule="auto"/>
        <w:jc w:val="both"/>
        <w:rPr>
          <w:sz w:val="28"/>
          <w:szCs w:val="28"/>
          <w:lang w:val="en-GB"/>
        </w:rPr>
      </w:pPr>
      <w:r w:rsidRPr="0008057D">
        <w:rPr>
          <w:sz w:val="28"/>
          <w:szCs w:val="28"/>
          <w:lang w:val="en-GB"/>
        </w:rPr>
        <w:t>Qualified pleaders were established into the King's Court in the 13th century. They were not priests. Until this moment, only clergy or nobles could provide legal representation. This change occurred as a result of a papal directive for clerics to refrain from participating in secular court.</w:t>
      </w:r>
      <w:r w:rsidRPr="0008057D">
        <w:rPr>
          <w:sz w:val="28"/>
          <w:szCs w:val="28"/>
          <w:vertAlign w:val="superscript"/>
          <w:lang w:val="en-GB"/>
        </w:rPr>
        <w:footnoteReference w:id="11"/>
      </w:r>
    </w:p>
    <w:p w14:paraId="260FE228" w14:textId="77777777" w:rsidR="0008057D" w:rsidRPr="0008057D" w:rsidRDefault="0008057D" w:rsidP="003A4621">
      <w:pPr>
        <w:spacing w:line="240" w:lineRule="auto"/>
        <w:jc w:val="both"/>
        <w:rPr>
          <w:sz w:val="28"/>
          <w:szCs w:val="28"/>
          <w:lang w:val="en-GB"/>
        </w:rPr>
      </w:pPr>
      <w:r w:rsidRPr="0008057D">
        <w:rPr>
          <w:sz w:val="28"/>
          <w:szCs w:val="28"/>
          <w:lang w:val="en-GB"/>
        </w:rPr>
        <w:lastRenderedPageBreak/>
        <w:t>King Edward, I ruled in the year 1292 that outstanding pupils from each county be schooled in court affairs.</w:t>
      </w:r>
      <w:r w:rsidRPr="0008057D">
        <w:rPr>
          <w:sz w:val="28"/>
          <w:szCs w:val="28"/>
          <w:vertAlign w:val="superscript"/>
          <w:lang w:val="en-GB"/>
        </w:rPr>
        <w:footnoteReference w:id="12"/>
      </w:r>
      <w:r w:rsidRPr="0008057D">
        <w:rPr>
          <w:sz w:val="28"/>
          <w:szCs w:val="28"/>
          <w:lang w:val="en-GB"/>
        </w:rPr>
        <w:t>The students would go from their home towns to Westminster to study law under this new structure. While there, they would stay in accommodations where experienced litigators would instruct them. They created organizations based on their places of residency throughout time.</w:t>
      </w:r>
    </w:p>
    <w:p w14:paraId="4A63D90B" w14:textId="77777777" w:rsidR="0008057D" w:rsidRPr="0008057D" w:rsidRDefault="0008057D" w:rsidP="003A4621">
      <w:pPr>
        <w:spacing w:line="240" w:lineRule="auto"/>
        <w:jc w:val="both"/>
        <w:rPr>
          <w:sz w:val="28"/>
          <w:szCs w:val="28"/>
          <w:lang w:val="en-GB"/>
        </w:rPr>
      </w:pPr>
      <w:r w:rsidRPr="0008057D">
        <w:rPr>
          <w:sz w:val="28"/>
          <w:szCs w:val="28"/>
          <w:lang w:val="en-GB"/>
        </w:rPr>
        <w:t>Subsequently, by 1400, Lincoln's Inn, the Middle Temple, the Inner Temple, and Gray's Inn had been formed as Inns of Court (Common Law Inns) with the sole power to call trained men to the bar. Only those who have been summoned may function as lawyers.</w:t>
      </w:r>
      <w:r w:rsidRPr="0008057D">
        <w:rPr>
          <w:sz w:val="28"/>
          <w:szCs w:val="28"/>
          <w:vertAlign w:val="superscript"/>
          <w:lang w:val="en-GB"/>
        </w:rPr>
        <w:footnoteReference w:id="13"/>
      </w:r>
      <w:r w:rsidRPr="0008057D">
        <w:rPr>
          <w:sz w:val="28"/>
          <w:szCs w:val="28"/>
          <w:lang w:val="en-GB"/>
        </w:rPr>
        <w:t xml:space="preserve"> The division of duties may be traced back to the establishment of Inns, which formed a fairly exclusive group of attorneys known as barristers by having the unique right to admit members to the bar. Solicitors, on the other hand, are neither trained or admitted to the bar through the Inns of Court. Instead, they are clerked for three years before becoming solicitors. Solicitors are controlled by an incorporated Law Society, but the two organisations are also governed independently.</w:t>
      </w:r>
      <w:r w:rsidRPr="0008057D">
        <w:rPr>
          <w:sz w:val="28"/>
          <w:szCs w:val="28"/>
          <w:vertAlign w:val="superscript"/>
          <w:lang w:val="en-GB"/>
        </w:rPr>
        <w:footnoteReference w:id="14"/>
      </w:r>
    </w:p>
    <w:p w14:paraId="5401A3C7" w14:textId="77777777" w:rsidR="004D2E92" w:rsidRDefault="0008057D" w:rsidP="004D2E92">
      <w:pPr>
        <w:spacing w:line="240" w:lineRule="auto"/>
        <w:jc w:val="both"/>
        <w:rPr>
          <w:sz w:val="28"/>
          <w:szCs w:val="28"/>
          <w:lang w:val="en-GB"/>
        </w:rPr>
      </w:pPr>
      <w:r w:rsidRPr="0008057D">
        <w:rPr>
          <w:sz w:val="28"/>
          <w:szCs w:val="28"/>
          <w:lang w:val="en-GB"/>
        </w:rPr>
        <w:t>Relationships between a client, solicitor, and barrister are now enabled by separate regulations and contracts. A retainer is a contract between a client and a solicitor. It specifies the terms of the client's obligation.</w:t>
      </w:r>
      <w:r w:rsidRPr="0008057D">
        <w:rPr>
          <w:sz w:val="28"/>
          <w:szCs w:val="28"/>
          <w:vertAlign w:val="superscript"/>
          <w:lang w:val="en-GB"/>
        </w:rPr>
        <w:footnoteReference w:id="15"/>
      </w:r>
      <w:r w:rsidRPr="0008057D">
        <w:rPr>
          <w:sz w:val="28"/>
          <w:szCs w:val="28"/>
          <w:lang w:val="en-GB"/>
        </w:rPr>
        <w:t>There was no contract between the barrister and the solicitor, nor between the barrister and the client at first. There was no remuneration other than an honorarium. This viewpoint, however, has altered dramatically. Barristers are no longer the sole types of attorneys who can appear in court. Solicitors can do so by exercising their 'rights of audience in court.'</w:t>
      </w:r>
      <w:r w:rsidRPr="0008057D">
        <w:rPr>
          <w:sz w:val="28"/>
          <w:szCs w:val="28"/>
          <w:vertAlign w:val="superscript"/>
          <w:lang w:val="en-GB"/>
        </w:rPr>
        <w:footnoteReference w:id="16"/>
      </w:r>
    </w:p>
    <w:p w14:paraId="172D5BDA" w14:textId="77777777" w:rsidR="004D2E92" w:rsidRDefault="004D2E92" w:rsidP="004D2E92">
      <w:pPr>
        <w:spacing w:line="240" w:lineRule="auto"/>
        <w:jc w:val="both"/>
        <w:rPr>
          <w:sz w:val="28"/>
          <w:szCs w:val="28"/>
          <w:lang w:val="en-GB"/>
        </w:rPr>
      </w:pPr>
    </w:p>
    <w:p w14:paraId="4E5AC360" w14:textId="77777777" w:rsidR="004D2E92" w:rsidRDefault="004D2E92" w:rsidP="004D2E92">
      <w:pPr>
        <w:spacing w:line="240" w:lineRule="auto"/>
        <w:jc w:val="both"/>
        <w:rPr>
          <w:sz w:val="28"/>
          <w:szCs w:val="28"/>
          <w:lang w:val="en-GB"/>
        </w:rPr>
      </w:pPr>
    </w:p>
    <w:p w14:paraId="02F5A7BE" w14:textId="77777777" w:rsidR="004D2E92" w:rsidRDefault="004D2E92" w:rsidP="004D2E92">
      <w:pPr>
        <w:spacing w:line="240" w:lineRule="auto"/>
        <w:jc w:val="both"/>
        <w:rPr>
          <w:sz w:val="28"/>
          <w:szCs w:val="28"/>
          <w:lang w:val="en-GB"/>
        </w:rPr>
      </w:pPr>
    </w:p>
    <w:p w14:paraId="3D064AFF" w14:textId="0B061238" w:rsidR="0008057D" w:rsidRPr="004D2E92" w:rsidRDefault="0008057D" w:rsidP="004D2E92">
      <w:pPr>
        <w:spacing w:line="240" w:lineRule="auto"/>
        <w:jc w:val="both"/>
        <w:rPr>
          <w:sz w:val="28"/>
          <w:szCs w:val="28"/>
          <w:lang w:val="en-GB"/>
        </w:rPr>
      </w:pPr>
      <w:r w:rsidRPr="004D2E92">
        <w:rPr>
          <w:b/>
          <w:color w:val="00B0F0"/>
          <w:sz w:val="28"/>
          <w:szCs w:val="28"/>
          <w:u w:val="single"/>
          <w:lang w:val="en-GB"/>
        </w:rPr>
        <w:lastRenderedPageBreak/>
        <w:t>KENYA</w:t>
      </w:r>
      <w:r w:rsidRPr="004D2E92">
        <w:rPr>
          <w:b/>
          <w:color w:val="00B0F0"/>
          <w:sz w:val="28"/>
          <w:szCs w:val="28"/>
          <w:lang w:val="en-GB"/>
        </w:rPr>
        <w:t>.</w:t>
      </w:r>
    </w:p>
    <w:p w14:paraId="3577EC68" w14:textId="77777777" w:rsidR="0008057D" w:rsidRPr="0008057D" w:rsidRDefault="0008057D" w:rsidP="003A4621">
      <w:pPr>
        <w:spacing w:line="240" w:lineRule="auto"/>
        <w:jc w:val="both"/>
        <w:rPr>
          <w:sz w:val="28"/>
          <w:szCs w:val="28"/>
          <w:lang w:val="en-GB"/>
        </w:rPr>
      </w:pPr>
      <w:r w:rsidRPr="0008057D">
        <w:rPr>
          <w:sz w:val="28"/>
          <w:szCs w:val="28"/>
          <w:lang w:val="en-GB"/>
        </w:rPr>
        <w:t xml:space="preserve">Despite its lack of history, Kenya inherits England's key ideas for trial advocacy formed in those early days. For example, the need for a plaintiff to have representation, which has existed from the beginning of England's history, is enforced in Kenya. </w:t>
      </w:r>
    </w:p>
    <w:p w14:paraId="6E946D67" w14:textId="77777777" w:rsidR="0008057D" w:rsidRDefault="0008057D" w:rsidP="003A4621">
      <w:pPr>
        <w:spacing w:line="240" w:lineRule="auto"/>
        <w:jc w:val="both"/>
        <w:rPr>
          <w:sz w:val="28"/>
          <w:szCs w:val="28"/>
          <w:lang w:val="en-GB"/>
        </w:rPr>
      </w:pPr>
      <w:r w:rsidRPr="0008057D">
        <w:rPr>
          <w:sz w:val="28"/>
          <w:szCs w:val="28"/>
          <w:lang w:val="en-GB"/>
        </w:rPr>
        <w:t>Furthermore, the organisation of these delegates into some type of a professional entity, such as the Inns and Law Society, is shown in Kenya's 'Law Society of Kenya.' There are also distinctions. Because Kenya lacks a split bar, anybody who has completed the Advocate's Training Programme at the Kenya School of Law may be called to the bar. In contrast to England, there is no other path for organised legal practice. One such restricted legal activity is advocacy.</w:t>
      </w:r>
      <w:r w:rsidRPr="0008057D">
        <w:rPr>
          <w:sz w:val="28"/>
          <w:szCs w:val="28"/>
          <w:vertAlign w:val="superscript"/>
          <w:lang w:val="en-GB"/>
        </w:rPr>
        <w:footnoteReference w:id="17"/>
      </w:r>
    </w:p>
    <w:p w14:paraId="1E5CE790" w14:textId="45D3EF69" w:rsidR="0008057D" w:rsidRPr="0008057D" w:rsidRDefault="0008057D" w:rsidP="003A4621">
      <w:pPr>
        <w:spacing w:line="240" w:lineRule="auto"/>
        <w:jc w:val="both"/>
        <w:rPr>
          <w:color w:val="00B0F0"/>
          <w:sz w:val="28"/>
          <w:szCs w:val="28"/>
          <w:lang w:val="en-GB"/>
        </w:rPr>
      </w:pPr>
      <w:r w:rsidRPr="0008057D">
        <w:rPr>
          <w:b/>
          <w:color w:val="00B0F0"/>
          <w:sz w:val="28"/>
          <w:szCs w:val="28"/>
          <w:lang w:val="en-GB"/>
        </w:rPr>
        <w:t>The Pre-Colonial Era</w:t>
      </w:r>
    </w:p>
    <w:p w14:paraId="6D2C3569" w14:textId="77777777" w:rsidR="0008057D" w:rsidRPr="0008057D" w:rsidRDefault="0008057D" w:rsidP="003A4621">
      <w:pPr>
        <w:spacing w:line="240" w:lineRule="auto"/>
        <w:jc w:val="both"/>
        <w:rPr>
          <w:sz w:val="28"/>
          <w:szCs w:val="28"/>
          <w:lang w:val="en-GB"/>
        </w:rPr>
      </w:pPr>
      <w:r w:rsidRPr="0008057D">
        <w:rPr>
          <w:sz w:val="28"/>
          <w:szCs w:val="28"/>
          <w:lang w:val="en-GB"/>
        </w:rPr>
        <w:t>Prior to colonialism, African communities resolved disagreements via the use of traditional dispute resolution methods based on customary law. It stressed communal welfare, so indirectly advocating for policies that benefited the community.</w:t>
      </w:r>
      <w:r w:rsidRPr="0008057D">
        <w:rPr>
          <w:sz w:val="28"/>
          <w:szCs w:val="28"/>
          <w:vertAlign w:val="superscript"/>
          <w:lang w:val="en-GB"/>
        </w:rPr>
        <w:footnoteReference w:id="18"/>
      </w:r>
      <w:r w:rsidRPr="0008057D">
        <w:rPr>
          <w:sz w:val="28"/>
          <w:szCs w:val="28"/>
          <w:lang w:val="en-GB"/>
        </w:rPr>
        <w:t xml:space="preserve"> There were no 'legal professionals' as we know them today. However, African culture stressed the value of law and legal education, and people would dedicate their lives to studying and teaching customary rules and customs.</w:t>
      </w:r>
      <w:r w:rsidRPr="0008057D">
        <w:rPr>
          <w:sz w:val="28"/>
          <w:szCs w:val="28"/>
          <w:vertAlign w:val="superscript"/>
          <w:lang w:val="en-GB"/>
        </w:rPr>
        <w:footnoteReference w:id="19"/>
      </w:r>
      <w:r w:rsidRPr="0008057D">
        <w:rPr>
          <w:sz w:val="28"/>
          <w:szCs w:val="28"/>
          <w:lang w:val="en-GB"/>
        </w:rPr>
        <w:t xml:space="preserve"> </w:t>
      </w:r>
    </w:p>
    <w:p w14:paraId="5409DC87" w14:textId="77777777" w:rsidR="0008057D" w:rsidRPr="0008057D" w:rsidRDefault="0008057D" w:rsidP="003A4621">
      <w:pPr>
        <w:spacing w:line="240" w:lineRule="auto"/>
        <w:jc w:val="both"/>
        <w:rPr>
          <w:sz w:val="28"/>
          <w:szCs w:val="28"/>
          <w:lang w:val="en-GB"/>
        </w:rPr>
      </w:pPr>
      <w:r w:rsidRPr="0008057D">
        <w:rPr>
          <w:sz w:val="28"/>
          <w:szCs w:val="28"/>
          <w:lang w:val="en-GB"/>
        </w:rPr>
        <w:t>In any event, because the conflict resolution processes were non-contentious, the parties would attend in person to submit their concerns. In essence, the ancient legal system required citizens to speak for themselves without the assistance of a lawyer. There is no indication that the parties used trial advocacy skills when presenting their claims before the assigned adjudicators.</w:t>
      </w:r>
    </w:p>
    <w:p w14:paraId="47A7E083" w14:textId="77777777" w:rsidR="0008057D" w:rsidRPr="0008057D" w:rsidRDefault="0008057D" w:rsidP="003A4621">
      <w:pPr>
        <w:spacing w:line="240" w:lineRule="auto"/>
        <w:jc w:val="both"/>
        <w:rPr>
          <w:b/>
          <w:color w:val="00B0F0"/>
          <w:sz w:val="28"/>
          <w:szCs w:val="28"/>
          <w:lang w:val="en-GB"/>
        </w:rPr>
      </w:pPr>
      <w:r w:rsidRPr="0008057D">
        <w:rPr>
          <w:b/>
          <w:color w:val="00B0F0"/>
          <w:sz w:val="28"/>
          <w:szCs w:val="28"/>
          <w:lang w:val="en-GB"/>
        </w:rPr>
        <w:t>The Colonial Era</w:t>
      </w:r>
    </w:p>
    <w:p w14:paraId="0E5CE76C" w14:textId="77777777" w:rsidR="0008057D" w:rsidRPr="0008057D" w:rsidRDefault="0008057D" w:rsidP="003A4621">
      <w:pPr>
        <w:spacing w:line="240" w:lineRule="auto"/>
        <w:jc w:val="both"/>
        <w:rPr>
          <w:sz w:val="28"/>
          <w:szCs w:val="28"/>
          <w:lang w:val="en-GB"/>
        </w:rPr>
      </w:pPr>
      <w:r w:rsidRPr="0008057D">
        <w:rPr>
          <w:sz w:val="28"/>
          <w:szCs w:val="28"/>
          <w:lang w:val="en-GB"/>
        </w:rPr>
        <w:t xml:space="preserve">With the advent of colonialism, the private and public legal professions formed. This is due to the establishment of formal judicial proceedings. However, it should </w:t>
      </w:r>
      <w:r w:rsidRPr="0008057D">
        <w:rPr>
          <w:sz w:val="28"/>
          <w:szCs w:val="28"/>
          <w:lang w:val="en-GB"/>
        </w:rPr>
        <w:lastRenderedPageBreak/>
        <w:t>be remembered that most courts and tribunals were solely relevant to the British and Indians. Members of the colonial legal service and the judges composed the public legal profession, whilst advocates serviced the general public. The tasks of a barrister and a solicitor were performed by an advocate, although the regulations controlling solicitors in England were followed.</w:t>
      </w:r>
      <w:r w:rsidRPr="0008057D">
        <w:rPr>
          <w:sz w:val="28"/>
          <w:szCs w:val="28"/>
          <w:vertAlign w:val="superscript"/>
          <w:lang w:val="en-GB"/>
        </w:rPr>
        <w:footnoteReference w:id="20"/>
      </w:r>
    </w:p>
    <w:p w14:paraId="1D26C7F1" w14:textId="77777777" w:rsidR="0008057D" w:rsidRPr="0008057D" w:rsidRDefault="0008057D" w:rsidP="003A4621">
      <w:pPr>
        <w:spacing w:line="240" w:lineRule="auto"/>
        <w:jc w:val="both"/>
        <w:rPr>
          <w:sz w:val="28"/>
          <w:szCs w:val="28"/>
          <w:lang w:val="en-GB"/>
        </w:rPr>
      </w:pPr>
      <w:r w:rsidRPr="0008057D">
        <w:rPr>
          <w:sz w:val="28"/>
          <w:szCs w:val="28"/>
          <w:lang w:val="en-GB"/>
        </w:rPr>
        <w:t xml:space="preserve">The colonial legal department was staffed entirely by British citizens. The legal profession was firmly established in England at the time. As a result, the advocates had received extensive advocacy training. Thus, trial advocacy was used by advocates when representing their clients in court during this time period. </w:t>
      </w:r>
    </w:p>
    <w:p w14:paraId="73D13ABF" w14:textId="77777777" w:rsidR="0008057D" w:rsidRPr="0008057D" w:rsidRDefault="0008057D" w:rsidP="003A4621">
      <w:pPr>
        <w:spacing w:line="240" w:lineRule="auto"/>
        <w:jc w:val="both"/>
        <w:rPr>
          <w:sz w:val="28"/>
          <w:szCs w:val="28"/>
          <w:lang w:val="en-GB"/>
        </w:rPr>
      </w:pPr>
      <w:r w:rsidRPr="0008057D">
        <w:rPr>
          <w:sz w:val="28"/>
          <w:szCs w:val="28"/>
          <w:lang w:val="en-GB"/>
        </w:rPr>
        <w:t xml:space="preserve">The parties in </w:t>
      </w:r>
      <w:r w:rsidRPr="0008057D">
        <w:rPr>
          <w:b/>
          <w:i/>
          <w:sz w:val="28"/>
          <w:szCs w:val="28"/>
          <w:lang w:val="en-GB"/>
        </w:rPr>
        <w:t>Nathookhan v Chairman Mombasa Town Planning Authority</w:t>
      </w:r>
      <w:r w:rsidRPr="0008057D">
        <w:rPr>
          <w:sz w:val="28"/>
          <w:szCs w:val="28"/>
          <w:vertAlign w:val="superscript"/>
          <w:lang w:val="en-GB"/>
        </w:rPr>
        <w:footnoteReference w:id="21"/>
      </w:r>
      <w:r w:rsidRPr="0008057D">
        <w:rPr>
          <w:sz w:val="28"/>
          <w:szCs w:val="28"/>
          <w:lang w:val="en-GB"/>
        </w:rPr>
        <w:t xml:space="preserve"> were represented by advocates. It would be reasonable to infer that the concerned advocates, having received professional training, were required to use trial advocacy techniques such as persuasion to move the court.</w:t>
      </w:r>
    </w:p>
    <w:p w14:paraId="3CC79531" w14:textId="77777777" w:rsidR="0008057D" w:rsidRPr="0008057D" w:rsidRDefault="0008057D" w:rsidP="003A4621">
      <w:pPr>
        <w:spacing w:line="240" w:lineRule="auto"/>
        <w:jc w:val="both"/>
        <w:rPr>
          <w:sz w:val="28"/>
          <w:szCs w:val="28"/>
          <w:lang w:val="en-GB"/>
        </w:rPr>
      </w:pPr>
      <w:r w:rsidRPr="0008057D">
        <w:rPr>
          <w:sz w:val="28"/>
          <w:szCs w:val="28"/>
          <w:lang w:val="en-GB"/>
        </w:rPr>
        <w:t>The colonial administration barred counsel from native tribunals under the Native Tribunals Act of 1930. The reasoning was that they had been campaigning for customs in the native reserves and would try to mislead the tribunal members with technical legal grounds. Their presence would make the administration of justice more difficult. The restriction remained in effect for the remainder of the colonial period, only to be lifted with the establishment of Native and African Courts in 1967.</w:t>
      </w:r>
      <w:r w:rsidRPr="0008057D">
        <w:rPr>
          <w:sz w:val="28"/>
          <w:szCs w:val="28"/>
          <w:vertAlign w:val="superscript"/>
          <w:lang w:val="en-GB"/>
        </w:rPr>
        <w:footnoteReference w:id="22"/>
      </w:r>
    </w:p>
    <w:p w14:paraId="4FB3508B" w14:textId="77777777" w:rsidR="0008057D" w:rsidRPr="0008057D" w:rsidRDefault="0008057D" w:rsidP="003A4621">
      <w:pPr>
        <w:spacing w:line="240" w:lineRule="auto"/>
        <w:jc w:val="both"/>
        <w:rPr>
          <w:sz w:val="28"/>
          <w:szCs w:val="28"/>
          <w:lang w:val="en-GB"/>
        </w:rPr>
      </w:pPr>
      <w:r w:rsidRPr="0008057D">
        <w:rPr>
          <w:sz w:val="28"/>
          <w:szCs w:val="28"/>
          <w:lang w:val="en-GB"/>
        </w:rPr>
        <w:t>Similarly, prior to the Native Tribunals Act, the British administration had provided power to local chiefs and elder councils to handle conflicts in their own communities.</w:t>
      </w:r>
    </w:p>
    <w:p w14:paraId="1A4BEEB4" w14:textId="77777777" w:rsidR="0008057D" w:rsidRPr="0008057D" w:rsidRDefault="0008057D" w:rsidP="003A4621">
      <w:pPr>
        <w:spacing w:line="240" w:lineRule="auto"/>
        <w:jc w:val="both"/>
        <w:rPr>
          <w:b/>
          <w:color w:val="00B0F0"/>
          <w:sz w:val="28"/>
          <w:szCs w:val="28"/>
          <w:lang w:val="en-GB"/>
        </w:rPr>
      </w:pPr>
      <w:r w:rsidRPr="0008057D">
        <w:rPr>
          <w:b/>
          <w:color w:val="00B0F0"/>
          <w:sz w:val="28"/>
          <w:szCs w:val="28"/>
          <w:lang w:val="en-GB"/>
        </w:rPr>
        <w:t>The Post-Colonial Period</w:t>
      </w:r>
    </w:p>
    <w:p w14:paraId="25C15657" w14:textId="77777777" w:rsidR="006D02CD" w:rsidRDefault="0008057D" w:rsidP="003A4621">
      <w:pPr>
        <w:spacing w:line="240" w:lineRule="auto"/>
        <w:jc w:val="both"/>
        <w:rPr>
          <w:sz w:val="28"/>
          <w:szCs w:val="28"/>
          <w:lang w:val="en-GB"/>
        </w:rPr>
      </w:pPr>
      <w:r w:rsidRPr="0008057D">
        <w:rPr>
          <w:sz w:val="28"/>
          <w:szCs w:val="28"/>
          <w:lang w:val="en-GB"/>
        </w:rPr>
        <w:t>When Kenya gained independence in 1963, just a few Kenyan lawyers had earned their legal education outside the nation, mostly in the United Kingdom and India. During the colonial period, there were no facilities for the training of attorneys in the nation.</w:t>
      </w:r>
    </w:p>
    <w:p w14:paraId="3B589587" w14:textId="0EC7E5A3" w:rsidR="0008057D" w:rsidRPr="0008057D" w:rsidRDefault="0008057D" w:rsidP="003A4621">
      <w:pPr>
        <w:spacing w:line="240" w:lineRule="auto"/>
        <w:jc w:val="both"/>
        <w:rPr>
          <w:sz w:val="28"/>
          <w:szCs w:val="28"/>
          <w:lang w:val="en-GB"/>
        </w:rPr>
      </w:pPr>
      <w:r w:rsidRPr="0008057D">
        <w:rPr>
          <w:sz w:val="28"/>
          <w:szCs w:val="28"/>
          <w:lang w:val="en-GB"/>
        </w:rPr>
        <w:lastRenderedPageBreak/>
        <w:t>Legal education is critical to the development of advocacy abilities. Undergraduate courses are the foundation for legal education, which is subsequently supplemented with practical experience. Recognizing this, the post-colonial government established various commissions of inquiry to address the issues that existed in the education and training of competent legal practitioners. The Denning Committee, formed in 1962, suggested the establishment of The Kenya School of Law to provide legal instruction. The Kenya School of Law was founded in 1963 to provide such services, originally to articled clerks and then to law graduates during the vocational portion of their legal study.</w:t>
      </w:r>
      <w:r w:rsidRPr="0008057D">
        <w:rPr>
          <w:sz w:val="28"/>
          <w:szCs w:val="28"/>
          <w:vertAlign w:val="superscript"/>
          <w:lang w:val="en-GB"/>
        </w:rPr>
        <w:footnoteReference w:id="23"/>
      </w:r>
    </w:p>
    <w:p w14:paraId="08B610E8" w14:textId="77777777" w:rsidR="0008057D" w:rsidRPr="0008057D" w:rsidRDefault="0008057D" w:rsidP="003A4621">
      <w:pPr>
        <w:spacing w:line="240" w:lineRule="auto"/>
        <w:jc w:val="both"/>
        <w:rPr>
          <w:sz w:val="28"/>
          <w:szCs w:val="28"/>
          <w:lang w:val="en-GB"/>
        </w:rPr>
      </w:pPr>
      <w:r w:rsidRPr="0008057D">
        <w:rPr>
          <w:sz w:val="28"/>
          <w:szCs w:val="28"/>
          <w:lang w:val="en-GB"/>
        </w:rPr>
        <w:t>The case method is the most common technique of education used in most law schools. Dean Langdell invented this approach in 1870 as a tool for teaching law. The case approach examines court decisions meticulously as a subject for study and as a beginning point for classroom debate. This method teaches law students analytical tools used to separate important material from irrelevant information in a case. Additionally, law students learn the advocacy skill sets to persuade courts to rule in favour of their clients.</w:t>
      </w:r>
    </w:p>
    <w:p w14:paraId="386188D0" w14:textId="77777777" w:rsidR="0008057D" w:rsidRPr="0008057D" w:rsidRDefault="0008057D" w:rsidP="003A4621">
      <w:pPr>
        <w:spacing w:line="240" w:lineRule="auto"/>
        <w:jc w:val="both"/>
        <w:rPr>
          <w:sz w:val="28"/>
          <w:szCs w:val="28"/>
          <w:lang w:val="en-GB"/>
        </w:rPr>
      </w:pPr>
      <w:r w:rsidRPr="0008057D">
        <w:rPr>
          <w:sz w:val="28"/>
          <w:szCs w:val="28"/>
          <w:lang w:val="en-GB"/>
        </w:rPr>
        <w:t xml:space="preserve">The </w:t>
      </w:r>
      <w:r w:rsidRPr="0008057D">
        <w:rPr>
          <w:b/>
          <w:sz w:val="28"/>
          <w:szCs w:val="28"/>
          <w:lang w:val="en-GB"/>
        </w:rPr>
        <w:t xml:space="preserve">Akiwumi Committee (1995) on the Status and Management of the Kenya School of Law </w:t>
      </w:r>
      <w:r w:rsidRPr="0008057D">
        <w:rPr>
          <w:sz w:val="28"/>
          <w:szCs w:val="28"/>
          <w:lang w:val="en-GB"/>
        </w:rPr>
        <w:t xml:space="preserve">was created in an attempt to simplify and reorganise the Kenya School of Law in the 1990s. In its report, the Commission recommended a curriculum revision, stating that it was time to explore shifting the school's teaching style from an emphasis on studying substantive and procedural law principles to an emphasis on training prospective attorneys in practice skills. The Commission noted that in the common law world, new thinking on approaches to legal education at the vocational stage had emerged, favouring a focus on skills training, and that major skills perceived to be extremely pertinent to a solid career in legal practice were advocacy, correspondence, drafting, compromise, and analysis. </w:t>
      </w:r>
    </w:p>
    <w:p w14:paraId="10CA62D7" w14:textId="77777777" w:rsidR="0008057D" w:rsidRPr="0008057D" w:rsidRDefault="0008057D" w:rsidP="003A4621">
      <w:pPr>
        <w:spacing w:line="240" w:lineRule="auto"/>
        <w:jc w:val="both"/>
        <w:rPr>
          <w:sz w:val="28"/>
          <w:szCs w:val="28"/>
          <w:lang w:val="en-GB"/>
        </w:rPr>
      </w:pPr>
      <w:r w:rsidRPr="0008057D">
        <w:rPr>
          <w:sz w:val="28"/>
          <w:szCs w:val="28"/>
          <w:lang w:val="en-GB"/>
        </w:rPr>
        <w:t>The panel suggested that the curriculum be revised to focus instruction at the institution on training in legal skills.</w:t>
      </w:r>
      <w:r w:rsidRPr="0008057D">
        <w:rPr>
          <w:sz w:val="28"/>
          <w:szCs w:val="28"/>
          <w:vertAlign w:val="superscript"/>
          <w:lang w:val="en-GB"/>
        </w:rPr>
        <w:footnoteReference w:id="24"/>
      </w:r>
      <w:r w:rsidRPr="0008057D">
        <w:rPr>
          <w:sz w:val="28"/>
          <w:szCs w:val="28"/>
          <w:lang w:val="en-GB"/>
        </w:rPr>
        <w:t>The Advocates (Continuing Legal Education) Regulations, 2004</w:t>
      </w:r>
      <w:r w:rsidRPr="0008057D">
        <w:rPr>
          <w:sz w:val="28"/>
          <w:szCs w:val="28"/>
          <w:vertAlign w:val="superscript"/>
          <w:lang w:val="en-GB"/>
        </w:rPr>
        <w:footnoteReference w:id="25"/>
      </w:r>
      <w:r w:rsidRPr="0008057D">
        <w:rPr>
          <w:sz w:val="28"/>
          <w:szCs w:val="28"/>
          <w:lang w:val="en-GB"/>
        </w:rPr>
        <w:t xml:space="preserve"> which went into effect on January 1, 2005, said that a </w:t>
      </w:r>
      <w:r w:rsidRPr="0008057D">
        <w:rPr>
          <w:sz w:val="28"/>
          <w:szCs w:val="28"/>
          <w:lang w:val="en-GB"/>
        </w:rPr>
        <w:lastRenderedPageBreak/>
        <w:t>continuing legal education program, either offered by the Council or certified by it, must emphasise ethical as well as practical and professional components of legal practice and include oral communication skills, litigation, and administrative methods.</w:t>
      </w:r>
      <w:r w:rsidRPr="0008057D">
        <w:rPr>
          <w:sz w:val="28"/>
          <w:szCs w:val="28"/>
          <w:vertAlign w:val="superscript"/>
          <w:lang w:val="en-GB"/>
        </w:rPr>
        <w:footnoteReference w:id="26"/>
      </w:r>
    </w:p>
    <w:p w14:paraId="3F3E8C53" w14:textId="77777777" w:rsidR="0008057D" w:rsidRPr="0008057D" w:rsidRDefault="0008057D" w:rsidP="003A4621">
      <w:pPr>
        <w:spacing w:line="240" w:lineRule="auto"/>
        <w:jc w:val="both"/>
        <w:rPr>
          <w:sz w:val="28"/>
          <w:szCs w:val="28"/>
          <w:lang w:val="en-GB"/>
        </w:rPr>
      </w:pPr>
      <w:r w:rsidRPr="0008057D">
        <w:rPr>
          <w:sz w:val="28"/>
          <w:szCs w:val="28"/>
          <w:lang w:val="en-GB"/>
        </w:rPr>
        <w:t>Trial advocacy was included as a course in the Advocates Training Programme by the Council of Legal Education (Admissions) Regulations, 2007.</w:t>
      </w:r>
      <w:r w:rsidRPr="0008057D">
        <w:rPr>
          <w:sz w:val="28"/>
          <w:szCs w:val="28"/>
          <w:vertAlign w:val="superscript"/>
          <w:lang w:val="en-GB"/>
        </w:rPr>
        <w:footnoteReference w:id="27"/>
      </w:r>
      <w:r w:rsidRPr="0008057D">
        <w:rPr>
          <w:sz w:val="28"/>
          <w:szCs w:val="28"/>
          <w:lang w:val="en-GB"/>
        </w:rPr>
        <w:t xml:space="preserve"> In 2008, it was tested as a bar course for the first time. According to the Council of Legal Education (Kenya School of Law) Regulations, 2009</w:t>
      </w:r>
      <w:r w:rsidRPr="0008057D">
        <w:rPr>
          <w:sz w:val="28"/>
          <w:szCs w:val="28"/>
          <w:vertAlign w:val="superscript"/>
          <w:lang w:val="en-GB"/>
        </w:rPr>
        <w:footnoteReference w:id="28"/>
      </w:r>
      <w:r w:rsidRPr="0008057D">
        <w:rPr>
          <w:sz w:val="28"/>
          <w:szCs w:val="28"/>
          <w:lang w:val="en-GB"/>
        </w:rPr>
        <w:t>the Post Graduate Diploma (Advocates Training Programme) will include, among other things, a course in trial advocacy.</w:t>
      </w:r>
      <w:r w:rsidRPr="0008057D">
        <w:rPr>
          <w:sz w:val="28"/>
          <w:szCs w:val="28"/>
          <w:vertAlign w:val="superscript"/>
          <w:lang w:val="en-GB"/>
        </w:rPr>
        <w:footnoteReference w:id="29"/>
      </w:r>
      <w:r w:rsidRPr="0008057D">
        <w:rPr>
          <w:sz w:val="28"/>
          <w:szCs w:val="28"/>
          <w:lang w:val="en-GB"/>
        </w:rPr>
        <w:t xml:space="preserve"> It is also one of the required courses for the Advocates Training Programme under the legislation.</w:t>
      </w:r>
      <w:r w:rsidRPr="0008057D">
        <w:rPr>
          <w:sz w:val="28"/>
          <w:szCs w:val="28"/>
          <w:vertAlign w:val="superscript"/>
          <w:lang w:val="en-GB"/>
        </w:rPr>
        <w:footnoteReference w:id="30"/>
      </w:r>
    </w:p>
    <w:p w14:paraId="5D9A2B29" w14:textId="77777777" w:rsidR="0008057D" w:rsidRPr="0008057D" w:rsidRDefault="0008057D" w:rsidP="003A4621">
      <w:pPr>
        <w:spacing w:line="240" w:lineRule="auto"/>
        <w:jc w:val="both"/>
        <w:rPr>
          <w:sz w:val="28"/>
          <w:szCs w:val="28"/>
          <w:lang w:val="en-GB"/>
        </w:rPr>
      </w:pPr>
      <w:r w:rsidRPr="0008057D">
        <w:rPr>
          <w:sz w:val="28"/>
          <w:szCs w:val="28"/>
          <w:lang w:val="en-GB"/>
        </w:rPr>
        <w:t>Trial advocacy was included as a course in the Advocates Training Programme by the Council of Legal Education (Admissions) Regulations, 2007. In 2008, it was tested as a bar course for the first time. According to the Council of Legal Education (Kenya School of Law) Regulations, 200951, the Post Graduate Diploma (Advocates Training Programme) will include, among other things, a course in trial advocacy. It is also one of the required courses for the Advocates Training Programme under the legislation. In contrast to England, there is no other path for organised legal practice.</w:t>
      </w:r>
    </w:p>
    <w:p w14:paraId="7E76AA05" w14:textId="0519FCF5" w:rsidR="0008057D" w:rsidRDefault="0008057D" w:rsidP="003A4621">
      <w:pPr>
        <w:spacing w:line="240" w:lineRule="auto"/>
        <w:jc w:val="both"/>
        <w:rPr>
          <w:sz w:val="28"/>
          <w:szCs w:val="28"/>
          <w:lang w:val="en-GB"/>
        </w:rPr>
      </w:pPr>
      <w:r w:rsidRPr="0008057D">
        <w:rPr>
          <w:sz w:val="28"/>
          <w:szCs w:val="28"/>
          <w:lang w:val="en-GB"/>
        </w:rPr>
        <w:t>Finally, trial advocacy has evolved through time via apprenticeship and experience by attorneys, and it is now taught in law schools. Every advocate understands the importance of trial advocacy. A trial attorney who fails is as powerless in his trade as a plumber who notices a clogged pipe but does not know how to fix it. As a result, without good trial advocacy abilities, an advocate cannot provide their client with adequate counsel.</w:t>
      </w:r>
    </w:p>
    <w:p w14:paraId="5E91521F" w14:textId="77777777" w:rsidR="004D2E92" w:rsidRDefault="004D2E92" w:rsidP="003A4621">
      <w:pPr>
        <w:spacing w:line="240" w:lineRule="auto"/>
        <w:jc w:val="both"/>
        <w:rPr>
          <w:b/>
          <w:bCs/>
          <w:color w:val="5B9BD5" w:themeColor="accent5"/>
          <w:sz w:val="28"/>
          <w:szCs w:val="28"/>
          <w:lang w:val="en-GB"/>
        </w:rPr>
      </w:pPr>
    </w:p>
    <w:p w14:paraId="414DD797" w14:textId="77777777" w:rsidR="004D2E92" w:rsidRDefault="004D2E92" w:rsidP="003A4621">
      <w:pPr>
        <w:spacing w:line="240" w:lineRule="auto"/>
        <w:jc w:val="both"/>
        <w:rPr>
          <w:b/>
          <w:bCs/>
          <w:color w:val="5B9BD5" w:themeColor="accent5"/>
          <w:sz w:val="28"/>
          <w:szCs w:val="28"/>
          <w:lang w:val="en-GB"/>
        </w:rPr>
      </w:pPr>
    </w:p>
    <w:p w14:paraId="510A0311" w14:textId="08084BBA" w:rsidR="006D02CD" w:rsidRPr="006D02CD" w:rsidRDefault="006D02CD" w:rsidP="003A4621">
      <w:pPr>
        <w:spacing w:line="240" w:lineRule="auto"/>
        <w:jc w:val="both"/>
        <w:rPr>
          <w:b/>
          <w:bCs/>
          <w:color w:val="5B9BD5" w:themeColor="accent5"/>
          <w:sz w:val="28"/>
          <w:szCs w:val="28"/>
          <w:lang w:val="en-GB"/>
        </w:rPr>
      </w:pPr>
      <w:r w:rsidRPr="006D02CD">
        <w:rPr>
          <w:b/>
          <w:bCs/>
          <w:color w:val="5B9BD5" w:themeColor="accent5"/>
          <w:sz w:val="28"/>
          <w:szCs w:val="28"/>
          <w:lang w:val="en-GB"/>
        </w:rPr>
        <w:lastRenderedPageBreak/>
        <w:t>Question 2.</w:t>
      </w:r>
    </w:p>
    <w:p w14:paraId="7B670291" w14:textId="421713CA" w:rsidR="00F4592A" w:rsidRPr="00F4592A" w:rsidRDefault="004C190C" w:rsidP="003A4621">
      <w:pPr>
        <w:spacing w:line="240" w:lineRule="auto"/>
        <w:jc w:val="both"/>
        <w:rPr>
          <w:b/>
          <w:bCs/>
          <w:color w:val="00B0F0"/>
          <w:sz w:val="28"/>
          <w:szCs w:val="28"/>
          <w:lang w:val="en-GB"/>
        </w:rPr>
      </w:pPr>
      <w:r w:rsidRPr="004C190C">
        <w:rPr>
          <w:b/>
          <w:bCs/>
          <w:color w:val="00B0F0"/>
          <w:sz w:val="28"/>
          <w:szCs w:val="28"/>
          <w:lang w:val="en-GB"/>
        </w:rPr>
        <w:t>The UN Basic principles on the Role of Lawyers</w:t>
      </w:r>
    </w:p>
    <w:p w14:paraId="39DA7E2B" w14:textId="77777777" w:rsidR="00F4592A" w:rsidRPr="00F4592A" w:rsidRDefault="00F4592A" w:rsidP="003A4621">
      <w:pPr>
        <w:spacing w:line="240" w:lineRule="auto"/>
        <w:jc w:val="both"/>
        <w:rPr>
          <w:sz w:val="28"/>
          <w:szCs w:val="28"/>
        </w:rPr>
      </w:pPr>
      <w:r w:rsidRPr="00F4592A">
        <w:rPr>
          <w:sz w:val="28"/>
          <w:szCs w:val="28"/>
        </w:rPr>
        <w:t>The United Nations basic principles on the role of lawyers were adopted by the 8</w:t>
      </w:r>
      <w:r w:rsidRPr="00F4592A">
        <w:rPr>
          <w:sz w:val="28"/>
          <w:szCs w:val="28"/>
          <w:vertAlign w:val="superscript"/>
        </w:rPr>
        <w:t>th</w:t>
      </w:r>
      <w:r w:rsidRPr="00F4592A">
        <w:rPr>
          <w:sz w:val="28"/>
          <w:szCs w:val="28"/>
        </w:rPr>
        <w:t xml:space="preserve"> United Nations Congress on the Prevention of Crime and the Treatment of offenders in Havana Cuba between 27</w:t>
      </w:r>
      <w:r w:rsidRPr="00F4592A">
        <w:rPr>
          <w:sz w:val="28"/>
          <w:szCs w:val="28"/>
          <w:vertAlign w:val="superscript"/>
        </w:rPr>
        <w:t>th</w:t>
      </w:r>
      <w:r w:rsidRPr="00F4592A">
        <w:rPr>
          <w:sz w:val="28"/>
          <w:szCs w:val="28"/>
        </w:rPr>
        <w:t xml:space="preserve"> August and 7</w:t>
      </w:r>
      <w:r w:rsidRPr="00F4592A">
        <w:rPr>
          <w:sz w:val="28"/>
          <w:szCs w:val="28"/>
          <w:vertAlign w:val="superscript"/>
        </w:rPr>
        <w:t>th</w:t>
      </w:r>
      <w:r w:rsidRPr="00F4592A">
        <w:rPr>
          <w:sz w:val="28"/>
          <w:szCs w:val="28"/>
        </w:rPr>
        <w:t xml:space="preserve"> September 1990. It was promulgated to ensure that the proper role of lawyers was respected by Governments within the national laws of member states. The principles shall be considered by lawyers, the judiciary, the executive and the legislature as well as to persons who execute the functions of lawyers without having the formal status of lawyers.</w:t>
      </w:r>
    </w:p>
    <w:p w14:paraId="0E271D74" w14:textId="77777777" w:rsidR="00F4592A" w:rsidRPr="00F4592A" w:rsidRDefault="00F4592A" w:rsidP="003A4621">
      <w:pPr>
        <w:spacing w:line="240" w:lineRule="auto"/>
        <w:jc w:val="both"/>
        <w:rPr>
          <w:sz w:val="28"/>
          <w:szCs w:val="28"/>
        </w:rPr>
      </w:pPr>
      <w:r w:rsidRPr="00F4592A">
        <w:rPr>
          <w:sz w:val="28"/>
          <w:szCs w:val="28"/>
        </w:rPr>
        <w:t>The principles are divided into the following sections:</w:t>
      </w:r>
    </w:p>
    <w:p w14:paraId="0DA198DA" w14:textId="77777777" w:rsidR="00F4592A" w:rsidRPr="00F4592A" w:rsidRDefault="00F4592A" w:rsidP="003A4621">
      <w:pPr>
        <w:numPr>
          <w:ilvl w:val="0"/>
          <w:numId w:val="4"/>
        </w:numPr>
        <w:spacing w:line="240" w:lineRule="auto"/>
        <w:jc w:val="both"/>
        <w:rPr>
          <w:b/>
          <w:bCs/>
          <w:sz w:val="28"/>
          <w:szCs w:val="28"/>
        </w:rPr>
      </w:pPr>
      <w:r w:rsidRPr="00F4592A">
        <w:rPr>
          <w:b/>
          <w:bCs/>
          <w:sz w:val="28"/>
          <w:szCs w:val="28"/>
        </w:rPr>
        <w:t>Access to lawyers and legal services</w:t>
      </w:r>
    </w:p>
    <w:p w14:paraId="0B718F08" w14:textId="77777777" w:rsidR="00F4592A" w:rsidRPr="00F4592A" w:rsidRDefault="00F4592A" w:rsidP="003A4621">
      <w:pPr>
        <w:numPr>
          <w:ilvl w:val="0"/>
          <w:numId w:val="4"/>
        </w:numPr>
        <w:spacing w:line="240" w:lineRule="auto"/>
        <w:jc w:val="both"/>
        <w:rPr>
          <w:b/>
          <w:bCs/>
          <w:sz w:val="28"/>
          <w:szCs w:val="28"/>
        </w:rPr>
      </w:pPr>
      <w:r w:rsidRPr="00F4592A">
        <w:rPr>
          <w:b/>
          <w:bCs/>
          <w:sz w:val="28"/>
          <w:szCs w:val="28"/>
        </w:rPr>
        <w:t>Special safeguards in criminal justice matters</w:t>
      </w:r>
    </w:p>
    <w:p w14:paraId="1E88E35A" w14:textId="77777777" w:rsidR="00F4592A" w:rsidRPr="00F4592A" w:rsidRDefault="00F4592A" w:rsidP="003A4621">
      <w:pPr>
        <w:numPr>
          <w:ilvl w:val="0"/>
          <w:numId w:val="4"/>
        </w:numPr>
        <w:spacing w:line="240" w:lineRule="auto"/>
        <w:jc w:val="both"/>
        <w:rPr>
          <w:b/>
          <w:bCs/>
          <w:sz w:val="28"/>
          <w:szCs w:val="28"/>
        </w:rPr>
      </w:pPr>
      <w:r w:rsidRPr="00F4592A">
        <w:rPr>
          <w:b/>
          <w:bCs/>
          <w:sz w:val="28"/>
          <w:szCs w:val="28"/>
        </w:rPr>
        <w:t>Qualifications and training</w:t>
      </w:r>
    </w:p>
    <w:p w14:paraId="0486A514" w14:textId="77777777" w:rsidR="00F4592A" w:rsidRPr="00F4592A" w:rsidRDefault="00F4592A" w:rsidP="003A4621">
      <w:pPr>
        <w:numPr>
          <w:ilvl w:val="0"/>
          <w:numId w:val="4"/>
        </w:numPr>
        <w:spacing w:line="240" w:lineRule="auto"/>
        <w:jc w:val="both"/>
        <w:rPr>
          <w:b/>
          <w:bCs/>
          <w:sz w:val="28"/>
          <w:szCs w:val="28"/>
        </w:rPr>
      </w:pPr>
      <w:r w:rsidRPr="00F4592A">
        <w:rPr>
          <w:b/>
          <w:bCs/>
          <w:sz w:val="28"/>
          <w:szCs w:val="28"/>
        </w:rPr>
        <w:t>Duties and responsibilities</w:t>
      </w:r>
    </w:p>
    <w:p w14:paraId="3C779847" w14:textId="77777777" w:rsidR="00F4592A" w:rsidRPr="00F4592A" w:rsidRDefault="00F4592A" w:rsidP="003A4621">
      <w:pPr>
        <w:numPr>
          <w:ilvl w:val="0"/>
          <w:numId w:val="4"/>
        </w:numPr>
        <w:spacing w:line="240" w:lineRule="auto"/>
        <w:jc w:val="both"/>
        <w:rPr>
          <w:b/>
          <w:bCs/>
          <w:sz w:val="28"/>
          <w:szCs w:val="28"/>
        </w:rPr>
      </w:pPr>
      <w:r w:rsidRPr="00F4592A">
        <w:rPr>
          <w:b/>
          <w:bCs/>
          <w:sz w:val="28"/>
          <w:szCs w:val="28"/>
        </w:rPr>
        <w:t>Guarantees for the functioning of lawyers</w:t>
      </w:r>
    </w:p>
    <w:p w14:paraId="5319B57B" w14:textId="77777777" w:rsidR="00F4592A" w:rsidRPr="00F4592A" w:rsidRDefault="00F4592A" w:rsidP="003A4621">
      <w:pPr>
        <w:numPr>
          <w:ilvl w:val="0"/>
          <w:numId w:val="4"/>
        </w:numPr>
        <w:spacing w:line="240" w:lineRule="auto"/>
        <w:jc w:val="both"/>
        <w:rPr>
          <w:b/>
          <w:bCs/>
          <w:sz w:val="28"/>
          <w:szCs w:val="28"/>
        </w:rPr>
      </w:pPr>
      <w:r w:rsidRPr="00F4592A">
        <w:rPr>
          <w:b/>
          <w:bCs/>
          <w:sz w:val="28"/>
          <w:szCs w:val="28"/>
        </w:rPr>
        <w:t>Freedom of expression and association</w:t>
      </w:r>
    </w:p>
    <w:p w14:paraId="1C5419C9" w14:textId="77777777" w:rsidR="00F4592A" w:rsidRPr="00F4592A" w:rsidRDefault="00F4592A" w:rsidP="003A4621">
      <w:pPr>
        <w:numPr>
          <w:ilvl w:val="0"/>
          <w:numId w:val="4"/>
        </w:numPr>
        <w:spacing w:line="240" w:lineRule="auto"/>
        <w:jc w:val="both"/>
        <w:rPr>
          <w:b/>
          <w:bCs/>
          <w:sz w:val="28"/>
          <w:szCs w:val="28"/>
        </w:rPr>
      </w:pPr>
      <w:r w:rsidRPr="00F4592A">
        <w:rPr>
          <w:b/>
          <w:bCs/>
          <w:sz w:val="28"/>
          <w:szCs w:val="28"/>
        </w:rPr>
        <w:t>Professional associations of lawyers</w:t>
      </w:r>
    </w:p>
    <w:p w14:paraId="0336F029" w14:textId="40AF9064" w:rsidR="00EE3FF5" w:rsidRPr="004E6689" w:rsidRDefault="00F4592A" w:rsidP="00EE3FF5">
      <w:pPr>
        <w:numPr>
          <w:ilvl w:val="0"/>
          <w:numId w:val="4"/>
        </w:numPr>
        <w:spacing w:line="240" w:lineRule="auto"/>
        <w:jc w:val="both"/>
        <w:rPr>
          <w:b/>
          <w:bCs/>
          <w:sz w:val="28"/>
          <w:szCs w:val="28"/>
        </w:rPr>
      </w:pPr>
      <w:r w:rsidRPr="00F4592A">
        <w:rPr>
          <w:b/>
          <w:bCs/>
          <w:sz w:val="28"/>
          <w:szCs w:val="28"/>
        </w:rPr>
        <w:t>Disciplinary proceedings</w:t>
      </w:r>
    </w:p>
    <w:p w14:paraId="6DA80F43" w14:textId="77777777" w:rsidR="00EE3FF5" w:rsidRPr="004E6689" w:rsidRDefault="00EE3FF5" w:rsidP="00EE3FF5">
      <w:pPr>
        <w:spacing w:line="240" w:lineRule="auto"/>
        <w:jc w:val="both"/>
        <w:rPr>
          <w:b/>
          <w:bCs/>
          <w:sz w:val="28"/>
          <w:szCs w:val="28"/>
        </w:rPr>
      </w:pPr>
      <w:r w:rsidRPr="004E6689">
        <w:rPr>
          <w:b/>
          <w:bCs/>
          <w:sz w:val="28"/>
          <w:szCs w:val="28"/>
        </w:rPr>
        <w:t>Access to Legal services.</w:t>
      </w:r>
    </w:p>
    <w:p w14:paraId="635E8148" w14:textId="7566D7F0" w:rsidR="00EE3FF5" w:rsidRPr="004E6689" w:rsidRDefault="004E6689" w:rsidP="00EE3FF5">
      <w:pPr>
        <w:spacing w:line="240" w:lineRule="auto"/>
        <w:jc w:val="both"/>
        <w:rPr>
          <w:b/>
          <w:bCs/>
          <w:sz w:val="28"/>
          <w:szCs w:val="28"/>
        </w:rPr>
      </w:pPr>
      <w:r>
        <w:rPr>
          <w:b/>
          <w:bCs/>
          <w:sz w:val="28"/>
          <w:szCs w:val="28"/>
        </w:rPr>
        <w:t xml:space="preserve">1) </w:t>
      </w:r>
      <w:r w:rsidR="00EE3FF5" w:rsidRPr="00EE3FF5">
        <w:rPr>
          <w:sz w:val="28"/>
          <w:szCs w:val="28"/>
        </w:rPr>
        <w:t>All persons are entitled to seek the services of a lawyer of their choice to protect and establish their rights and defend them in all the stages of criminal proceedings.</w:t>
      </w:r>
    </w:p>
    <w:p w14:paraId="3B929AC5" w14:textId="2B9F86BD" w:rsidR="00EE3FF5" w:rsidRPr="00EE3FF5" w:rsidRDefault="004E6689" w:rsidP="00EE3FF5">
      <w:pPr>
        <w:spacing w:line="240" w:lineRule="auto"/>
        <w:jc w:val="both"/>
        <w:rPr>
          <w:sz w:val="28"/>
          <w:szCs w:val="28"/>
        </w:rPr>
      </w:pPr>
      <w:r>
        <w:rPr>
          <w:b/>
          <w:bCs/>
          <w:sz w:val="28"/>
          <w:szCs w:val="28"/>
        </w:rPr>
        <w:t>2)</w:t>
      </w:r>
      <w:r>
        <w:rPr>
          <w:sz w:val="28"/>
          <w:szCs w:val="28"/>
        </w:rPr>
        <w:t xml:space="preserve"> </w:t>
      </w:r>
      <w:r w:rsidR="00EE3FF5" w:rsidRPr="004E6689">
        <w:rPr>
          <w:sz w:val="28"/>
          <w:szCs w:val="28"/>
        </w:rPr>
        <w:t>There</w:t>
      </w:r>
      <w:r w:rsidR="00EE3FF5" w:rsidRPr="00EE3FF5">
        <w:rPr>
          <w:sz w:val="28"/>
          <w:szCs w:val="28"/>
        </w:rPr>
        <w:t xml:space="preserve"> shall be effective procedures and mechanisms for equal and effective access to lawyers put in place by the government for all persons within their territories and subject to their jurisdiction, without distinction of any kind such as discrimination based on color, gender, race, ethnic, origin, gender, language, religion, national, political or any other opinion, social origin, property, birth, economic or other status.</w:t>
      </w:r>
    </w:p>
    <w:p w14:paraId="02485BD3" w14:textId="1F38EA56" w:rsidR="00EE3FF5" w:rsidRPr="00EE3FF5" w:rsidRDefault="004E6689" w:rsidP="00EE3FF5">
      <w:pPr>
        <w:spacing w:line="240" w:lineRule="auto"/>
        <w:jc w:val="both"/>
        <w:rPr>
          <w:sz w:val="28"/>
          <w:szCs w:val="28"/>
        </w:rPr>
      </w:pPr>
      <w:r>
        <w:rPr>
          <w:b/>
          <w:bCs/>
          <w:sz w:val="28"/>
          <w:szCs w:val="28"/>
        </w:rPr>
        <w:t xml:space="preserve">3) </w:t>
      </w:r>
      <w:r w:rsidR="00EE3FF5" w:rsidRPr="00EE3FF5">
        <w:rPr>
          <w:sz w:val="28"/>
          <w:szCs w:val="28"/>
        </w:rPr>
        <w:t xml:space="preserve">The Governments shall ensure that there is provision of adequate funding and other resources for legal services to the poor, as necessary, to other disadvantaged </w:t>
      </w:r>
      <w:r w:rsidR="00EE3FF5" w:rsidRPr="00EE3FF5">
        <w:rPr>
          <w:sz w:val="28"/>
          <w:szCs w:val="28"/>
        </w:rPr>
        <w:lastRenderedPageBreak/>
        <w:t>persons. Professional associations of lawyers shall cooperate in the organization and provision of services facilities and other resources.</w:t>
      </w:r>
    </w:p>
    <w:p w14:paraId="2CF7627A" w14:textId="12A32FC9" w:rsidR="00EE3FF5" w:rsidRPr="00EE3FF5" w:rsidRDefault="004E6689" w:rsidP="00EE3FF5">
      <w:pPr>
        <w:spacing w:line="240" w:lineRule="auto"/>
        <w:jc w:val="both"/>
        <w:rPr>
          <w:sz w:val="28"/>
          <w:szCs w:val="28"/>
        </w:rPr>
      </w:pPr>
      <w:r>
        <w:rPr>
          <w:b/>
          <w:bCs/>
          <w:sz w:val="28"/>
          <w:szCs w:val="28"/>
        </w:rPr>
        <w:t xml:space="preserve">4) </w:t>
      </w:r>
      <w:r w:rsidR="00EE3FF5" w:rsidRPr="00EE3FF5">
        <w:rPr>
          <w:sz w:val="28"/>
          <w:szCs w:val="28"/>
        </w:rPr>
        <w:t>Programs shall be promoted by the government and professional associations of lawyers to inform the public about the important role of lawyers and the law when it comes to protecting their fundamental freedoms. Special attention should be granted to assist the poor and other disadvantaged persons so as to make sure that they assert their rights and where necessary call upon the assistance of a lawyer.</w:t>
      </w:r>
    </w:p>
    <w:p w14:paraId="2989BE56" w14:textId="77777777" w:rsidR="00EE3FF5" w:rsidRPr="004E6689" w:rsidRDefault="00EE3FF5" w:rsidP="00EE3FF5">
      <w:pPr>
        <w:spacing w:line="240" w:lineRule="auto"/>
        <w:jc w:val="both"/>
        <w:rPr>
          <w:b/>
          <w:bCs/>
          <w:sz w:val="28"/>
          <w:szCs w:val="28"/>
        </w:rPr>
      </w:pPr>
      <w:r w:rsidRPr="004E6689">
        <w:rPr>
          <w:b/>
          <w:bCs/>
          <w:sz w:val="28"/>
          <w:szCs w:val="28"/>
        </w:rPr>
        <w:t>Special Safeguards in Criminal justice matters.</w:t>
      </w:r>
    </w:p>
    <w:p w14:paraId="2457B5D2" w14:textId="04842617" w:rsidR="00EE3FF5" w:rsidRPr="00EE3FF5" w:rsidRDefault="004E6689" w:rsidP="00EE3FF5">
      <w:pPr>
        <w:spacing w:line="240" w:lineRule="auto"/>
        <w:jc w:val="both"/>
        <w:rPr>
          <w:sz w:val="28"/>
          <w:szCs w:val="28"/>
        </w:rPr>
      </w:pPr>
      <w:r>
        <w:rPr>
          <w:b/>
          <w:bCs/>
          <w:sz w:val="28"/>
          <w:szCs w:val="28"/>
        </w:rPr>
        <w:t xml:space="preserve">5) </w:t>
      </w:r>
      <w:r w:rsidR="00EE3FF5" w:rsidRPr="00EE3FF5">
        <w:rPr>
          <w:sz w:val="28"/>
          <w:szCs w:val="28"/>
        </w:rPr>
        <w:t>It shall be ensured by the Government that all persons are immediately informed by the competent authority of their right to be represented or assisted by a lawyer of their own choice upon detention, arrest or when charged with a criminal offence.</w:t>
      </w:r>
    </w:p>
    <w:p w14:paraId="53E70531" w14:textId="6C1D78A3" w:rsidR="00EE3FF5" w:rsidRPr="00EE3FF5" w:rsidRDefault="00EE3FF5" w:rsidP="00EE3FF5">
      <w:pPr>
        <w:spacing w:line="240" w:lineRule="auto"/>
        <w:jc w:val="both"/>
        <w:rPr>
          <w:sz w:val="28"/>
          <w:szCs w:val="28"/>
        </w:rPr>
      </w:pPr>
      <w:r w:rsidRPr="004E6689">
        <w:rPr>
          <w:b/>
          <w:bCs/>
          <w:sz w:val="28"/>
          <w:szCs w:val="28"/>
        </w:rPr>
        <w:t>6</w:t>
      </w:r>
      <w:r w:rsidR="004E6689">
        <w:rPr>
          <w:b/>
          <w:bCs/>
          <w:sz w:val="28"/>
          <w:szCs w:val="28"/>
        </w:rPr>
        <w:t>)</w:t>
      </w:r>
      <w:r w:rsidR="004E6689">
        <w:rPr>
          <w:sz w:val="28"/>
          <w:szCs w:val="28"/>
        </w:rPr>
        <w:t xml:space="preserve"> </w:t>
      </w:r>
      <w:r w:rsidRPr="00EE3FF5">
        <w:rPr>
          <w:sz w:val="28"/>
          <w:szCs w:val="28"/>
        </w:rPr>
        <w:t>A person who does not have a lawyer, shall in all cases in which the interest of justice so requires, be entitled to have a lawyer of experience and competence commensurate with the nature of the offence assigned to them in order to provide effective legal services, without payment by them if they lack sufficient means to pay for such services.</w:t>
      </w:r>
    </w:p>
    <w:p w14:paraId="60BF02B7" w14:textId="021D1066" w:rsidR="00EE3FF5" w:rsidRPr="00EE3FF5" w:rsidRDefault="00EE3FF5" w:rsidP="00EE3FF5">
      <w:pPr>
        <w:spacing w:line="240" w:lineRule="auto"/>
        <w:jc w:val="both"/>
        <w:rPr>
          <w:sz w:val="28"/>
          <w:szCs w:val="28"/>
        </w:rPr>
      </w:pPr>
      <w:r w:rsidRPr="004E6689">
        <w:rPr>
          <w:b/>
          <w:bCs/>
          <w:sz w:val="28"/>
          <w:szCs w:val="28"/>
        </w:rPr>
        <w:t>7</w:t>
      </w:r>
      <w:r w:rsidR="004E6689">
        <w:rPr>
          <w:b/>
          <w:bCs/>
          <w:sz w:val="28"/>
          <w:szCs w:val="28"/>
        </w:rPr>
        <w:t>)</w:t>
      </w:r>
      <w:r w:rsidR="004E6689">
        <w:rPr>
          <w:sz w:val="28"/>
          <w:szCs w:val="28"/>
        </w:rPr>
        <w:t xml:space="preserve"> </w:t>
      </w:r>
      <w:r w:rsidRPr="00EE3FF5">
        <w:rPr>
          <w:sz w:val="28"/>
          <w:szCs w:val="28"/>
        </w:rPr>
        <w:t>Governments shall ensure that all persons detained or arrested with or without a criminal charge shall have instant access to a lawyer and in that case not later than 48 hours from the time of arrest or detention.</w:t>
      </w:r>
    </w:p>
    <w:p w14:paraId="1AD7FF20" w14:textId="49FB1BE6" w:rsidR="00EE3FF5" w:rsidRPr="00EE3FF5" w:rsidRDefault="00EE3FF5" w:rsidP="00EE3FF5">
      <w:pPr>
        <w:spacing w:line="240" w:lineRule="auto"/>
        <w:jc w:val="both"/>
        <w:rPr>
          <w:sz w:val="28"/>
          <w:szCs w:val="28"/>
        </w:rPr>
      </w:pPr>
      <w:r w:rsidRPr="004E6689">
        <w:rPr>
          <w:b/>
          <w:bCs/>
          <w:sz w:val="28"/>
          <w:szCs w:val="28"/>
        </w:rPr>
        <w:t>8</w:t>
      </w:r>
      <w:r w:rsidR="004E6689">
        <w:rPr>
          <w:b/>
          <w:bCs/>
          <w:sz w:val="28"/>
          <w:szCs w:val="28"/>
        </w:rPr>
        <w:t>)</w:t>
      </w:r>
      <w:r w:rsidR="004E6689">
        <w:rPr>
          <w:sz w:val="28"/>
          <w:szCs w:val="28"/>
        </w:rPr>
        <w:t xml:space="preserve"> </w:t>
      </w:r>
      <w:r w:rsidRPr="00EE3FF5">
        <w:rPr>
          <w:sz w:val="28"/>
          <w:szCs w:val="28"/>
        </w:rPr>
        <w:t>All persons imprisoned, arrested or detained shall be provided with adequate opportunities, time and facilities to be visited by and seek advice from a lawyer without delay, interception or censorship and in full confidentiality. Such consultation may be within sight but not within the hearing of law enforcement officials.</w:t>
      </w:r>
    </w:p>
    <w:p w14:paraId="6B631D87" w14:textId="77777777" w:rsidR="00EE3FF5" w:rsidRPr="004E6689" w:rsidRDefault="00EE3FF5" w:rsidP="00EE3FF5">
      <w:pPr>
        <w:spacing w:line="240" w:lineRule="auto"/>
        <w:jc w:val="both"/>
        <w:rPr>
          <w:b/>
          <w:bCs/>
          <w:sz w:val="28"/>
          <w:szCs w:val="28"/>
        </w:rPr>
      </w:pPr>
      <w:r w:rsidRPr="004E6689">
        <w:rPr>
          <w:b/>
          <w:bCs/>
          <w:sz w:val="28"/>
          <w:szCs w:val="28"/>
        </w:rPr>
        <w:t xml:space="preserve">Qualifications and Training </w:t>
      </w:r>
    </w:p>
    <w:p w14:paraId="5470B901" w14:textId="253A983B" w:rsidR="00EE3FF5" w:rsidRPr="00EE3FF5" w:rsidRDefault="00EE3FF5" w:rsidP="00EE3FF5">
      <w:pPr>
        <w:spacing w:line="240" w:lineRule="auto"/>
        <w:jc w:val="both"/>
        <w:rPr>
          <w:sz w:val="28"/>
          <w:szCs w:val="28"/>
        </w:rPr>
      </w:pPr>
      <w:r w:rsidRPr="004E6689">
        <w:rPr>
          <w:b/>
          <w:bCs/>
          <w:sz w:val="28"/>
          <w:szCs w:val="28"/>
        </w:rPr>
        <w:t>9</w:t>
      </w:r>
      <w:r w:rsidR="004E6689">
        <w:rPr>
          <w:b/>
          <w:bCs/>
          <w:sz w:val="28"/>
          <w:szCs w:val="28"/>
        </w:rPr>
        <w:t>)</w:t>
      </w:r>
      <w:r w:rsidR="004E6689">
        <w:rPr>
          <w:sz w:val="28"/>
          <w:szCs w:val="28"/>
        </w:rPr>
        <w:t xml:space="preserve"> </w:t>
      </w:r>
      <w:r w:rsidRPr="00EE3FF5">
        <w:rPr>
          <w:sz w:val="28"/>
          <w:szCs w:val="28"/>
        </w:rPr>
        <w:t>It shall be ensured by the Governments, professional associations of lawyers and educational institutions, that lawyers have appropriate education and training and be made aware of the ideals and the ethical duties of the lawyer and fundamental human rights and freedoms recognized by Municipal and international laws.</w:t>
      </w:r>
    </w:p>
    <w:p w14:paraId="03764A09" w14:textId="75317CDD" w:rsidR="00EE3FF5" w:rsidRPr="00EE3FF5" w:rsidRDefault="00EE3FF5" w:rsidP="00EE3FF5">
      <w:pPr>
        <w:spacing w:line="240" w:lineRule="auto"/>
        <w:jc w:val="both"/>
        <w:rPr>
          <w:sz w:val="28"/>
          <w:szCs w:val="28"/>
        </w:rPr>
      </w:pPr>
      <w:r w:rsidRPr="0094668E">
        <w:rPr>
          <w:b/>
          <w:bCs/>
          <w:sz w:val="28"/>
          <w:szCs w:val="28"/>
        </w:rPr>
        <w:t>10</w:t>
      </w:r>
      <w:r w:rsidR="0094668E">
        <w:rPr>
          <w:b/>
          <w:bCs/>
          <w:sz w:val="28"/>
          <w:szCs w:val="28"/>
        </w:rPr>
        <w:t>)</w:t>
      </w:r>
      <w:r w:rsidR="0094668E">
        <w:rPr>
          <w:sz w:val="28"/>
          <w:szCs w:val="28"/>
        </w:rPr>
        <w:t xml:space="preserve"> </w:t>
      </w:r>
      <w:r w:rsidRPr="00EE3FF5">
        <w:rPr>
          <w:sz w:val="28"/>
          <w:szCs w:val="28"/>
        </w:rPr>
        <w:t xml:space="preserve">Governments, educational institutions and professional associations of lawyers shall ensure that there is no discrimination against a person with respect to entry into or continued practice within the legal profession on grounds of race, sex, color, ethnic origin, political religion or other opinion, national or social group, birth, </w:t>
      </w:r>
      <w:r w:rsidRPr="00EE3FF5">
        <w:rPr>
          <w:sz w:val="28"/>
          <w:szCs w:val="28"/>
        </w:rPr>
        <w:lastRenderedPageBreak/>
        <w:t>property, economic or other status except that the lawyers must be a national of the country concerned, shall not be considered discriminatory.</w:t>
      </w:r>
    </w:p>
    <w:p w14:paraId="6C02F99C" w14:textId="0073FB14" w:rsidR="00EE3FF5" w:rsidRPr="00EE3FF5" w:rsidRDefault="00EE3FF5" w:rsidP="00EE3FF5">
      <w:pPr>
        <w:spacing w:line="240" w:lineRule="auto"/>
        <w:jc w:val="both"/>
        <w:rPr>
          <w:sz w:val="28"/>
          <w:szCs w:val="28"/>
        </w:rPr>
      </w:pPr>
      <w:r w:rsidRPr="0094668E">
        <w:rPr>
          <w:b/>
          <w:bCs/>
          <w:sz w:val="28"/>
          <w:szCs w:val="28"/>
        </w:rPr>
        <w:t>11</w:t>
      </w:r>
      <w:r w:rsidR="0094668E">
        <w:rPr>
          <w:b/>
          <w:bCs/>
          <w:sz w:val="28"/>
          <w:szCs w:val="28"/>
        </w:rPr>
        <w:t>)</w:t>
      </w:r>
      <w:r w:rsidR="0094668E">
        <w:rPr>
          <w:sz w:val="28"/>
          <w:szCs w:val="28"/>
        </w:rPr>
        <w:t xml:space="preserve"> </w:t>
      </w:r>
      <w:r w:rsidRPr="00EE3FF5">
        <w:rPr>
          <w:sz w:val="28"/>
          <w:szCs w:val="28"/>
        </w:rPr>
        <w:t>in countries where there exists groups, communities or regions whose need for legal services are not met, particularly where these groups have distinct traditions, cultures or languages or have been the victims of past discrimination, Governments, educational institutions and professional associations of lawyers should take special measures to provide opportunities for candidates from these groups to enter the legal profession and should ensure that they receive training appropriate for needs of these groups.</w:t>
      </w:r>
    </w:p>
    <w:p w14:paraId="492EB44E" w14:textId="77777777" w:rsidR="00EE3FF5" w:rsidRPr="0094668E" w:rsidRDefault="00EE3FF5" w:rsidP="00EE3FF5">
      <w:pPr>
        <w:spacing w:line="240" w:lineRule="auto"/>
        <w:jc w:val="both"/>
        <w:rPr>
          <w:b/>
          <w:bCs/>
          <w:sz w:val="28"/>
          <w:szCs w:val="28"/>
        </w:rPr>
      </w:pPr>
      <w:r w:rsidRPr="0094668E">
        <w:rPr>
          <w:b/>
          <w:bCs/>
          <w:sz w:val="28"/>
          <w:szCs w:val="28"/>
        </w:rPr>
        <w:t xml:space="preserve">Duties and Responsibilities. </w:t>
      </w:r>
    </w:p>
    <w:p w14:paraId="1FC7FE10" w14:textId="3CFEBE98" w:rsidR="00EE3FF5" w:rsidRPr="00EE3FF5" w:rsidRDefault="00EE3FF5" w:rsidP="00EE3FF5">
      <w:pPr>
        <w:spacing w:line="240" w:lineRule="auto"/>
        <w:jc w:val="both"/>
        <w:rPr>
          <w:sz w:val="28"/>
          <w:szCs w:val="28"/>
        </w:rPr>
      </w:pPr>
      <w:r w:rsidRPr="0094668E">
        <w:rPr>
          <w:b/>
          <w:bCs/>
          <w:sz w:val="28"/>
          <w:szCs w:val="28"/>
        </w:rPr>
        <w:t>12</w:t>
      </w:r>
      <w:r w:rsidR="0094668E">
        <w:rPr>
          <w:b/>
          <w:bCs/>
          <w:sz w:val="28"/>
          <w:szCs w:val="28"/>
        </w:rPr>
        <w:t xml:space="preserve">) </w:t>
      </w:r>
      <w:r w:rsidRPr="00EE3FF5">
        <w:rPr>
          <w:sz w:val="28"/>
          <w:szCs w:val="28"/>
        </w:rPr>
        <w:t>As essential agents of administration of justice, lawyers shall at all times maintain honor and dignity of their profession.</w:t>
      </w:r>
    </w:p>
    <w:p w14:paraId="4EB8F391" w14:textId="77777777" w:rsidR="00F4592A" w:rsidRPr="00F4592A" w:rsidRDefault="00F4592A" w:rsidP="003A4621">
      <w:pPr>
        <w:spacing w:line="240" w:lineRule="auto"/>
        <w:jc w:val="both"/>
        <w:rPr>
          <w:b/>
          <w:color w:val="5B9BD5" w:themeColor="accent5"/>
          <w:sz w:val="28"/>
          <w:szCs w:val="28"/>
        </w:rPr>
      </w:pPr>
      <w:r w:rsidRPr="00F4592A">
        <w:rPr>
          <w:b/>
          <w:color w:val="5B9BD5" w:themeColor="accent5"/>
          <w:sz w:val="28"/>
          <w:szCs w:val="28"/>
        </w:rPr>
        <w:t>Freedom of expression and association</w:t>
      </w:r>
    </w:p>
    <w:p w14:paraId="2864CEC7" w14:textId="77777777" w:rsidR="00F4592A" w:rsidRPr="00F4592A" w:rsidRDefault="00F4592A" w:rsidP="003A4621">
      <w:pPr>
        <w:spacing w:line="240" w:lineRule="auto"/>
        <w:jc w:val="both"/>
        <w:rPr>
          <w:sz w:val="28"/>
          <w:szCs w:val="28"/>
        </w:rPr>
      </w:pPr>
      <w:r w:rsidRPr="00F4592A">
        <w:rPr>
          <w:b/>
          <w:bCs/>
          <w:sz w:val="28"/>
          <w:szCs w:val="28"/>
        </w:rPr>
        <w:t>23.</w:t>
      </w:r>
      <w:r w:rsidRPr="00F4592A">
        <w:rPr>
          <w:b/>
          <w:sz w:val="28"/>
          <w:szCs w:val="28"/>
        </w:rPr>
        <w:t xml:space="preserve"> </w:t>
      </w:r>
      <w:r w:rsidRPr="00F4592A">
        <w:rPr>
          <w:sz w:val="28"/>
          <w:szCs w:val="28"/>
        </w:rPr>
        <w:t>Lawyers have a right to freedom of expression, belief, association and assembly. This shall include the rights to partake in public discussion of matters concerning the law, administration of justice and the promotion and protection of human rights. These discussions may be in the way of forming local, national and international organizations. Lawyers shall attend such meetings without being subjected to any professional restrictions. When participating in such, lawyers are expected to conduct themselves in accordance with the law and the recognized ethics if the legal profession.</w:t>
      </w:r>
    </w:p>
    <w:p w14:paraId="3E5D7E9C" w14:textId="1B899380" w:rsidR="00F4592A" w:rsidRPr="00F4592A" w:rsidRDefault="00F4592A" w:rsidP="003A4621">
      <w:pPr>
        <w:spacing w:line="240" w:lineRule="auto"/>
        <w:jc w:val="both"/>
        <w:rPr>
          <w:b/>
          <w:color w:val="5B9BD5" w:themeColor="accent5"/>
          <w:sz w:val="28"/>
          <w:szCs w:val="28"/>
        </w:rPr>
      </w:pPr>
      <w:r w:rsidRPr="00F4592A">
        <w:rPr>
          <w:b/>
          <w:color w:val="5B9BD5" w:themeColor="accent5"/>
          <w:sz w:val="28"/>
          <w:szCs w:val="28"/>
        </w:rPr>
        <w:t>Professional association of lawyers</w:t>
      </w:r>
    </w:p>
    <w:p w14:paraId="23CF0A1B" w14:textId="77777777" w:rsidR="00F4592A" w:rsidRPr="00F4592A" w:rsidRDefault="00F4592A" w:rsidP="003A4621">
      <w:pPr>
        <w:spacing w:line="240" w:lineRule="auto"/>
        <w:jc w:val="both"/>
        <w:rPr>
          <w:sz w:val="28"/>
          <w:szCs w:val="28"/>
        </w:rPr>
      </w:pPr>
      <w:r w:rsidRPr="00F4592A">
        <w:rPr>
          <w:b/>
          <w:bCs/>
          <w:sz w:val="28"/>
          <w:szCs w:val="28"/>
        </w:rPr>
        <w:t>24.</w:t>
      </w:r>
      <w:r w:rsidRPr="00F4592A">
        <w:rPr>
          <w:sz w:val="28"/>
          <w:szCs w:val="28"/>
        </w:rPr>
        <w:t xml:space="preserve"> Lawyers have the right to form and join self-governing professional associations that represent their interests, promote their training and protect their integrity. The executive body of such association shall be elected by the members. The association shall commence without external interference.</w:t>
      </w:r>
    </w:p>
    <w:p w14:paraId="58C362B5" w14:textId="77777777" w:rsidR="00F4592A" w:rsidRPr="00F4592A" w:rsidRDefault="00F4592A" w:rsidP="003A4621">
      <w:pPr>
        <w:spacing w:line="240" w:lineRule="auto"/>
        <w:jc w:val="both"/>
        <w:rPr>
          <w:sz w:val="28"/>
          <w:szCs w:val="28"/>
        </w:rPr>
      </w:pPr>
      <w:r w:rsidRPr="00F4592A">
        <w:rPr>
          <w:b/>
          <w:bCs/>
          <w:sz w:val="28"/>
          <w:szCs w:val="28"/>
        </w:rPr>
        <w:t>25.</w:t>
      </w:r>
      <w:r w:rsidRPr="00F4592A">
        <w:rPr>
          <w:sz w:val="28"/>
          <w:szCs w:val="28"/>
        </w:rPr>
        <w:t xml:space="preserve"> Professional associations for lawyers shall work with Governments to ensure that everyone can access equal and effective legal services from lawyers without improper interference.</w:t>
      </w:r>
    </w:p>
    <w:p w14:paraId="5AAE9CBC" w14:textId="07EC4695" w:rsidR="00F4592A" w:rsidRPr="00F4592A" w:rsidRDefault="00F4592A" w:rsidP="003A4621">
      <w:pPr>
        <w:spacing w:line="240" w:lineRule="auto"/>
        <w:jc w:val="both"/>
        <w:rPr>
          <w:b/>
          <w:color w:val="5B9BD5" w:themeColor="accent5"/>
          <w:sz w:val="28"/>
          <w:szCs w:val="28"/>
        </w:rPr>
      </w:pPr>
      <w:r w:rsidRPr="00F4592A">
        <w:rPr>
          <w:b/>
          <w:color w:val="5B9BD5" w:themeColor="accent5"/>
          <w:sz w:val="28"/>
          <w:szCs w:val="28"/>
        </w:rPr>
        <w:t>Disciplinary proceedings</w:t>
      </w:r>
    </w:p>
    <w:p w14:paraId="77BFB01C" w14:textId="77777777" w:rsidR="00F4592A" w:rsidRPr="00F4592A" w:rsidRDefault="00F4592A" w:rsidP="003A4621">
      <w:pPr>
        <w:spacing w:line="240" w:lineRule="auto"/>
        <w:jc w:val="both"/>
        <w:rPr>
          <w:sz w:val="28"/>
          <w:szCs w:val="28"/>
        </w:rPr>
      </w:pPr>
      <w:r w:rsidRPr="00F4592A">
        <w:rPr>
          <w:b/>
          <w:bCs/>
          <w:sz w:val="28"/>
          <w:szCs w:val="28"/>
        </w:rPr>
        <w:t>26.</w:t>
      </w:r>
      <w:r w:rsidRPr="00F4592A">
        <w:rPr>
          <w:sz w:val="28"/>
          <w:szCs w:val="28"/>
        </w:rPr>
        <w:t xml:space="preserve">  The legal profession through its organs or the legislature shall establish the codes of professional conduct for lawyers. These codes should align with national law, custom and recognized international norms.</w:t>
      </w:r>
    </w:p>
    <w:p w14:paraId="0FD41DE2" w14:textId="77777777" w:rsidR="00F4592A" w:rsidRPr="00F4592A" w:rsidRDefault="00F4592A" w:rsidP="003A4621">
      <w:pPr>
        <w:spacing w:line="240" w:lineRule="auto"/>
        <w:jc w:val="both"/>
        <w:rPr>
          <w:sz w:val="28"/>
          <w:szCs w:val="28"/>
        </w:rPr>
      </w:pPr>
      <w:r w:rsidRPr="00F4592A">
        <w:rPr>
          <w:b/>
          <w:bCs/>
          <w:sz w:val="28"/>
          <w:szCs w:val="28"/>
        </w:rPr>
        <w:lastRenderedPageBreak/>
        <w:t>27.</w:t>
      </w:r>
      <w:r w:rsidRPr="00F4592A">
        <w:rPr>
          <w:sz w:val="28"/>
          <w:szCs w:val="28"/>
        </w:rPr>
        <w:t xml:space="preserve"> Charges or complaints made against lawyers in their professional capacity shall be processed expeditiously and fairly. Lawyers shall have the right to a fair hearing including the right to be represented by another lawyer of their choice.</w:t>
      </w:r>
    </w:p>
    <w:p w14:paraId="578B1661" w14:textId="77777777" w:rsidR="00F4592A" w:rsidRPr="00F4592A" w:rsidRDefault="00F4592A" w:rsidP="003A4621">
      <w:pPr>
        <w:spacing w:line="240" w:lineRule="auto"/>
        <w:jc w:val="both"/>
        <w:rPr>
          <w:sz w:val="28"/>
          <w:szCs w:val="28"/>
        </w:rPr>
      </w:pPr>
      <w:r w:rsidRPr="00F4592A">
        <w:rPr>
          <w:b/>
          <w:bCs/>
          <w:sz w:val="28"/>
          <w:szCs w:val="28"/>
        </w:rPr>
        <w:t>28.</w:t>
      </w:r>
      <w:r w:rsidRPr="00F4592A">
        <w:rPr>
          <w:sz w:val="28"/>
          <w:szCs w:val="28"/>
        </w:rPr>
        <w:t xml:space="preserve"> Disciplinary proceedings against lawyers shall be held before an impartial committee, independent statutory body or before a court. Its decisions shall be subject to judicial review.</w:t>
      </w:r>
    </w:p>
    <w:p w14:paraId="0DE678AF" w14:textId="2F111162" w:rsidR="00F4592A" w:rsidRDefault="00F4592A" w:rsidP="003A4621">
      <w:pPr>
        <w:spacing w:line="240" w:lineRule="auto"/>
        <w:jc w:val="both"/>
        <w:rPr>
          <w:sz w:val="28"/>
          <w:szCs w:val="28"/>
        </w:rPr>
      </w:pPr>
      <w:r w:rsidRPr="00F4592A">
        <w:rPr>
          <w:b/>
          <w:bCs/>
          <w:sz w:val="28"/>
          <w:szCs w:val="28"/>
        </w:rPr>
        <w:t>29.</w:t>
      </w:r>
      <w:r w:rsidRPr="00F4592A">
        <w:rPr>
          <w:sz w:val="28"/>
          <w:szCs w:val="28"/>
        </w:rPr>
        <w:t xml:space="preserve"> all disciplinary proceedings shall be decided according to professional codes, other recognized standards, ethics and these UN principles</w:t>
      </w:r>
      <w:r w:rsidR="009529E8">
        <w:rPr>
          <w:sz w:val="28"/>
          <w:szCs w:val="28"/>
        </w:rPr>
        <w:t>.</w:t>
      </w:r>
    </w:p>
    <w:p w14:paraId="408CED95" w14:textId="77777777" w:rsidR="009529E8" w:rsidRPr="009529E8" w:rsidRDefault="009529E8" w:rsidP="003A4621">
      <w:pPr>
        <w:spacing w:line="240" w:lineRule="auto"/>
        <w:jc w:val="both"/>
        <w:rPr>
          <w:b/>
          <w:color w:val="5B9BD5" w:themeColor="accent5"/>
          <w:sz w:val="28"/>
          <w:szCs w:val="28"/>
        </w:rPr>
      </w:pPr>
      <w:r w:rsidRPr="009529E8">
        <w:rPr>
          <w:b/>
          <w:color w:val="5B9BD5" w:themeColor="accent5"/>
          <w:sz w:val="28"/>
          <w:szCs w:val="28"/>
        </w:rPr>
        <w:t>Duties and Responsibilities.</w:t>
      </w:r>
    </w:p>
    <w:p w14:paraId="798335F5" w14:textId="77777777" w:rsidR="009529E8" w:rsidRPr="009529E8" w:rsidRDefault="009529E8" w:rsidP="003A4621">
      <w:pPr>
        <w:spacing w:line="240" w:lineRule="auto"/>
        <w:jc w:val="both"/>
        <w:rPr>
          <w:sz w:val="28"/>
          <w:szCs w:val="28"/>
        </w:rPr>
      </w:pPr>
      <w:r w:rsidRPr="009529E8">
        <w:rPr>
          <w:sz w:val="28"/>
          <w:szCs w:val="28"/>
        </w:rPr>
        <w:t xml:space="preserve">Lawyers must uphold the honor and dignity of their profession as vital actors in the administration of justice at all times. </w:t>
      </w:r>
    </w:p>
    <w:p w14:paraId="39B9E720" w14:textId="77777777" w:rsidR="009529E8" w:rsidRPr="00D93436" w:rsidRDefault="009529E8" w:rsidP="003A4621">
      <w:pPr>
        <w:spacing w:line="240" w:lineRule="auto"/>
        <w:jc w:val="both"/>
        <w:rPr>
          <w:b/>
          <w:bCs/>
          <w:sz w:val="28"/>
          <w:szCs w:val="28"/>
        </w:rPr>
      </w:pPr>
      <w:r w:rsidRPr="00D93436">
        <w:rPr>
          <w:b/>
          <w:bCs/>
          <w:sz w:val="28"/>
          <w:szCs w:val="28"/>
        </w:rPr>
        <w:t>Their responsibilities to their clients are as follows;</w:t>
      </w:r>
    </w:p>
    <w:p w14:paraId="2BE4787D" w14:textId="77777777" w:rsidR="009529E8" w:rsidRPr="009529E8" w:rsidRDefault="009529E8" w:rsidP="003A4621">
      <w:pPr>
        <w:numPr>
          <w:ilvl w:val="0"/>
          <w:numId w:val="5"/>
        </w:numPr>
        <w:spacing w:line="240" w:lineRule="auto"/>
        <w:jc w:val="both"/>
        <w:rPr>
          <w:sz w:val="28"/>
          <w:szCs w:val="28"/>
        </w:rPr>
      </w:pPr>
      <w:r w:rsidRPr="009529E8">
        <w:rPr>
          <w:sz w:val="28"/>
          <w:szCs w:val="28"/>
        </w:rPr>
        <w:t xml:space="preserve">advising clients on their legal rights and obligations, as well as the workings of the legal system insofar as it is relevant to the clients' legal rights and obligations; </w:t>
      </w:r>
    </w:p>
    <w:p w14:paraId="76EF2049" w14:textId="77777777" w:rsidR="009529E8" w:rsidRPr="009529E8" w:rsidRDefault="009529E8" w:rsidP="003A4621">
      <w:pPr>
        <w:numPr>
          <w:ilvl w:val="0"/>
          <w:numId w:val="5"/>
        </w:numPr>
        <w:spacing w:line="240" w:lineRule="auto"/>
        <w:jc w:val="both"/>
        <w:rPr>
          <w:sz w:val="28"/>
          <w:szCs w:val="28"/>
        </w:rPr>
      </w:pPr>
      <w:r w:rsidRPr="009529E8">
        <w:rPr>
          <w:sz w:val="28"/>
          <w:szCs w:val="28"/>
        </w:rPr>
        <w:t xml:space="preserve">assisting clients in any appropriate way and taking legal action to protect their interests; and </w:t>
      </w:r>
    </w:p>
    <w:p w14:paraId="4EB6784B" w14:textId="77777777" w:rsidR="009529E8" w:rsidRPr="009529E8" w:rsidRDefault="009529E8" w:rsidP="003A4621">
      <w:pPr>
        <w:numPr>
          <w:ilvl w:val="0"/>
          <w:numId w:val="5"/>
        </w:numPr>
        <w:spacing w:line="240" w:lineRule="auto"/>
        <w:jc w:val="both"/>
        <w:rPr>
          <w:sz w:val="28"/>
          <w:szCs w:val="28"/>
        </w:rPr>
      </w:pPr>
      <w:r w:rsidRPr="009529E8">
        <w:rPr>
          <w:sz w:val="28"/>
          <w:szCs w:val="28"/>
        </w:rPr>
        <w:t>representing clients before courts, tribunals, or administrative authorities, as appropriate.</w:t>
      </w:r>
      <w:r w:rsidRPr="009529E8">
        <w:rPr>
          <w:sz w:val="28"/>
          <w:szCs w:val="28"/>
          <w:vertAlign w:val="superscript"/>
        </w:rPr>
        <w:footnoteReference w:id="31"/>
      </w:r>
    </w:p>
    <w:p w14:paraId="4931C51D" w14:textId="77777777" w:rsidR="009529E8" w:rsidRPr="009529E8" w:rsidRDefault="009529E8" w:rsidP="003A4621">
      <w:pPr>
        <w:spacing w:line="240" w:lineRule="auto"/>
        <w:jc w:val="both"/>
        <w:rPr>
          <w:sz w:val="28"/>
          <w:szCs w:val="28"/>
        </w:rPr>
      </w:pPr>
      <w:r w:rsidRPr="009529E8">
        <w:rPr>
          <w:sz w:val="28"/>
          <w:szCs w:val="28"/>
        </w:rPr>
        <w:t xml:space="preserve">Lawyers must strive to uphold human rights and fundamental freedoms recognized by national and international law when protecting their clients' rights and promoting the cause of justice, and must always act freely and diligently in accordance with the law and recognized standards and ethics of the legal profession. </w:t>
      </w:r>
    </w:p>
    <w:p w14:paraId="1563CAA5" w14:textId="77777777" w:rsidR="009529E8" w:rsidRPr="009529E8" w:rsidRDefault="009529E8" w:rsidP="003A4621">
      <w:pPr>
        <w:spacing w:line="240" w:lineRule="auto"/>
        <w:jc w:val="both"/>
        <w:rPr>
          <w:sz w:val="28"/>
          <w:szCs w:val="28"/>
        </w:rPr>
      </w:pPr>
      <w:r w:rsidRPr="009529E8">
        <w:rPr>
          <w:sz w:val="28"/>
          <w:szCs w:val="28"/>
        </w:rPr>
        <w:t xml:space="preserve">They must always act in the best interests of their clients. </w:t>
      </w:r>
    </w:p>
    <w:p w14:paraId="3061DF01" w14:textId="77777777" w:rsidR="009529E8" w:rsidRPr="009529E8" w:rsidRDefault="009529E8" w:rsidP="003A4621">
      <w:pPr>
        <w:spacing w:line="240" w:lineRule="auto"/>
        <w:jc w:val="both"/>
        <w:rPr>
          <w:b/>
          <w:color w:val="5B9BD5" w:themeColor="accent5"/>
          <w:sz w:val="28"/>
          <w:szCs w:val="28"/>
        </w:rPr>
      </w:pPr>
      <w:r w:rsidRPr="009529E8">
        <w:rPr>
          <w:b/>
          <w:color w:val="5B9BD5" w:themeColor="accent5"/>
          <w:sz w:val="28"/>
          <w:szCs w:val="28"/>
        </w:rPr>
        <w:t>Guarantees for the functioning of lawyer.</w:t>
      </w:r>
    </w:p>
    <w:p w14:paraId="35B4F2A5" w14:textId="77777777" w:rsidR="009529E8" w:rsidRPr="009529E8" w:rsidRDefault="009529E8" w:rsidP="003A4621">
      <w:pPr>
        <w:spacing w:line="240" w:lineRule="auto"/>
        <w:jc w:val="both"/>
        <w:rPr>
          <w:sz w:val="28"/>
          <w:szCs w:val="28"/>
        </w:rPr>
      </w:pPr>
      <w:r w:rsidRPr="009529E8">
        <w:rPr>
          <w:sz w:val="28"/>
          <w:szCs w:val="28"/>
        </w:rPr>
        <w:t xml:space="preserve">Governments must ensure that lawyers can; </w:t>
      </w:r>
    </w:p>
    <w:p w14:paraId="79CD7024" w14:textId="77777777" w:rsidR="009529E8" w:rsidRPr="009529E8" w:rsidRDefault="009529E8" w:rsidP="003A4621">
      <w:pPr>
        <w:numPr>
          <w:ilvl w:val="0"/>
          <w:numId w:val="6"/>
        </w:numPr>
        <w:spacing w:line="240" w:lineRule="auto"/>
        <w:jc w:val="both"/>
        <w:rPr>
          <w:sz w:val="28"/>
          <w:szCs w:val="28"/>
        </w:rPr>
      </w:pPr>
      <w:r w:rsidRPr="009529E8">
        <w:rPr>
          <w:sz w:val="28"/>
          <w:szCs w:val="28"/>
        </w:rPr>
        <w:t xml:space="preserve">carry out all of their professional functions without fear of intimidation, harassment, or improper interference; </w:t>
      </w:r>
    </w:p>
    <w:p w14:paraId="59540ADD" w14:textId="77777777" w:rsidR="009529E8" w:rsidRPr="009529E8" w:rsidRDefault="009529E8" w:rsidP="003A4621">
      <w:pPr>
        <w:numPr>
          <w:ilvl w:val="0"/>
          <w:numId w:val="6"/>
        </w:numPr>
        <w:spacing w:line="240" w:lineRule="auto"/>
        <w:jc w:val="both"/>
        <w:rPr>
          <w:sz w:val="28"/>
          <w:szCs w:val="28"/>
        </w:rPr>
      </w:pPr>
      <w:r w:rsidRPr="009529E8">
        <w:rPr>
          <w:sz w:val="28"/>
          <w:szCs w:val="28"/>
        </w:rPr>
        <w:lastRenderedPageBreak/>
        <w:t xml:space="preserve">travel and consult with their clients freely both within and outside their country; and </w:t>
      </w:r>
    </w:p>
    <w:p w14:paraId="0831AECF" w14:textId="77777777" w:rsidR="009529E8" w:rsidRPr="009529E8" w:rsidRDefault="009529E8" w:rsidP="003A4621">
      <w:pPr>
        <w:numPr>
          <w:ilvl w:val="0"/>
          <w:numId w:val="6"/>
        </w:numPr>
        <w:spacing w:line="240" w:lineRule="auto"/>
        <w:jc w:val="both"/>
        <w:rPr>
          <w:sz w:val="28"/>
          <w:szCs w:val="28"/>
        </w:rPr>
      </w:pPr>
      <w:r w:rsidRPr="009529E8">
        <w:rPr>
          <w:sz w:val="28"/>
          <w:szCs w:val="28"/>
        </w:rPr>
        <w:t>are not prosecuted or threatened with administrative, economic, or other sanctions for actions taken in accordance with recognized professional duties, standards, and ethics.</w:t>
      </w:r>
      <w:r w:rsidRPr="009529E8">
        <w:rPr>
          <w:sz w:val="28"/>
          <w:szCs w:val="28"/>
          <w:vertAlign w:val="superscript"/>
        </w:rPr>
        <w:footnoteReference w:id="32"/>
      </w:r>
      <w:r w:rsidRPr="009529E8">
        <w:rPr>
          <w:sz w:val="28"/>
          <w:szCs w:val="28"/>
        </w:rPr>
        <w:t xml:space="preserve"> </w:t>
      </w:r>
    </w:p>
    <w:p w14:paraId="750BEB9A" w14:textId="77777777" w:rsidR="009529E8" w:rsidRPr="009529E8" w:rsidRDefault="009529E8" w:rsidP="003A4621">
      <w:pPr>
        <w:numPr>
          <w:ilvl w:val="0"/>
          <w:numId w:val="7"/>
        </w:numPr>
        <w:spacing w:line="240" w:lineRule="auto"/>
        <w:jc w:val="both"/>
        <w:rPr>
          <w:sz w:val="28"/>
          <w:szCs w:val="28"/>
        </w:rPr>
      </w:pPr>
      <w:r w:rsidRPr="009529E8">
        <w:rPr>
          <w:sz w:val="28"/>
          <w:szCs w:val="28"/>
        </w:rPr>
        <w:t xml:space="preserve">When the security of lawyers is jeopardized as a result of doing their duties, the authorities must provide necessary protection. </w:t>
      </w:r>
    </w:p>
    <w:p w14:paraId="655A59D2" w14:textId="77777777" w:rsidR="009529E8" w:rsidRPr="009529E8" w:rsidRDefault="009529E8" w:rsidP="003A4621">
      <w:pPr>
        <w:numPr>
          <w:ilvl w:val="0"/>
          <w:numId w:val="7"/>
        </w:numPr>
        <w:spacing w:line="240" w:lineRule="auto"/>
        <w:jc w:val="both"/>
        <w:rPr>
          <w:sz w:val="28"/>
          <w:szCs w:val="28"/>
        </w:rPr>
      </w:pPr>
      <w:r w:rsidRPr="009529E8">
        <w:rPr>
          <w:sz w:val="28"/>
          <w:szCs w:val="28"/>
        </w:rPr>
        <w:t xml:space="preserve">As a result of doing their duties, they are not to be associated with their clients or their causes. </w:t>
      </w:r>
    </w:p>
    <w:p w14:paraId="5634B643" w14:textId="77777777" w:rsidR="009529E8" w:rsidRPr="009529E8" w:rsidRDefault="009529E8" w:rsidP="003A4621">
      <w:pPr>
        <w:numPr>
          <w:ilvl w:val="0"/>
          <w:numId w:val="7"/>
        </w:numPr>
        <w:spacing w:line="240" w:lineRule="auto"/>
        <w:jc w:val="both"/>
        <w:rPr>
          <w:sz w:val="28"/>
          <w:szCs w:val="28"/>
        </w:rPr>
      </w:pPr>
      <w:r w:rsidRPr="009529E8">
        <w:rPr>
          <w:sz w:val="28"/>
          <w:szCs w:val="28"/>
        </w:rPr>
        <w:t xml:space="preserve">No court or administrative authority that recognizes the right to counsel may refuse to recognize a lawyer's right to appear on behalf of a client unless that lawyer has been disqualified in line with national law and practice and in accordance with these principles. </w:t>
      </w:r>
    </w:p>
    <w:p w14:paraId="3F411489" w14:textId="77777777" w:rsidR="009529E8" w:rsidRPr="009529E8" w:rsidRDefault="009529E8" w:rsidP="003A4621">
      <w:pPr>
        <w:numPr>
          <w:ilvl w:val="0"/>
          <w:numId w:val="7"/>
        </w:numPr>
        <w:spacing w:line="240" w:lineRule="auto"/>
        <w:jc w:val="both"/>
        <w:rPr>
          <w:sz w:val="28"/>
          <w:szCs w:val="28"/>
        </w:rPr>
      </w:pPr>
      <w:r w:rsidRPr="009529E8">
        <w:rPr>
          <w:sz w:val="28"/>
          <w:szCs w:val="28"/>
        </w:rPr>
        <w:t xml:space="preserve">For relevant remarks made in good faith in written or oral pleadings or in professional appearances before a court, tribunal, or other legal or administrative authority, lawyers are entitled to civil and criminal immunity. </w:t>
      </w:r>
    </w:p>
    <w:p w14:paraId="3EBDB0B3" w14:textId="37A7CBA0" w:rsidR="009529E8" w:rsidRPr="009529E8" w:rsidRDefault="009529E8" w:rsidP="003A4621">
      <w:pPr>
        <w:numPr>
          <w:ilvl w:val="0"/>
          <w:numId w:val="7"/>
        </w:numPr>
        <w:spacing w:line="240" w:lineRule="auto"/>
        <w:jc w:val="both"/>
        <w:rPr>
          <w:sz w:val="28"/>
          <w:szCs w:val="28"/>
        </w:rPr>
      </w:pPr>
      <w:r w:rsidRPr="009529E8">
        <w:rPr>
          <w:sz w:val="28"/>
          <w:szCs w:val="28"/>
        </w:rPr>
        <w:t>Thus, it is the responsibility of competent authorities to guarantee that lawyers have timely access to suitable information, files, and documents in their ownership or control so that they can give effective legal aid to their clients. Such access should be made available as soon as possible. It is the responsibility of competent authorities to guarantee that lawyers have timely access to suitable information, files, and documents in their ownership or control so that they can give effective legal aid to their clients. Such access should be made available as soon as possible.</w:t>
      </w:r>
      <w:r w:rsidRPr="009529E8">
        <w:rPr>
          <w:sz w:val="28"/>
          <w:szCs w:val="28"/>
          <w:vertAlign w:val="superscript"/>
        </w:rPr>
        <w:footnoteReference w:id="33"/>
      </w:r>
    </w:p>
    <w:p w14:paraId="0FEAE700" w14:textId="753E18E3" w:rsidR="006D02CD" w:rsidRDefault="009529E8" w:rsidP="003A4621">
      <w:pPr>
        <w:numPr>
          <w:ilvl w:val="0"/>
          <w:numId w:val="7"/>
        </w:numPr>
        <w:spacing w:line="240" w:lineRule="auto"/>
        <w:jc w:val="both"/>
        <w:rPr>
          <w:sz w:val="28"/>
          <w:szCs w:val="28"/>
        </w:rPr>
      </w:pPr>
      <w:r w:rsidRPr="009529E8">
        <w:rPr>
          <w:sz w:val="28"/>
          <w:szCs w:val="28"/>
        </w:rPr>
        <w:t>Governments must recognize and protect the confidentiality of all communications and consultations between lawyers and their clients during the course of their professional relationship.</w:t>
      </w:r>
    </w:p>
    <w:p w14:paraId="0F7E4E92" w14:textId="77777777" w:rsidR="00D93436" w:rsidRDefault="00D93436" w:rsidP="003A4621">
      <w:pPr>
        <w:spacing w:line="240" w:lineRule="auto"/>
        <w:jc w:val="both"/>
        <w:rPr>
          <w:b/>
          <w:bCs/>
          <w:color w:val="5B9BD5" w:themeColor="accent5"/>
          <w:sz w:val="28"/>
          <w:szCs w:val="28"/>
        </w:rPr>
      </w:pPr>
    </w:p>
    <w:p w14:paraId="33A3448D" w14:textId="77777777" w:rsidR="00D93436" w:rsidRDefault="00D93436" w:rsidP="003A4621">
      <w:pPr>
        <w:spacing w:line="240" w:lineRule="auto"/>
        <w:jc w:val="both"/>
        <w:rPr>
          <w:b/>
          <w:bCs/>
          <w:color w:val="5B9BD5" w:themeColor="accent5"/>
          <w:sz w:val="28"/>
          <w:szCs w:val="28"/>
        </w:rPr>
      </w:pPr>
    </w:p>
    <w:p w14:paraId="4E9E320F" w14:textId="77777777" w:rsidR="00D93436" w:rsidRDefault="00D93436" w:rsidP="003A4621">
      <w:pPr>
        <w:spacing w:line="240" w:lineRule="auto"/>
        <w:jc w:val="both"/>
        <w:rPr>
          <w:b/>
          <w:bCs/>
          <w:color w:val="5B9BD5" w:themeColor="accent5"/>
          <w:sz w:val="28"/>
          <w:szCs w:val="28"/>
        </w:rPr>
      </w:pPr>
    </w:p>
    <w:p w14:paraId="6A4DAE6E" w14:textId="19899823" w:rsidR="006D02CD" w:rsidRDefault="006D02CD" w:rsidP="003A4621">
      <w:pPr>
        <w:spacing w:line="240" w:lineRule="auto"/>
        <w:jc w:val="both"/>
        <w:rPr>
          <w:b/>
          <w:bCs/>
          <w:color w:val="5B9BD5" w:themeColor="accent5"/>
          <w:sz w:val="28"/>
          <w:szCs w:val="28"/>
        </w:rPr>
      </w:pPr>
      <w:r w:rsidRPr="006D02CD">
        <w:rPr>
          <w:b/>
          <w:bCs/>
          <w:color w:val="5B9BD5" w:themeColor="accent5"/>
          <w:sz w:val="28"/>
          <w:szCs w:val="28"/>
        </w:rPr>
        <w:lastRenderedPageBreak/>
        <w:t>Question 3.</w:t>
      </w:r>
    </w:p>
    <w:p w14:paraId="472A9213" w14:textId="77777777" w:rsidR="006D02CD" w:rsidRPr="006D02CD" w:rsidRDefault="006D02CD" w:rsidP="003A4621">
      <w:pPr>
        <w:spacing w:line="240" w:lineRule="auto"/>
        <w:jc w:val="both"/>
        <w:rPr>
          <w:b/>
          <w:bCs/>
          <w:color w:val="5B9BD5" w:themeColor="accent5"/>
          <w:sz w:val="28"/>
          <w:szCs w:val="28"/>
        </w:rPr>
      </w:pPr>
      <w:r w:rsidRPr="006D02CD">
        <w:rPr>
          <w:b/>
          <w:bCs/>
          <w:color w:val="5B9BD5" w:themeColor="accent5"/>
          <w:sz w:val="28"/>
          <w:szCs w:val="28"/>
        </w:rPr>
        <w:t>Define; Solicitor, Barrister, Learned Friend.</w:t>
      </w:r>
    </w:p>
    <w:p w14:paraId="6AB4BA1D" w14:textId="77777777" w:rsidR="006D02CD" w:rsidRPr="006D02CD" w:rsidRDefault="006D02CD" w:rsidP="003A4621">
      <w:pPr>
        <w:spacing w:line="240" w:lineRule="auto"/>
        <w:jc w:val="both"/>
        <w:rPr>
          <w:b/>
          <w:bCs/>
          <w:sz w:val="28"/>
          <w:szCs w:val="28"/>
        </w:rPr>
      </w:pPr>
      <w:r w:rsidRPr="006D02CD">
        <w:rPr>
          <w:b/>
          <w:bCs/>
          <w:sz w:val="28"/>
          <w:szCs w:val="28"/>
        </w:rPr>
        <w:t>BARRISTER.</w:t>
      </w:r>
    </w:p>
    <w:p w14:paraId="3254D981" w14:textId="77777777" w:rsidR="006D02CD" w:rsidRPr="004D2E92" w:rsidRDefault="006D02CD" w:rsidP="003A4621">
      <w:pPr>
        <w:spacing w:line="240" w:lineRule="auto"/>
        <w:jc w:val="both"/>
        <w:rPr>
          <w:sz w:val="28"/>
          <w:szCs w:val="28"/>
        </w:rPr>
      </w:pPr>
      <w:r w:rsidRPr="004D2E92">
        <w:rPr>
          <w:sz w:val="28"/>
          <w:szCs w:val="28"/>
        </w:rPr>
        <w:t>A barrister is a lawyer, duly qualified, who represents clients and appear in court.  He or she is don’t deal with the client directly, but is engaged by a solicitor. Clients instruct a solicitor and a solicitor instruct a barrister.</w:t>
      </w:r>
      <w:r w:rsidRPr="004D2E92">
        <w:rPr>
          <w:sz w:val="28"/>
          <w:szCs w:val="28"/>
          <w:vertAlign w:val="superscript"/>
        </w:rPr>
        <w:footnoteReference w:id="34"/>
      </w:r>
    </w:p>
    <w:p w14:paraId="476758AE" w14:textId="77777777" w:rsidR="003A4621" w:rsidRDefault="006D02CD" w:rsidP="003A4621">
      <w:pPr>
        <w:spacing w:line="240" w:lineRule="auto"/>
        <w:jc w:val="both"/>
        <w:rPr>
          <w:b/>
          <w:bCs/>
          <w:sz w:val="28"/>
          <w:szCs w:val="28"/>
        </w:rPr>
      </w:pPr>
      <w:r w:rsidRPr="006D02CD">
        <w:rPr>
          <w:b/>
          <w:bCs/>
          <w:sz w:val="28"/>
          <w:szCs w:val="28"/>
        </w:rPr>
        <w:t>SOLICITOR</w:t>
      </w:r>
    </w:p>
    <w:p w14:paraId="4C8E416A" w14:textId="7893566C" w:rsidR="006D02CD" w:rsidRPr="004D2E92" w:rsidRDefault="006D02CD" w:rsidP="003A4621">
      <w:pPr>
        <w:spacing w:line="240" w:lineRule="auto"/>
        <w:jc w:val="both"/>
        <w:rPr>
          <w:sz w:val="28"/>
          <w:szCs w:val="28"/>
        </w:rPr>
      </w:pPr>
      <w:r w:rsidRPr="004D2E92">
        <w:rPr>
          <w:sz w:val="28"/>
          <w:szCs w:val="28"/>
        </w:rPr>
        <w:t xml:space="preserve">A solicitor is a lawyer duly qualified, who is instructed by the client to take a </w:t>
      </w:r>
      <w:r w:rsidR="003A4621" w:rsidRPr="004D2E92">
        <w:rPr>
          <w:sz w:val="28"/>
          <w:szCs w:val="28"/>
        </w:rPr>
        <w:t>brief, prepare pleadings, give</w:t>
      </w:r>
      <w:r w:rsidRPr="004D2E92">
        <w:rPr>
          <w:sz w:val="28"/>
          <w:szCs w:val="28"/>
        </w:rPr>
        <w:t xml:space="preserve"> legal opinions and to decide if and when a case is to be taken to court.</w:t>
      </w:r>
      <w:r w:rsidRPr="004D2E92">
        <w:rPr>
          <w:sz w:val="28"/>
          <w:szCs w:val="28"/>
          <w:vertAlign w:val="superscript"/>
        </w:rPr>
        <w:footnoteReference w:id="35"/>
      </w:r>
    </w:p>
    <w:p w14:paraId="70B97F90" w14:textId="62C1F755" w:rsidR="006D02CD" w:rsidRDefault="003A4621" w:rsidP="003A4621">
      <w:pPr>
        <w:spacing w:line="240" w:lineRule="auto"/>
        <w:jc w:val="both"/>
        <w:rPr>
          <w:b/>
          <w:bCs/>
          <w:sz w:val="28"/>
          <w:szCs w:val="28"/>
        </w:rPr>
      </w:pPr>
      <w:r w:rsidRPr="003A4621">
        <w:rPr>
          <w:b/>
          <w:bCs/>
          <w:sz w:val="28"/>
          <w:szCs w:val="28"/>
        </w:rPr>
        <w:t>LEANERD FRIEND.</w:t>
      </w:r>
    </w:p>
    <w:p w14:paraId="48E15A06" w14:textId="77777777" w:rsidR="003A4621" w:rsidRPr="004D2E92" w:rsidRDefault="003A4621" w:rsidP="003A4621">
      <w:pPr>
        <w:spacing w:line="240" w:lineRule="auto"/>
        <w:jc w:val="both"/>
        <w:rPr>
          <w:sz w:val="28"/>
          <w:szCs w:val="28"/>
          <w:u w:val="single"/>
        </w:rPr>
      </w:pPr>
      <w:r w:rsidRPr="004D2E92">
        <w:rPr>
          <w:sz w:val="28"/>
          <w:szCs w:val="28"/>
        </w:rPr>
        <w:t xml:space="preserve">Learned friend refers to the term used by a lawyer to refer to another </w:t>
      </w:r>
      <w:r w:rsidRPr="004D2E92">
        <w:rPr>
          <w:sz w:val="28"/>
          <w:szCs w:val="28"/>
          <w:u w:val="single"/>
        </w:rPr>
        <w:t>lawyer</w:t>
      </w:r>
      <w:r w:rsidRPr="004D2E92">
        <w:rPr>
          <w:sz w:val="28"/>
          <w:szCs w:val="28"/>
        </w:rPr>
        <w:t>.</w:t>
      </w:r>
      <w:r w:rsidRPr="004D2E92">
        <w:rPr>
          <w:sz w:val="28"/>
          <w:szCs w:val="28"/>
          <w:vertAlign w:val="superscript"/>
        </w:rPr>
        <w:footnoteReference w:id="36"/>
      </w:r>
    </w:p>
    <w:p w14:paraId="463A55D7" w14:textId="77777777" w:rsidR="003A4621" w:rsidRPr="004D2E92" w:rsidRDefault="003A4621" w:rsidP="003A4621">
      <w:pPr>
        <w:spacing w:line="240" w:lineRule="auto"/>
        <w:jc w:val="both"/>
        <w:rPr>
          <w:sz w:val="28"/>
          <w:szCs w:val="28"/>
        </w:rPr>
      </w:pPr>
    </w:p>
    <w:p w14:paraId="7E4883A1" w14:textId="77777777" w:rsidR="006D02CD" w:rsidRPr="009529E8" w:rsidRDefault="006D02CD" w:rsidP="003A4621">
      <w:pPr>
        <w:spacing w:line="240" w:lineRule="auto"/>
        <w:jc w:val="both"/>
        <w:rPr>
          <w:sz w:val="28"/>
          <w:szCs w:val="28"/>
        </w:rPr>
      </w:pPr>
    </w:p>
    <w:p w14:paraId="3CD499AB" w14:textId="77777777" w:rsidR="009529E8" w:rsidRPr="00F4592A" w:rsidRDefault="009529E8" w:rsidP="003A4621">
      <w:pPr>
        <w:spacing w:line="240" w:lineRule="auto"/>
        <w:jc w:val="both"/>
        <w:rPr>
          <w:sz w:val="28"/>
          <w:szCs w:val="28"/>
        </w:rPr>
      </w:pPr>
    </w:p>
    <w:p w14:paraId="5DB08533" w14:textId="77777777" w:rsidR="00F4592A" w:rsidRPr="00F4592A" w:rsidRDefault="00F4592A" w:rsidP="003A4621">
      <w:pPr>
        <w:spacing w:line="240" w:lineRule="auto"/>
        <w:jc w:val="both"/>
        <w:rPr>
          <w:color w:val="00B0F0"/>
          <w:sz w:val="28"/>
          <w:szCs w:val="28"/>
        </w:rPr>
      </w:pPr>
    </w:p>
    <w:p w14:paraId="04DABDAE" w14:textId="77777777" w:rsidR="004C190C" w:rsidRPr="0008057D" w:rsidRDefault="004C190C" w:rsidP="003A4621">
      <w:pPr>
        <w:spacing w:line="240" w:lineRule="auto"/>
        <w:jc w:val="both"/>
        <w:rPr>
          <w:color w:val="00B0F0"/>
          <w:sz w:val="28"/>
          <w:szCs w:val="28"/>
          <w:lang w:val="en-GB"/>
        </w:rPr>
      </w:pPr>
    </w:p>
    <w:p w14:paraId="296571C3" w14:textId="77777777" w:rsidR="0008057D" w:rsidRPr="0008057D" w:rsidRDefault="0008057D" w:rsidP="003A4621">
      <w:pPr>
        <w:spacing w:line="240" w:lineRule="auto"/>
        <w:jc w:val="both"/>
        <w:rPr>
          <w:sz w:val="28"/>
          <w:szCs w:val="28"/>
          <w:lang w:val="en-GB"/>
        </w:rPr>
      </w:pPr>
    </w:p>
    <w:p w14:paraId="3671E012" w14:textId="77777777" w:rsidR="0008057D" w:rsidRPr="00B16836" w:rsidRDefault="0008057D" w:rsidP="003A4621">
      <w:pPr>
        <w:spacing w:line="240" w:lineRule="auto"/>
        <w:jc w:val="both"/>
        <w:rPr>
          <w:sz w:val="28"/>
          <w:szCs w:val="28"/>
        </w:rPr>
      </w:pPr>
    </w:p>
    <w:p w14:paraId="26AFA7BE" w14:textId="77777777" w:rsidR="00B16836" w:rsidRPr="00B16836" w:rsidRDefault="00B16836" w:rsidP="003A4621">
      <w:pPr>
        <w:spacing w:line="240" w:lineRule="auto"/>
        <w:jc w:val="both"/>
        <w:rPr>
          <w:sz w:val="28"/>
          <w:szCs w:val="28"/>
        </w:rPr>
      </w:pPr>
    </w:p>
    <w:sectPr w:rsidR="00B16836" w:rsidRPr="00B168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4622F" w14:textId="77777777" w:rsidR="00C66145" w:rsidRDefault="00C66145" w:rsidP="00B16836">
      <w:pPr>
        <w:spacing w:after="0" w:line="240" w:lineRule="auto"/>
      </w:pPr>
      <w:r>
        <w:separator/>
      </w:r>
    </w:p>
  </w:endnote>
  <w:endnote w:type="continuationSeparator" w:id="0">
    <w:p w14:paraId="424E3485" w14:textId="77777777" w:rsidR="00C66145" w:rsidRDefault="00C66145" w:rsidP="00B16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01571" w14:textId="77777777" w:rsidR="00C66145" w:rsidRDefault="00C66145" w:rsidP="00B16836">
      <w:pPr>
        <w:spacing w:after="0" w:line="240" w:lineRule="auto"/>
      </w:pPr>
      <w:r>
        <w:separator/>
      </w:r>
    </w:p>
  </w:footnote>
  <w:footnote w:type="continuationSeparator" w:id="0">
    <w:p w14:paraId="3AC8F95B" w14:textId="77777777" w:rsidR="00C66145" w:rsidRDefault="00C66145" w:rsidP="00B16836">
      <w:pPr>
        <w:spacing w:after="0" w:line="240" w:lineRule="auto"/>
      </w:pPr>
      <w:r>
        <w:continuationSeparator/>
      </w:r>
    </w:p>
  </w:footnote>
  <w:footnote w:id="1">
    <w:p w14:paraId="20B0EAA6" w14:textId="77777777" w:rsidR="00B16836" w:rsidRDefault="00B16836" w:rsidP="00B16836">
      <w:pPr>
        <w:pStyle w:val="FootnoteText"/>
      </w:pPr>
      <w:r>
        <w:rPr>
          <w:rStyle w:val="FootnoteReference"/>
        </w:rPr>
        <w:footnoteRef/>
      </w:r>
      <w:hyperlink r:id="rId1" w:history="1">
        <w:r w:rsidRPr="00D01E52">
          <w:rPr>
            <w:rStyle w:val="Hyperlink"/>
          </w:rPr>
          <w:t>https://www.academia.edu/36136133/HISTORY_OF_TRIAL_ADVOCACY_IN_GREECE_ROME_ENGLAND_AND_KENYA_BY_FREDRICK_OCHANDA_AGWEL1</w:t>
        </w:r>
      </w:hyperlink>
      <w:r>
        <w:t xml:space="preserve"> </w:t>
      </w:r>
      <w:proofErr w:type="gramStart"/>
      <w:r>
        <w:t>( accessed</w:t>
      </w:r>
      <w:proofErr w:type="gramEnd"/>
      <w:r>
        <w:t xml:space="preserve"> on 25</w:t>
      </w:r>
      <w:r w:rsidRPr="002851AD">
        <w:rPr>
          <w:vertAlign w:val="superscript"/>
        </w:rPr>
        <w:t>th</w:t>
      </w:r>
      <w:r>
        <w:t xml:space="preserve"> April 2022).</w:t>
      </w:r>
    </w:p>
  </w:footnote>
  <w:footnote w:id="2">
    <w:p w14:paraId="3E26B420" w14:textId="77777777" w:rsidR="00B16836" w:rsidRDefault="00B16836" w:rsidP="00B16836">
      <w:pPr>
        <w:pStyle w:val="FootnoteText"/>
      </w:pPr>
      <w:r>
        <w:rPr>
          <w:rStyle w:val="FootnoteReference"/>
        </w:rPr>
        <w:footnoteRef/>
      </w:r>
      <w:hyperlink r:id="rId2" w:history="1">
        <w:r w:rsidRPr="00D01E52">
          <w:rPr>
            <w:rStyle w:val="Hyperlink"/>
          </w:rPr>
          <w:t>https://www.academia.edu/36136133/HISTORY_OF_TRIAL_ADVOCACY_IN_GREECE_ROME_ENGLAND_AND_KENYA_BY_FREDRICK_OCHANDA_AGWEL1</w:t>
        </w:r>
      </w:hyperlink>
      <w:r>
        <w:t xml:space="preserve"> </w:t>
      </w:r>
      <w:proofErr w:type="gramStart"/>
      <w:r>
        <w:t>( accessed</w:t>
      </w:r>
      <w:proofErr w:type="gramEnd"/>
      <w:r>
        <w:t xml:space="preserve"> on 25</w:t>
      </w:r>
      <w:r w:rsidRPr="002851AD">
        <w:rPr>
          <w:vertAlign w:val="superscript"/>
        </w:rPr>
        <w:t>th</w:t>
      </w:r>
      <w:r>
        <w:t xml:space="preserve"> April 2022)</w:t>
      </w:r>
    </w:p>
  </w:footnote>
  <w:footnote w:id="3">
    <w:p w14:paraId="6DD916F3" w14:textId="77777777" w:rsidR="00B16836" w:rsidRDefault="00B16836" w:rsidP="00B16836">
      <w:pPr>
        <w:pStyle w:val="FootnoteText"/>
      </w:pPr>
      <w:r>
        <w:rPr>
          <w:rStyle w:val="FootnoteReference"/>
        </w:rPr>
        <w:footnoteRef/>
      </w:r>
      <w:r>
        <w:t xml:space="preserve"> </w:t>
      </w:r>
      <w:r w:rsidRPr="002851AD">
        <w:t>Virginia Law Review, Nov., 1922, Vol. 9, No. 1 (Nov., 1922), pp. 25-40</w:t>
      </w:r>
    </w:p>
  </w:footnote>
  <w:footnote w:id="4">
    <w:p w14:paraId="3C5254A0" w14:textId="77777777" w:rsidR="00B16836" w:rsidRDefault="00B16836" w:rsidP="00B16836">
      <w:pPr>
        <w:pStyle w:val="FootnoteText"/>
      </w:pPr>
      <w:r>
        <w:rPr>
          <w:rStyle w:val="FootnoteReference"/>
        </w:rPr>
        <w:footnoteRef/>
      </w:r>
      <w:r>
        <w:t xml:space="preserve"> </w:t>
      </w:r>
      <w:r w:rsidRPr="00BE1435">
        <w:t>Virginia Law Review, Nov., 1922, Vol. 9, No. 1 (Nov., 1922), pp. 25-40</w:t>
      </w:r>
    </w:p>
  </w:footnote>
  <w:footnote w:id="5">
    <w:p w14:paraId="3D854AC7" w14:textId="77777777" w:rsidR="00B16836" w:rsidRDefault="00B16836" w:rsidP="00B16836">
      <w:pPr>
        <w:pStyle w:val="FootnoteText"/>
      </w:pPr>
      <w:r>
        <w:rPr>
          <w:rStyle w:val="FootnoteReference"/>
        </w:rPr>
        <w:footnoteRef/>
      </w:r>
      <w:r>
        <w:t xml:space="preserve"> </w:t>
      </w:r>
      <w:r w:rsidRPr="00BE1435">
        <w:t>Anton-Hermann Chroust, Legal Profession in Ancient Athens, 29 Notre Dame L. Rev. 339 (1954).</w:t>
      </w:r>
    </w:p>
  </w:footnote>
  <w:footnote w:id="6">
    <w:p w14:paraId="35B9F382" w14:textId="77777777" w:rsidR="005E1757" w:rsidRDefault="005E1757" w:rsidP="005E1757">
      <w:pPr>
        <w:pStyle w:val="NormalWeb"/>
        <w:spacing w:after="0"/>
      </w:pPr>
      <w:r>
        <w:rPr>
          <w:rStyle w:val="FootnoteReference"/>
        </w:rPr>
        <w:footnoteRef/>
      </w:r>
      <w:r>
        <w:t xml:space="preserve"> </w:t>
      </w:r>
      <w:r>
        <w:rPr>
          <w:rFonts w:ascii="Calibri" w:hAnsi="Calibri" w:cs="Calibri"/>
          <w:color w:val="000000"/>
          <w:sz w:val="20"/>
          <w:szCs w:val="20"/>
        </w:rPr>
        <w:t xml:space="preserve">Timberlake E.W. Jr, ‘Origin and Development of Advocacy as a Profession’ (1922) Vol. 9(1) No. 1 VLR 25. </w:t>
      </w:r>
      <w:hyperlink r:id="rId3" w:anchor="metadata_info_tab_contents" w:history="1">
        <w:r>
          <w:rPr>
            <w:rStyle w:val="Hyperlink"/>
            <w:rFonts w:ascii="Calibri" w:hAnsi="Calibri" w:cs="Calibri"/>
            <w:color w:val="1155CC"/>
            <w:sz w:val="20"/>
            <w:szCs w:val="20"/>
          </w:rPr>
          <w:t>https://www.jstor.org/stable/1065786?seq=1#metadata_info_tab_contents</w:t>
        </w:r>
      </w:hyperlink>
      <w:r>
        <w:rPr>
          <w:rFonts w:ascii="Calibri" w:hAnsi="Calibri" w:cs="Calibri"/>
          <w:color w:val="000000"/>
          <w:sz w:val="20"/>
          <w:szCs w:val="20"/>
        </w:rPr>
        <w:t xml:space="preserve"> accessed 22 April 2022.</w:t>
      </w:r>
    </w:p>
    <w:p w14:paraId="39BF9B8B" w14:textId="77777777" w:rsidR="005E1757" w:rsidRDefault="005E1757" w:rsidP="005E1757">
      <w:pPr>
        <w:pStyle w:val="FootnoteText"/>
      </w:pPr>
    </w:p>
  </w:footnote>
  <w:footnote w:id="7">
    <w:p w14:paraId="06BEEAC2" w14:textId="77777777" w:rsidR="005E1757" w:rsidRPr="00880144" w:rsidRDefault="005E1757" w:rsidP="005E1757">
      <w:pPr>
        <w:pStyle w:val="FootnoteText"/>
        <w:rPr>
          <w:rFonts w:ascii="Calibri" w:hAnsi="Calibri" w:cs="Calibri"/>
        </w:rPr>
      </w:pPr>
      <w:r>
        <w:rPr>
          <w:rStyle w:val="FootnoteReference"/>
        </w:rPr>
        <w:footnoteRef/>
      </w:r>
      <w:r>
        <w:t xml:space="preserve"> </w:t>
      </w:r>
      <w:r>
        <w:rPr>
          <w:rFonts w:ascii="Calibri" w:hAnsi="Calibri" w:cs="Calibri"/>
        </w:rPr>
        <w:t>Ibid.</w:t>
      </w:r>
    </w:p>
  </w:footnote>
  <w:footnote w:id="8">
    <w:p w14:paraId="6540BDFC" w14:textId="77777777" w:rsidR="005E1757" w:rsidRPr="00880144" w:rsidRDefault="005E1757" w:rsidP="005E1757">
      <w:pPr>
        <w:pStyle w:val="FootnoteText"/>
        <w:rPr>
          <w:rFonts w:ascii="Calibri" w:hAnsi="Calibri" w:cs="Calibri"/>
        </w:rPr>
      </w:pPr>
      <w:r>
        <w:rPr>
          <w:rStyle w:val="FootnoteReference"/>
        </w:rPr>
        <w:footnoteRef/>
      </w:r>
      <w:r>
        <w:t xml:space="preserve"> </w:t>
      </w:r>
      <w:r>
        <w:rPr>
          <w:rFonts w:ascii="Calibri" w:hAnsi="Calibri" w:cs="Calibri"/>
        </w:rPr>
        <w:t>Ibid.</w:t>
      </w:r>
    </w:p>
  </w:footnote>
  <w:footnote w:id="9">
    <w:p w14:paraId="33CA07B4"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 xml:space="preserve">Anton-Hermann </w:t>
      </w:r>
      <w:proofErr w:type="spellStart"/>
      <w:r>
        <w:rPr>
          <w:rFonts w:ascii="Calibri" w:eastAsia="Calibri" w:hAnsi="Calibri" w:cs="Calibri"/>
          <w:sz w:val="20"/>
          <w:szCs w:val="20"/>
        </w:rPr>
        <w:t>Chroust</w:t>
      </w:r>
      <w:proofErr w:type="spellEnd"/>
      <w:r>
        <w:rPr>
          <w:rFonts w:ascii="Calibri" w:eastAsia="Calibri" w:hAnsi="Calibri" w:cs="Calibri"/>
          <w:sz w:val="20"/>
          <w:szCs w:val="20"/>
        </w:rPr>
        <w:t xml:space="preserve">, ‘Legal Profession during the Middle Ages: The Emergence of the English Lawyer Prior to 1400’ (NDLR, 1956) </w:t>
      </w:r>
      <w:hyperlink r:id="rId4">
        <w:r>
          <w:rPr>
            <w:rFonts w:ascii="Calibri" w:eastAsia="Calibri" w:hAnsi="Calibri" w:cs="Calibri"/>
            <w:color w:val="1155CC"/>
            <w:sz w:val="20"/>
            <w:szCs w:val="20"/>
            <w:u w:val="single"/>
          </w:rPr>
          <w:t>https://scholarship.law.nd.edu/cgi/viewcontent.cgi?article=3644&amp;context=ndlr</w:t>
        </w:r>
      </w:hyperlink>
      <w:r>
        <w:rPr>
          <w:rFonts w:ascii="Calibri" w:eastAsia="Calibri" w:hAnsi="Calibri" w:cs="Calibri"/>
          <w:sz w:val="20"/>
          <w:szCs w:val="20"/>
        </w:rPr>
        <w:t xml:space="preserve"> accessed 22 April 2022.</w:t>
      </w:r>
    </w:p>
  </w:footnote>
  <w:footnote w:id="10">
    <w:p w14:paraId="68965144"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 xml:space="preserve">Timberlake E.W. Jr, ‘Origin and Development of Advocacy as a Profession’ (1922) Vol. 9(1) No. 1 VLR 25. </w:t>
      </w:r>
      <w:hyperlink r:id="rId5" w:anchor="metadata_info_tab_contents">
        <w:r>
          <w:rPr>
            <w:rFonts w:ascii="Calibri" w:eastAsia="Calibri" w:hAnsi="Calibri" w:cs="Calibri"/>
            <w:color w:val="1155CC"/>
            <w:sz w:val="20"/>
            <w:szCs w:val="20"/>
            <w:u w:val="single"/>
          </w:rPr>
          <w:t>https://www.jstor.org/stable/1065786?seq=1#metadata_info_tab_contents</w:t>
        </w:r>
      </w:hyperlink>
      <w:r>
        <w:rPr>
          <w:rFonts w:ascii="Calibri" w:eastAsia="Calibri" w:hAnsi="Calibri" w:cs="Calibri"/>
          <w:sz w:val="20"/>
          <w:szCs w:val="20"/>
        </w:rPr>
        <w:t xml:space="preserve"> accessed 22 April 2022.</w:t>
      </w:r>
    </w:p>
  </w:footnote>
  <w:footnote w:id="11">
    <w:p w14:paraId="69B8857A"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Ibid (n 1).</w:t>
      </w:r>
    </w:p>
  </w:footnote>
  <w:footnote w:id="12">
    <w:p w14:paraId="66E5891C"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Ibid.</w:t>
      </w:r>
    </w:p>
  </w:footnote>
  <w:footnote w:id="13">
    <w:p w14:paraId="0EC9F7AD"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Ibid (n 2).</w:t>
      </w:r>
    </w:p>
  </w:footnote>
  <w:footnote w:id="14">
    <w:p w14:paraId="752F6F07" w14:textId="77777777" w:rsidR="0008057D" w:rsidRDefault="0008057D" w:rsidP="0008057D">
      <w:pPr>
        <w:spacing w:line="240" w:lineRule="auto"/>
        <w:rPr>
          <w:rFonts w:ascii="Calibri" w:eastAsia="Calibri" w:hAnsi="Calibri" w:cs="Calibri"/>
          <w:sz w:val="20"/>
          <w:szCs w:val="20"/>
        </w:rPr>
      </w:pPr>
      <w:r>
        <w:rPr>
          <w:vertAlign w:val="superscript"/>
        </w:rPr>
        <w:footnoteRef/>
      </w:r>
      <w:r>
        <w:rPr>
          <w:rFonts w:ascii="Calibri" w:eastAsia="Calibri" w:hAnsi="Calibri" w:cs="Calibri"/>
          <w:sz w:val="20"/>
          <w:szCs w:val="20"/>
        </w:rPr>
        <w:t xml:space="preserve"> </w:t>
      </w:r>
      <w:hyperlink r:id="rId6">
        <w:r>
          <w:rPr>
            <w:rFonts w:ascii="Calibri" w:eastAsia="Calibri" w:hAnsi="Calibri" w:cs="Calibri"/>
            <w:color w:val="1155CC"/>
            <w:sz w:val="20"/>
            <w:szCs w:val="20"/>
            <w:u w:val="single"/>
          </w:rPr>
          <w:t>https://www.lawsociety.org.uk/</w:t>
        </w:r>
      </w:hyperlink>
      <w:r>
        <w:rPr>
          <w:rFonts w:ascii="Calibri" w:eastAsia="Calibri" w:hAnsi="Calibri" w:cs="Calibri"/>
          <w:sz w:val="20"/>
          <w:szCs w:val="20"/>
        </w:rPr>
        <w:t xml:space="preserve">  accessed on 22 April 2022.</w:t>
      </w:r>
    </w:p>
  </w:footnote>
  <w:footnote w:id="15">
    <w:p w14:paraId="37C34ED0"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 xml:space="preserve">Midland Bank Trust </w:t>
      </w:r>
      <w:proofErr w:type="spellStart"/>
      <w:r>
        <w:rPr>
          <w:rFonts w:ascii="Calibri" w:eastAsia="Calibri" w:hAnsi="Calibri" w:cs="Calibri"/>
          <w:sz w:val="20"/>
          <w:szCs w:val="20"/>
        </w:rPr>
        <w:t>Co.ltd</w:t>
      </w:r>
      <w:proofErr w:type="spellEnd"/>
      <w:r>
        <w:rPr>
          <w:rFonts w:ascii="Calibri" w:eastAsia="Calibri" w:hAnsi="Calibri" w:cs="Calibri"/>
          <w:sz w:val="20"/>
          <w:szCs w:val="20"/>
        </w:rPr>
        <w:t xml:space="preserve"> v </w:t>
      </w:r>
      <w:proofErr w:type="spellStart"/>
      <w:r>
        <w:rPr>
          <w:rFonts w:ascii="Calibri" w:eastAsia="Calibri" w:hAnsi="Calibri" w:cs="Calibri"/>
          <w:sz w:val="20"/>
          <w:szCs w:val="20"/>
        </w:rPr>
        <w:t>Hett</w:t>
      </w:r>
      <w:proofErr w:type="spellEnd"/>
      <w:r>
        <w:rPr>
          <w:rFonts w:ascii="Calibri" w:eastAsia="Calibri" w:hAnsi="Calibri" w:cs="Calibri"/>
          <w:sz w:val="20"/>
          <w:szCs w:val="20"/>
        </w:rPr>
        <w:t>, Stubbs &amp; Kemp (1978) 3 WLR 167.</w:t>
      </w:r>
    </w:p>
  </w:footnote>
  <w:footnote w:id="16">
    <w:p w14:paraId="5AB3515C"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 xml:space="preserve">Judith L. </w:t>
      </w:r>
      <w:proofErr w:type="spellStart"/>
      <w:r>
        <w:rPr>
          <w:rFonts w:ascii="Calibri" w:eastAsia="Calibri" w:hAnsi="Calibri" w:cs="Calibri"/>
          <w:sz w:val="20"/>
          <w:szCs w:val="20"/>
        </w:rPr>
        <w:t>Maute</w:t>
      </w:r>
      <w:proofErr w:type="spellEnd"/>
      <w:r>
        <w:rPr>
          <w:rFonts w:ascii="Calibri" w:eastAsia="Calibri" w:hAnsi="Calibri" w:cs="Calibri"/>
          <w:sz w:val="20"/>
          <w:szCs w:val="20"/>
        </w:rPr>
        <w:t>, ‘Alice's Adventures in Wonderland: Preliminary Reflections on the History of the Split English Legal Profession and Fusion Debate (1000-1900 A.D.)’ (</w:t>
      </w:r>
      <w:r>
        <w:rPr>
          <w:rFonts w:ascii="Calibri" w:eastAsia="Calibri" w:hAnsi="Calibri" w:cs="Calibri"/>
          <w:i/>
          <w:sz w:val="20"/>
          <w:szCs w:val="20"/>
        </w:rPr>
        <w:t>Fordham Law Review</w:t>
      </w:r>
      <w:r>
        <w:rPr>
          <w:rFonts w:ascii="Calibri" w:eastAsia="Calibri" w:hAnsi="Calibri" w:cs="Calibri"/>
          <w:sz w:val="20"/>
          <w:szCs w:val="20"/>
        </w:rPr>
        <w:t xml:space="preserve">, 2003) </w:t>
      </w:r>
      <w:hyperlink r:id="rId7">
        <w:r>
          <w:rPr>
            <w:rFonts w:ascii="Calibri" w:eastAsia="Calibri" w:hAnsi="Calibri" w:cs="Calibri"/>
            <w:color w:val="1155CC"/>
            <w:sz w:val="20"/>
            <w:szCs w:val="20"/>
            <w:u w:val="single"/>
          </w:rPr>
          <w:t>https://ir.lawnet.fordham.edu/cgi/viewcontent.cgi?article=3881&amp;context=flr</w:t>
        </w:r>
      </w:hyperlink>
      <w:r>
        <w:rPr>
          <w:rFonts w:ascii="Calibri" w:eastAsia="Calibri" w:hAnsi="Calibri" w:cs="Calibri"/>
          <w:sz w:val="20"/>
          <w:szCs w:val="20"/>
        </w:rPr>
        <w:t xml:space="preserve">  accessed 22 April 2022.</w:t>
      </w:r>
    </w:p>
  </w:footnote>
  <w:footnote w:id="17">
    <w:p w14:paraId="2C45216C"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Ibid.</w:t>
      </w:r>
    </w:p>
  </w:footnote>
  <w:footnote w:id="18">
    <w:p w14:paraId="731FEE65" w14:textId="77777777" w:rsidR="0008057D" w:rsidRDefault="0008057D" w:rsidP="0008057D">
      <w:pPr>
        <w:spacing w:line="240" w:lineRule="auto"/>
        <w:rPr>
          <w:rFonts w:ascii="Calibri" w:eastAsia="Calibri" w:hAnsi="Calibri" w:cs="Calibri"/>
          <w:sz w:val="20"/>
          <w:szCs w:val="20"/>
          <w:highlight w:val="white"/>
        </w:rPr>
      </w:pPr>
      <w:r>
        <w:rPr>
          <w:vertAlign w:val="superscript"/>
        </w:rPr>
        <w:footnoteRef/>
      </w:r>
      <w:r>
        <w:rPr>
          <w:sz w:val="20"/>
          <w:szCs w:val="20"/>
        </w:rPr>
        <w:t xml:space="preserve"> </w:t>
      </w:r>
      <w:r>
        <w:rPr>
          <w:rFonts w:ascii="Calibri" w:eastAsia="Calibri" w:hAnsi="Calibri" w:cs="Calibri"/>
          <w:sz w:val="20"/>
          <w:szCs w:val="20"/>
          <w:highlight w:val="white"/>
        </w:rPr>
        <w:t xml:space="preserve">Owino Lisa, ‘Application of African Customary Law: Tracing its Degradation and </w:t>
      </w:r>
      <w:proofErr w:type="spellStart"/>
      <w:r>
        <w:rPr>
          <w:rFonts w:ascii="Calibri" w:eastAsia="Calibri" w:hAnsi="Calibri" w:cs="Calibri"/>
          <w:sz w:val="20"/>
          <w:szCs w:val="20"/>
          <w:highlight w:val="white"/>
        </w:rPr>
        <w:t>Analysing</w:t>
      </w:r>
      <w:proofErr w:type="spellEnd"/>
      <w:r>
        <w:rPr>
          <w:rFonts w:ascii="Calibri" w:eastAsia="Calibri" w:hAnsi="Calibri" w:cs="Calibri"/>
          <w:sz w:val="20"/>
          <w:szCs w:val="20"/>
          <w:highlight w:val="white"/>
        </w:rPr>
        <w:t xml:space="preserve"> the Challenges it Confronts’ (2016) Vol. 1 SLR </w:t>
      </w:r>
      <w:hyperlink r:id="rId8">
        <w:r>
          <w:rPr>
            <w:rFonts w:ascii="Calibri" w:eastAsia="Calibri" w:hAnsi="Calibri" w:cs="Calibri"/>
            <w:color w:val="1155CC"/>
            <w:sz w:val="20"/>
            <w:szCs w:val="20"/>
            <w:highlight w:val="white"/>
            <w:u w:val="single"/>
          </w:rPr>
          <w:t>https://poseidon01.ssrn.com/delivery.php?ID=754103009004066113106089127031101111121055086045016032125100092098082072089113112076096031059124007061000025005114093117102075024041045040023010012123095114123082119066005079089092087082065127070022095081003117082127116109108067010076089073119067027125&amp;EXT=pdf</w:t>
        </w:r>
      </w:hyperlink>
      <w:r>
        <w:rPr>
          <w:rFonts w:ascii="Calibri" w:eastAsia="Calibri" w:hAnsi="Calibri" w:cs="Calibri"/>
          <w:sz w:val="20"/>
          <w:szCs w:val="20"/>
          <w:highlight w:val="white"/>
        </w:rPr>
        <w:t xml:space="preserve"> accessed 22 April 2022.</w:t>
      </w:r>
    </w:p>
  </w:footnote>
  <w:footnote w:id="19">
    <w:p w14:paraId="2B098171"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 xml:space="preserve">George B. N. </w:t>
      </w:r>
      <w:proofErr w:type="spellStart"/>
      <w:r>
        <w:rPr>
          <w:rFonts w:ascii="Calibri" w:eastAsia="Calibri" w:hAnsi="Calibri" w:cs="Calibri"/>
          <w:sz w:val="20"/>
          <w:szCs w:val="20"/>
        </w:rPr>
        <w:t>Ayittey</w:t>
      </w:r>
      <w:proofErr w:type="spellEnd"/>
      <w:r>
        <w:rPr>
          <w:rFonts w:ascii="Calibri" w:eastAsia="Calibri" w:hAnsi="Calibri" w:cs="Calibri"/>
          <w:sz w:val="20"/>
          <w:szCs w:val="20"/>
        </w:rPr>
        <w:t xml:space="preserve">, Indigenous African Institutions (2nd </w:t>
      </w:r>
      <w:proofErr w:type="spellStart"/>
      <w:r>
        <w:rPr>
          <w:rFonts w:ascii="Calibri" w:eastAsia="Calibri" w:hAnsi="Calibri" w:cs="Calibri"/>
          <w:sz w:val="20"/>
          <w:szCs w:val="20"/>
        </w:rPr>
        <w:t>edn</w:t>
      </w:r>
      <w:proofErr w:type="spellEnd"/>
      <w:r>
        <w:rPr>
          <w:rFonts w:ascii="Calibri" w:eastAsia="Calibri" w:hAnsi="Calibri" w:cs="Calibri"/>
          <w:sz w:val="20"/>
          <w:szCs w:val="20"/>
        </w:rPr>
        <w:t>, Brill-</w:t>
      </w:r>
      <w:proofErr w:type="spellStart"/>
      <w:r>
        <w:rPr>
          <w:rFonts w:ascii="Calibri" w:eastAsia="Calibri" w:hAnsi="Calibri" w:cs="Calibri"/>
          <w:sz w:val="20"/>
          <w:szCs w:val="20"/>
        </w:rPr>
        <w:t>Nijhoff</w:t>
      </w:r>
      <w:proofErr w:type="spellEnd"/>
      <w:r>
        <w:rPr>
          <w:rFonts w:ascii="Calibri" w:eastAsia="Calibri" w:hAnsi="Calibri" w:cs="Calibri"/>
          <w:sz w:val="20"/>
          <w:szCs w:val="20"/>
        </w:rPr>
        <w:t xml:space="preserve"> 2006)</w:t>
      </w:r>
    </w:p>
  </w:footnote>
  <w:footnote w:id="20">
    <w:p w14:paraId="26B7A37E"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 xml:space="preserve">William </w:t>
      </w:r>
      <w:proofErr w:type="spellStart"/>
      <w:r>
        <w:rPr>
          <w:rFonts w:ascii="Calibri" w:eastAsia="Calibri" w:hAnsi="Calibri" w:cs="Calibri"/>
          <w:sz w:val="20"/>
          <w:szCs w:val="20"/>
        </w:rPr>
        <w:t>Burnnet</w:t>
      </w:r>
      <w:proofErr w:type="spellEnd"/>
      <w:r>
        <w:rPr>
          <w:rFonts w:ascii="Calibri" w:eastAsia="Calibri" w:hAnsi="Calibri" w:cs="Calibri"/>
          <w:sz w:val="20"/>
          <w:szCs w:val="20"/>
        </w:rPr>
        <w:t xml:space="preserve"> Harvey, An Introduction to the Legal System in East Africa (KLB 2004)</w:t>
      </w:r>
    </w:p>
  </w:footnote>
  <w:footnote w:id="21">
    <w:p w14:paraId="6E07F1A3"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 xml:space="preserve">[1930] </w:t>
      </w:r>
      <w:proofErr w:type="spellStart"/>
      <w:r>
        <w:rPr>
          <w:rFonts w:ascii="Calibri" w:eastAsia="Calibri" w:hAnsi="Calibri" w:cs="Calibri"/>
          <w:sz w:val="20"/>
          <w:szCs w:val="20"/>
        </w:rPr>
        <w:t>eKLR</w:t>
      </w:r>
      <w:proofErr w:type="spellEnd"/>
      <w:r>
        <w:rPr>
          <w:rFonts w:ascii="Calibri" w:eastAsia="Calibri" w:hAnsi="Calibri" w:cs="Calibri"/>
          <w:sz w:val="20"/>
          <w:szCs w:val="20"/>
        </w:rPr>
        <w:t xml:space="preserve"> </w:t>
      </w:r>
      <w:hyperlink r:id="rId9">
        <w:r>
          <w:rPr>
            <w:rFonts w:ascii="Calibri" w:eastAsia="Calibri" w:hAnsi="Calibri" w:cs="Calibri"/>
            <w:color w:val="1155CC"/>
            <w:sz w:val="20"/>
            <w:szCs w:val="20"/>
            <w:u w:val="single"/>
          </w:rPr>
          <w:t>https://lite.judy.legal/amp/case/nathookhan-v-chairman-mombasa-town-planning-authority</w:t>
        </w:r>
      </w:hyperlink>
      <w:r>
        <w:rPr>
          <w:rFonts w:ascii="Calibri" w:eastAsia="Calibri" w:hAnsi="Calibri" w:cs="Calibri"/>
          <w:sz w:val="20"/>
          <w:szCs w:val="20"/>
        </w:rPr>
        <w:t xml:space="preserve"> accessed 22 April 2022.</w:t>
      </w:r>
    </w:p>
  </w:footnote>
  <w:footnote w:id="22">
    <w:p w14:paraId="41CDE463"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Ibid.</w:t>
      </w:r>
    </w:p>
  </w:footnote>
  <w:footnote w:id="23">
    <w:p w14:paraId="12BF92A5" w14:textId="77777777" w:rsidR="0008057D" w:rsidRDefault="0008057D" w:rsidP="0008057D">
      <w:pPr>
        <w:spacing w:line="240" w:lineRule="auto"/>
        <w:rPr>
          <w:rFonts w:ascii="Calibri" w:eastAsia="Calibri" w:hAnsi="Calibri" w:cs="Calibri"/>
          <w:sz w:val="20"/>
          <w:szCs w:val="20"/>
        </w:rPr>
      </w:pPr>
      <w:r>
        <w:rPr>
          <w:vertAlign w:val="superscript"/>
        </w:rPr>
        <w:footnoteRef/>
      </w:r>
      <w:r>
        <w:rPr>
          <w:sz w:val="20"/>
          <w:szCs w:val="20"/>
        </w:rPr>
        <w:t xml:space="preserve"> </w:t>
      </w:r>
      <w:r>
        <w:rPr>
          <w:rFonts w:ascii="Calibri" w:eastAsia="Calibri" w:hAnsi="Calibri" w:cs="Calibri"/>
          <w:sz w:val="20"/>
          <w:szCs w:val="20"/>
        </w:rPr>
        <w:t xml:space="preserve">Wolfe S. Jeffrey, ‘Exploring Trial Advocacy: Tradition, Education, and Litigation’ (1980) Vol. 16 (2) Tulsa Law Review </w:t>
      </w:r>
      <w:hyperlink r:id="rId10">
        <w:r>
          <w:rPr>
            <w:rFonts w:ascii="Calibri" w:eastAsia="Calibri" w:hAnsi="Calibri" w:cs="Calibri"/>
            <w:color w:val="1155CC"/>
            <w:sz w:val="20"/>
            <w:szCs w:val="20"/>
            <w:u w:val="single"/>
          </w:rPr>
          <w:t>https://digitalcommons.law.utulsa.edu/cgi/viewcontent.cgi?article=1556&amp;context=tlr</w:t>
        </w:r>
      </w:hyperlink>
      <w:r>
        <w:rPr>
          <w:rFonts w:ascii="Calibri" w:eastAsia="Calibri" w:hAnsi="Calibri" w:cs="Calibri"/>
          <w:sz w:val="20"/>
          <w:szCs w:val="20"/>
        </w:rPr>
        <w:t xml:space="preserve"> accessed 22 April 2022.</w:t>
      </w:r>
    </w:p>
    <w:p w14:paraId="5A696DE6" w14:textId="77777777" w:rsidR="0008057D" w:rsidRDefault="0008057D" w:rsidP="0008057D">
      <w:pPr>
        <w:spacing w:line="240" w:lineRule="auto"/>
        <w:rPr>
          <w:rFonts w:ascii="Calibri" w:eastAsia="Calibri" w:hAnsi="Calibri" w:cs="Calibri"/>
          <w:sz w:val="20"/>
          <w:szCs w:val="20"/>
        </w:rPr>
      </w:pPr>
      <w:r>
        <w:rPr>
          <w:rFonts w:ascii="Calibri" w:eastAsia="Calibri" w:hAnsi="Calibri" w:cs="Calibri"/>
          <w:sz w:val="20"/>
          <w:szCs w:val="20"/>
        </w:rPr>
        <w:t xml:space="preserve"> </w:t>
      </w:r>
    </w:p>
  </w:footnote>
  <w:footnote w:id="24">
    <w:p w14:paraId="19AA05F8" w14:textId="77777777" w:rsidR="0008057D" w:rsidRPr="00064E11" w:rsidRDefault="0008057D" w:rsidP="0008057D">
      <w:pPr>
        <w:spacing w:line="240" w:lineRule="auto"/>
        <w:rPr>
          <w:rFonts w:ascii="Calibri" w:eastAsia="Calibri" w:hAnsi="Calibri" w:cs="Calibri"/>
          <w:sz w:val="24"/>
          <w:szCs w:val="24"/>
        </w:rPr>
      </w:pPr>
      <w:r>
        <w:rPr>
          <w:vertAlign w:val="superscript"/>
        </w:rPr>
        <w:footnoteRef/>
      </w:r>
      <w:r>
        <w:rPr>
          <w:sz w:val="20"/>
          <w:szCs w:val="20"/>
        </w:rPr>
        <w:t xml:space="preserve"> </w:t>
      </w:r>
      <w:r w:rsidRPr="00064E11">
        <w:rPr>
          <w:rFonts w:ascii="Calibri" w:eastAsia="Calibri" w:hAnsi="Calibri" w:cs="Calibri"/>
          <w:sz w:val="24"/>
          <w:szCs w:val="24"/>
        </w:rPr>
        <w:t>Ibid.</w:t>
      </w:r>
    </w:p>
  </w:footnote>
  <w:footnote w:id="25">
    <w:p w14:paraId="2AB3C6C6" w14:textId="77777777" w:rsidR="0008057D" w:rsidRPr="00064E11" w:rsidRDefault="0008057D" w:rsidP="0008057D">
      <w:pPr>
        <w:spacing w:line="240" w:lineRule="auto"/>
        <w:rPr>
          <w:rFonts w:ascii="Calibri" w:eastAsia="Calibri" w:hAnsi="Calibri" w:cs="Calibri"/>
          <w:sz w:val="24"/>
          <w:szCs w:val="24"/>
        </w:rPr>
      </w:pPr>
      <w:r w:rsidRPr="00064E11">
        <w:rPr>
          <w:sz w:val="24"/>
          <w:szCs w:val="24"/>
          <w:vertAlign w:val="superscript"/>
        </w:rPr>
        <w:footnoteRef/>
      </w:r>
      <w:r w:rsidRPr="00064E11">
        <w:rPr>
          <w:sz w:val="24"/>
          <w:szCs w:val="24"/>
        </w:rPr>
        <w:t xml:space="preserve"> </w:t>
      </w:r>
      <w:r w:rsidRPr="00064E11">
        <w:rPr>
          <w:rFonts w:ascii="Calibri" w:eastAsia="Calibri" w:hAnsi="Calibri" w:cs="Calibri"/>
          <w:sz w:val="24"/>
          <w:szCs w:val="24"/>
        </w:rPr>
        <w:t>L.N. 58/2004.</w:t>
      </w:r>
    </w:p>
  </w:footnote>
  <w:footnote w:id="26">
    <w:p w14:paraId="4DDD5EF0" w14:textId="77777777" w:rsidR="0008057D" w:rsidRPr="00064E11" w:rsidRDefault="0008057D" w:rsidP="0008057D">
      <w:pPr>
        <w:spacing w:line="240" w:lineRule="auto"/>
        <w:rPr>
          <w:rFonts w:ascii="Calibri" w:eastAsia="Calibri" w:hAnsi="Calibri" w:cs="Calibri"/>
          <w:sz w:val="24"/>
          <w:szCs w:val="24"/>
        </w:rPr>
      </w:pPr>
      <w:r w:rsidRPr="00064E11">
        <w:rPr>
          <w:sz w:val="24"/>
          <w:szCs w:val="24"/>
          <w:vertAlign w:val="superscript"/>
        </w:rPr>
        <w:footnoteRef/>
      </w:r>
      <w:r w:rsidRPr="00064E11">
        <w:rPr>
          <w:sz w:val="24"/>
          <w:szCs w:val="24"/>
        </w:rPr>
        <w:t xml:space="preserve"> </w:t>
      </w:r>
      <w:r w:rsidRPr="00064E11">
        <w:rPr>
          <w:rFonts w:ascii="Calibri" w:eastAsia="Calibri" w:hAnsi="Calibri" w:cs="Calibri"/>
          <w:sz w:val="24"/>
          <w:szCs w:val="24"/>
        </w:rPr>
        <w:t>Ibid Reg 8(f) and (l).</w:t>
      </w:r>
    </w:p>
  </w:footnote>
  <w:footnote w:id="27">
    <w:p w14:paraId="40900231" w14:textId="77777777" w:rsidR="0008057D" w:rsidRPr="00064E11" w:rsidRDefault="0008057D" w:rsidP="0008057D">
      <w:pPr>
        <w:spacing w:line="240" w:lineRule="auto"/>
        <w:rPr>
          <w:rFonts w:ascii="Calibri" w:eastAsia="Calibri" w:hAnsi="Calibri" w:cs="Calibri"/>
          <w:sz w:val="24"/>
          <w:szCs w:val="24"/>
        </w:rPr>
      </w:pPr>
      <w:r w:rsidRPr="00064E11">
        <w:rPr>
          <w:sz w:val="24"/>
          <w:szCs w:val="24"/>
          <w:vertAlign w:val="superscript"/>
        </w:rPr>
        <w:footnoteRef/>
      </w:r>
      <w:r w:rsidRPr="00064E11">
        <w:rPr>
          <w:sz w:val="24"/>
          <w:szCs w:val="24"/>
        </w:rPr>
        <w:t xml:space="preserve"> </w:t>
      </w:r>
      <w:r w:rsidRPr="00064E11">
        <w:rPr>
          <w:rFonts w:ascii="Calibri" w:eastAsia="Calibri" w:hAnsi="Calibri" w:cs="Calibri"/>
          <w:sz w:val="24"/>
          <w:szCs w:val="24"/>
        </w:rPr>
        <w:t>Legal Notice No. 400.</w:t>
      </w:r>
    </w:p>
  </w:footnote>
  <w:footnote w:id="28">
    <w:p w14:paraId="6FB0E5F1" w14:textId="77777777" w:rsidR="0008057D" w:rsidRPr="00064E11" w:rsidRDefault="0008057D" w:rsidP="0008057D">
      <w:pPr>
        <w:spacing w:line="240" w:lineRule="auto"/>
        <w:rPr>
          <w:rFonts w:ascii="Calibri" w:eastAsia="Calibri" w:hAnsi="Calibri" w:cs="Calibri"/>
          <w:sz w:val="24"/>
          <w:szCs w:val="24"/>
        </w:rPr>
      </w:pPr>
      <w:r w:rsidRPr="00064E11">
        <w:rPr>
          <w:sz w:val="24"/>
          <w:szCs w:val="24"/>
          <w:vertAlign w:val="superscript"/>
        </w:rPr>
        <w:footnoteRef/>
      </w:r>
      <w:r w:rsidRPr="00064E11">
        <w:rPr>
          <w:sz w:val="24"/>
          <w:szCs w:val="24"/>
        </w:rPr>
        <w:t xml:space="preserve"> </w:t>
      </w:r>
      <w:r w:rsidRPr="00064E11">
        <w:rPr>
          <w:rFonts w:ascii="Calibri" w:eastAsia="Calibri" w:hAnsi="Calibri" w:cs="Calibri"/>
          <w:sz w:val="24"/>
          <w:szCs w:val="24"/>
        </w:rPr>
        <w:t>L.N.169/2009.</w:t>
      </w:r>
    </w:p>
  </w:footnote>
  <w:footnote w:id="29">
    <w:p w14:paraId="70724E13" w14:textId="77777777" w:rsidR="0008057D" w:rsidRPr="00064E11" w:rsidRDefault="0008057D" w:rsidP="0008057D">
      <w:pPr>
        <w:spacing w:line="240" w:lineRule="auto"/>
        <w:rPr>
          <w:rFonts w:ascii="Calibri" w:eastAsia="Calibri" w:hAnsi="Calibri" w:cs="Calibri"/>
          <w:sz w:val="24"/>
          <w:szCs w:val="24"/>
        </w:rPr>
      </w:pPr>
      <w:r w:rsidRPr="00064E11">
        <w:rPr>
          <w:sz w:val="24"/>
          <w:szCs w:val="24"/>
          <w:vertAlign w:val="superscript"/>
        </w:rPr>
        <w:footnoteRef/>
      </w:r>
      <w:r w:rsidRPr="00064E11">
        <w:rPr>
          <w:sz w:val="24"/>
          <w:szCs w:val="24"/>
        </w:rPr>
        <w:t xml:space="preserve"> </w:t>
      </w:r>
      <w:r w:rsidRPr="00064E11">
        <w:rPr>
          <w:rFonts w:ascii="Calibri" w:eastAsia="Calibri" w:hAnsi="Calibri" w:cs="Calibri"/>
          <w:sz w:val="24"/>
          <w:szCs w:val="24"/>
        </w:rPr>
        <w:t>Paragraph 6(e) of the First Schedule.</w:t>
      </w:r>
    </w:p>
  </w:footnote>
  <w:footnote w:id="30">
    <w:p w14:paraId="6C2A3519" w14:textId="77777777" w:rsidR="0008057D" w:rsidRPr="00064E11" w:rsidRDefault="0008057D" w:rsidP="0008057D">
      <w:pPr>
        <w:spacing w:line="240" w:lineRule="auto"/>
        <w:rPr>
          <w:rFonts w:ascii="Calibri" w:eastAsia="Calibri" w:hAnsi="Calibri" w:cs="Calibri"/>
          <w:sz w:val="24"/>
          <w:szCs w:val="24"/>
        </w:rPr>
      </w:pPr>
      <w:r w:rsidRPr="00064E11">
        <w:rPr>
          <w:sz w:val="24"/>
          <w:szCs w:val="24"/>
          <w:vertAlign w:val="superscript"/>
        </w:rPr>
        <w:footnoteRef/>
      </w:r>
      <w:r w:rsidRPr="00064E11">
        <w:rPr>
          <w:sz w:val="24"/>
          <w:szCs w:val="24"/>
        </w:rPr>
        <w:t xml:space="preserve"> </w:t>
      </w:r>
      <w:r w:rsidRPr="00064E11">
        <w:rPr>
          <w:rFonts w:ascii="Calibri" w:eastAsia="Calibri" w:hAnsi="Calibri" w:cs="Calibri"/>
          <w:sz w:val="24"/>
          <w:szCs w:val="24"/>
        </w:rPr>
        <w:t>Part III of the Second Schedule to the Legal Education Act, 2012.</w:t>
      </w:r>
    </w:p>
  </w:footnote>
  <w:footnote w:id="31">
    <w:p w14:paraId="7818F82C" w14:textId="77777777" w:rsidR="009529E8" w:rsidRDefault="009529E8" w:rsidP="009529E8">
      <w:pPr>
        <w:pStyle w:val="FootnoteText"/>
      </w:pPr>
      <w:r>
        <w:rPr>
          <w:rStyle w:val="FootnoteReference"/>
        </w:rPr>
        <w:footnoteRef/>
      </w:r>
      <w:r>
        <w:t xml:space="preserve"> </w:t>
      </w:r>
      <w:hyperlink r:id="rId11" w:history="1">
        <w:r w:rsidRPr="001F6253">
          <w:rPr>
            <w:rStyle w:val="Hyperlink"/>
          </w:rPr>
          <w:t>https://www.ohchr.org/en/instruments-mechanisms/instruments/basic-principles-role-lawyers</w:t>
        </w:r>
      </w:hyperlink>
      <w:r>
        <w:t xml:space="preserve"> accessed 24 April 2022.</w:t>
      </w:r>
    </w:p>
  </w:footnote>
  <w:footnote w:id="32">
    <w:p w14:paraId="70F5B5A7" w14:textId="77777777" w:rsidR="009529E8" w:rsidRDefault="009529E8" w:rsidP="009529E8">
      <w:pPr>
        <w:pStyle w:val="FootnoteText"/>
      </w:pPr>
      <w:r>
        <w:rPr>
          <w:rStyle w:val="FootnoteReference"/>
        </w:rPr>
        <w:footnoteRef/>
      </w:r>
      <w:r>
        <w:t xml:space="preserve"> ibid</w:t>
      </w:r>
    </w:p>
  </w:footnote>
  <w:footnote w:id="33">
    <w:p w14:paraId="1D46C9AC" w14:textId="77777777" w:rsidR="009529E8" w:rsidRDefault="009529E8" w:rsidP="009529E8">
      <w:pPr>
        <w:pStyle w:val="FootnoteText"/>
      </w:pPr>
      <w:r>
        <w:rPr>
          <w:rStyle w:val="FootnoteReference"/>
        </w:rPr>
        <w:footnoteRef/>
      </w:r>
      <w:r>
        <w:t xml:space="preserve"> </w:t>
      </w:r>
      <w:hyperlink r:id="rId12" w:history="1">
        <w:r w:rsidRPr="001F6253">
          <w:rPr>
            <w:rStyle w:val="Hyperlink"/>
          </w:rPr>
          <w:t>https://www.un.org/ruleoflaw/blog/document/basic-principles-on-the-role-of-lawyers/</w:t>
        </w:r>
      </w:hyperlink>
      <w:r>
        <w:t xml:space="preserve"> accessed 24 April 2022.</w:t>
      </w:r>
    </w:p>
  </w:footnote>
  <w:footnote w:id="34">
    <w:p w14:paraId="3E385F63" w14:textId="77777777" w:rsidR="006D02CD" w:rsidRDefault="006D02CD" w:rsidP="006D02CD">
      <w:pPr>
        <w:pStyle w:val="FootnoteText"/>
        <w:spacing w:before="240"/>
      </w:pPr>
      <w:r>
        <w:rPr>
          <w:rStyle w:val="FootnoteReference"/>
        </w:rPr>
        <w:footnoteRef/>
      </w:r>
      <w:r>
        <w:t xml:space="preserve"> Ambrose Otieno </w:t>
      </w:r>
      <w:proofErr w:type="spellStart"/>
      <w:proofErr w:type="gramStart"/>
      <w:r>
        <w:t>Weda</w:t>
      </w:r>
      <w:proofErr w:type="spellEnd"/>
      <w:r>
        <w:t xml:space="preserve"> ,</w:t>
      </w:r>
      <w:proofErr w:type="gramEnd"/>
      <w:r>
        <w:t xml:space="preserve"> The Ideal  Lawyer(Law Africa publishing press 2019)</w:t>
      </w:r>
    </w:p>
  </w:footnote>
  <w:footnote w:id="35">
    <w:p w14:paraId="13B03162" w14:textId="77777777" w:rsidR="006D02CD" w:rsidRDefault="006D02CD" w:rsidP="006D02CD">
      <w:pPr>
        <w:pStyle w:val="FootnoteText"/>
      </w:pPr>
      <w:r>
        <w:rPr>
          <w:rStyle w:val="FootnoteReference"/>
        </w:rPr>
        <w:footnoteRef/>
      </w:r>
      <w:r>
        <w:t xml:space="preserve"> </w:t>
      </w:r>
      <w:r w:rsidRPr="0054257A">
        <w:t xml:space="preserve">Ambrose Otieno </w:t>
      </w:r>
      <w:proofErr w:type="spellStart"/>
      <w:proofErr w:type="gramStart"/>
      <w:r w:rsidRPr="0054257A">
        <w:t>Weda</w:t>
      </w:r>
      <w:proofErr w:type="spellEnd"/>
      <w:r>
        <w:t xml:space="preserve"> </w:t>
      </w:r>
      <w:r w:rsidRPr="0054257A">
        <w:t>,</w:t>
      </w:r>
      <w:proofErr w:type="gramEnd"/>
      <w:r w:rsidRPr="0054257A">
        <w:t xml:space="preserve"> The Ideal  Lawyer(Law Africa publishing press 2019)</w:t>
      </w:r>
    </w:p>
  </w:footnote>
  <w:footnote w:id="36">
    <w:p w14:paraId="0847631D" w14:textId="77777777" w:rsidR="003A4621" w:rsidRDefault="003A4621" w:rsidP="003A4621">
      <w:pPr>
        <w:pStyle w:val="FootnoteText"/>
      </w:pPr>
      <w:r>
        <w:rPr>
          <w:rStyle w:val="FootnoteReference"/>
        </w:rPr>
        <w:footnoteRef/>
      </w:r>
      <w:r>
        <w:t xml:space="preserve"> </w:t>
      </w:r>
      <w:r w:rsidRPr="00196EF8">
        <w:t>https://lawcorner.in/why-lawyers-are-called-learned-friends/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D3012"/>
    <w:multiLevelType w:val="hybridMultilevel"/>
    <w:tmpl w:val="9B08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4A1A63"/>
    <w:multiLevelType w:val="multilevel"/>
    <w:tmpl w:val="152ED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DB3D28"/>
    <w:multiLevelType w:val="hybridMultilevel"/>
    <w:tmpl w:val="6F708E84"/>
    <w:lvl w:ilvl="0" w:tplc="C5BEC33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837DB5"/>
    <w:multiLevelType w:val="hybridMultilevel"/>
    <w:tmpl w:val="397E0C70"/>
    <w:lvl w:ilvl="0" w:tplc="992CB0B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BB7B59"/>
    <w:multiLevelType w:val="multilevel"/>
    <w:tmpl w:val="95869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796297"/>
    <w:multiLevelType w:val="hybridMultilevel"/>
    <w:tmpl w:val="A002EA08"/>
    <w:lvl w:ilvl="0" w:tplc="B9C2D37E">
      <w:start w:val="1"/>
      <w:numFmt w:val="lowerLetter"/>
      <w:lvlText w:val="%1)"/>
      <w:lvlJc w:val="lef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76E92BFE"/>
    <w:multiLevelType w:val="hybridMultilevel"/>
    <w:tmpl w:val="AFCCD0AA"/>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036515">
    <w:abstractNumId w:val="4"/>
  </w:num>
  <w:num w:numId="2" w16cid:durableId="1966040173">
    <w:abstractNumId w:val="1"/>
  </w:num>
  <w:num w:numId="3" w16cid:durableId="15549201">
    <w:abstractNumId w:val="0"/>
  </w:num>
  <w:num w:numId="4" w16cid:durableId="619382215">
    <w:abstractNumId w:val="6"/>
  </w:num>
  <w:num w:numId="5" w16cid:durableId="738669640">
    <w:abstractNumId w:val="5"/>
  </w:num>
  <w:num w:numId="6" w16cid:durableId="1747144104">
    <w:abstractNumId w:val="2"/>
  </w:num>
  <w:num w:numId="7" w16cid:durableId="1546987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EB1"/>
    <w:rsid w:val="00064E11"/>
    <w:rsid w:val="0008057D"/>
    <w:rsid w:val="002D75A9"/>
    <w:rsid w:val="003A4621"/>
    <w:rsid w:val="004538D7"/>
    <w:rsid w:val="004C190C"/>
    <w:rsid w:val="004D2E92"/>
    <w:rsid w:val="004E6689"/>
    <w:rsid w:val="00537EB1"/>
    <w:rsid w:val="005E1757"/>
    <w:rsid w:val="006043A8"/>
    <w:rsid w:val="00690A7C"/>
    <w:rsid w:val="006D02CD"/>
    <w:rsid w:val="0094668E"/>
    <w:rsid w:val="009529E8"/>
    <w:rsid w:val="00B16836"/>
    <w:rsid w:val="00BC41F0"/>
    <w:rsid w:val="00C66145"/>
    <w:rsid w:val="00D93436"/>
    <w:rsid w:val="00EE3FF5"/>
    <w:rsid w:val="00F45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CD3E"/>
  <w15:chartTrackingRefBased/>
  <w15:docId w15:val="{C98F4032-F2FB-4829-8B40-370C2931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168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16836"/>
    <w:rPr>
      <w:sz w:val="20"/>
      <w:szCs w:val="20"/>
    </w:rPr>
  </w:style>
  <w:style w:type="character" w:styleId="FootnoteReference">
    <w:name w:val="footnote reference"/>
    <w:basedOn w:val="DefaultParagraphFont"/>
    <w:uiPriority w:val="99"/>
    <w:semiHidden/>
    <w:unhideWhenUsed/>
    <w:rsid w:val="00B16836"/>
    <w:rPr>
      <w:vertAlign w:val="superscript"/>
    </w:rPr>
  </w:style>
  <w:style w:type="character" w:styleId="Hyperlink">
    <w:name w:val="Hyperlink"/>
    <w:basedOn w:val="DefaultParagraphFont"/>
    <w:uiPriority w:val="99"/>
    <w:unhideWhenUsed/>
    <w:rsid w:val="00B16836"/>
    <w:rPr>
      <w:color w:val="0563C1" w:themeColor="hyperlink"/>
      <w:u w:val="single"/>
    </w:rPr>
  </w:style>
  <w:style w:type="paragraph" w:styleId="ListParagraph">
    <w:name w:val="List Paragraph"/>
    <w:basedOn w:val="Normal"/>
    <w:uiPriority w:val="34"/>
    <w:qFormat/>
    <w:rsid w:val="0008057D"/>
    <w:pPr>
      <w:ind w:left="720"/>
      <w:contextualSpacing/>
    </w:pPr>
  </w:style>
  <w:style w:type="paragraph" w:styleId="NormalWeb">
    <w:name w:val="Normal (Web)"/>
    <w:basedOn w:val="Normal"/>
    <w:uiPriority w:val="99"/>
    <w:semiHidden/>
    <w:unhideWhenUsed/>
    <w:rsid w:val="005E17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notes.xml.rels><?xml version="1.0" encoding="UTF-8" standalone="yes"?>
<Relationships xmlns="http://schemas.openxmlformats.org/package/2006/relationships"><Relationship Id="rId8" Type="http://schemas.openxmlformats.org/officeDocument/2006/relationships/hyperlink" Target="https://poseidon01.ssrn.com/delivery.php?ID=754103009004066113106089127031101111121055086045016032125100092098082072089113112076096031059124007061000025005114093117102075024041045040023010012123095114123082119066005079089092087082065127070022095081003117082127116109108067010076089073119067027125&amp;EXT=pdf" TargetMode="External"/><Relationship Id="rId3" Type="http://schemas.openxmlformats.org/officeDocument/2006/relationships/hyperlink" Target="https://www.jstor.org/stable/1065786?seq=1" TargetMode="External"/><Relationship Id="rId7" Type="http://schemas.openxmlformats.org/officeDocument/2006/relationships/hyperlink" Target="https://ir.lawnet.fordham.edu/cgi/viewcontent.cgi?article=3881&amp;context=flr" TargetMode="External"/><Relationship Id="rId12" Type="http://schemas.openxmlformats.org/officeDocument/2006/relationships/hyperlink" Target="https://www.un.org/ruleoflaw/blog/document/basic-principles-on-the-role-of-lawyers/" TargetMode="External"/><Relationship Id="rId2" Type="http://schemas.openxmlformats.org/officeDocument/2006/relationships/hyperlink" Target="https://www.academia.edu/36136133/HISTORY_OF_TRIAL_ADVOCACY_IN_GREECE_ROME_ENGLAND_AND_KENYA_BY_FREDRICK_OCHANDA_AGWEL1" TargetMode="External"/><Relationship Id="rId1" Type="http://schemas.openxmlformats.org/officeDocument/2006/relationships/hyperlink" Target="https://www.academia.edu/36136133/HISTORY_OF_TRIAL_ADVOCACY_IN_GREECE_ROME_ENGLAND_AND_KENYA_BY_FREDRICK_OCHANDA_AGWEL1" TargetMode="External"/><Relationship Id="rId6" Type="http://schemas.openxmlformats.org/officeDocument/2006/relationships/hyperlink" Target="https://www.lawsociety.org.uk/" TargetMode="External"/><Relationship Id="rId11" Type="http://schemas.openxmlformats.org/officeDocument/2006/relationships/hyperlink" Target="https://www.ohchr.org/en/instruments-mechanisms/instruments/basic-principles-role-lawyers" TargetMode="External"/><Relationship Id="rId5" Type="http://schemas.openxmlformats.org/officeDocument/2006/relationships/hyperlink" Target="https://www.jstor.org/stable/1065786?seq=1" TargetMode="External"/><Relationship Id="rId10" Type="http://schemas.openxmlformats.org/officeDocument/2006/relationships/hyperlink" Target="https://digitalcommons.law.utulsa.edu/cgi/viewcontent.cgi?article=1556&amp;context=tlr" TargetMode="External"/><Relationship Id="rId4" Type="http://schemas.openxmlformats.org/officeDocument/2006/relationships/hyperlink" Target="https://scholarship.law.nd.edu/cgi/viewcontent.cgi?article=3644&amp;context=ndlr" TargetMode="External"/><Relationship Id="rId9" Type="http://schemas.openxmlformats.org/officeDocument/2006/relationships/hyperlink" Target="https://lite.judy.legal/amp/case/nathookhan-v-chairman-mombasa-town-planning-autho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17</Pages>
  <Words>4482</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Mukhongo</dc:creator>
  <cp:keywords/>
  <dc:description/>
  <cp:lastModifiedBy>Tony Mukhongo</cp:lastModifiedBy>
  <cp:revision>6</cp:revision>
  <dcterms:created xsi:type="dcterms:W3CDTF">2022-04-25T18:08:00Z</dcterms:created>
  <dcterms:modified xsi:type="dcterms:W3CDTF">2022-04-26T05:45:00Z</dcterms:modified>
</cp:coreProperties>
</file>