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5730" w:rsidRDefault="00235730">
      <w:pPr>
        <w:ind w:left="0"/>
        <w:rPr>
          <w:b/>
          <w:bCs/>
          <w:sz w:val="28"/>
          <w:szCs w:val="28"/>
          <w:u w:val="single"/>
          <w:lang w:val="en-US"/>
        </w:rPr>
      </w:pPr>
    </w:p>
    <w:p w:rsidR="00235730" w:rsidRDefault="004C3BEF">
      <w:pPr>
        <w:pStyle w:val="ListParagraph"/>
        <w:numPr>
          <w:ilvl w:val="0"/>
          <w:numId w:val="9"/>
        </w:numPr>
        <w:rPr>
          <w:b/>
          <w:bCs/>
          <w:sz w:val="28"/>
          <w:szCs w:val="28"/>
          <w:u w:val="single"/>
          <w:lang w:val="en-US"/>
        </w:rPr>
      </w:pPr>
      <w:r>
        <w:rPr>
          <w:b/>
          <w:bCs/>
          <w:sz w:val="28"/>
          <w:szCs w:val="28"/>
          <w:u w:val="single"/>
          <w:lang w:val="en-US"/>
        </w:rPr>
        <w:t>INTRODUCTION:</w:t>
      </w:r>
    </w:p>
    <w:p w:rsidR="00235730" w:rsidRDefault="004C3BEF">
      <w:pPr>
        <w:rPr>
          <w:b/>
          <w:bCs/>
          <w:sz w:val="24"/>
          <w:szCs w:val="24"/>
          <w:u w:val="single"/>
          <w:lang w:val="en-US"/>
        </w:rPr>
      </w:pPr>
      <w:r>
        <w:rPr>
          <w:b/>
          <w:bCs/>
          <w:sz w:val="24"/>
          <w:szCs w:val="24"/>
          <w:lang w:val="en-US"/>
        </w:rPr>
        <w:t>1.1 THE</w:t>
      </w:r>
      <w:r>
        <w:rPr>
          <w:b/>
          <w:bCs/>
          <w:sz w:val="24"/>
          <w:szCs w:val="24"/>
          <w:u w:val="single"/>
          <w:lang w:val="en-US"/>
        </w:rPr>
        <w:t xml:space="preserve"> CAB RANK RULE:</w:t>
      </w:r>
    </w:p>
    <w:p w:rsidR="00235730" w:rsidRDefault="004C3BEF">
      <w:pPr>
        <w:spacing w:line="360" w:lineRule="auto"/>
        <w:rPr>
          <w:sz w:val="24"/>
          <w:szCs w:val="24"/>
          <w:lang w:val="en-US"/>
        </w:rPr>
      </w:pPr>
      <w:r>
        <w:rPr>
          <w:sz w:val="24"/>
          <w:szCs w:val="24"/>
          <w:lang w:val="en-US"/>
        </w:rPr>
        <w:t>The role of a lawyer in the dispensation of justice is of paramount importance. The cab rank rule dictates that an advocate has a duty to provide legal representation, where workload and expertise permit.</w:t>
      </w:r>
      <w:r>
        <w:rPr>
          <w:rStyle w:val="FootnoteReference"/>
          <w:sz w:val="24"/>
          <w:szCs w:val="24"/>
          <w:lang w:val="en-US"/>
        </w:rPr>
        <w:footnoteReference w:id="1"/>
      </w:r>
      <w:r>
        <w:rPr>
          <w:sz w:val="24"/>
          <w:szCs w:val="24"/>
          <w:lang w:val="en-US"/>
        </w:rPr>
        <w:t xml:space="preserve"> A lawyer has the duty to accept any work in a field in which he professes himself competent to practice, at a court which he normally appears, and at usual rates.</w:t>
      </w:r>
      <w:r>
        <w:rPr>
          <w:rStyle w:val="FootnoteReference"/>
          <w:sz w:val="24"/>
          <w:szCs w:val="24"/>
          <w:lang w:val="en-US"/>
        </w:rPr>
        <w:footnoteReference w:id="2"/>
      </w:r>
      <w:r>
        <w:rPr>
          <w:sz w:val="24"/>
          <w:szCs w:val="24"/>
          <w:lang w:val="en-US"/>
        </w:rPr>
        <w:t xml:space="preserve"> </w:t>
      </w:r>
    </w:p>
    <w:p w:rsidR="00235730" w:rsidRDefault="004C3BEF">
      <w:pPr>
        <w:spacing w:line="360" w:lineRule="auto"/>
        <w:rPr>
          <w:sz w:val="24"/>
          <w:szCs w:val="24"/>
          <w:lang w:val="en-US"/>
        </w:rPr>
      </w:pPr>
      <w:r>
        <w:rPr>
          <w:sz w:val="24"/>
          <w:szCs w:val="24"/>
          <w:lang w:val="en-US"/>
        </w:rPr>
        <w:t xml:space="preserve">It stems from the legal principle of the presumption of innocence and the right to legal representation, rights of which are reiterated in </w:t>
      </w:r>
      <w:r>
        <w:rPr>
          <w:b/>
          <w:bCs/>
          <w:sz w:val="24"/>
          <w:szCs w:val="24"/>
          <w:lang w:val="en-US"/>
        </w:rPr>
        <w:t>Article 50</w:t>
      </w:r>
      <w:r>
        <w:rPr>
          <w:rStyle w:val="FootnoteReference"/>
          <w:b/>
          <w:bCs/>
          <w:sz w:val="24"/>
          <w:szCs w:val="24"/>
          <w:lang w:val="en-US"/>
        </w:rPr>
        <w:footnoteReference w:id="3"/>
      </w:r>
      <w:r>
        <w:rPr>
          <w:b/>
          <w:bCs/>
          <w:sz w:val="24"/>
          <w:szCs w:val="24"/>
          <w:lang w:val="en-US"/>
        </w:rPr>
        <w:t xml:space="preserve"> </w:t>
      </w:r>
      <w:r>
        <w:rPr>
          <w:sz w:val="24"/>
          <w:szCs w:val="24"/>
          <w:lang w:val="en-US"/>
        </w:rPr>
        <w:t xml:space="preserve">of the Constitution. In the absence of such a rule, it might be difficult for an unpopular person to get legal representation. In </w:t>
      </w:r>
      <w:r>
        <w:rPr>
          <w:b/>
          <w:bCs/>
          <w:sz w:val="24"/>
          <w:szCs w:val="24"/>
          <w:u w:val="single"/>
          <w:lang w:val="en-US"/>
        </w:rPr>
        <w:t>Powell v Alabama</w:t>
      </w:r>
      <w:r>
        <w:rPr>
          <w:rStyle w:val="FootnoteReference"/>
          <w:sz w:val="24"/>
          <w:szCs w:val="24"/>
          <w:lang w:val="en-US"/>
        </w:rPr>
        <w:footnoteReference w:id="4"/>
      </w:r>
      <w:r>
        <w:rPr>
          <w:b/>
          <w:bCs/>
          <w:sz w:val="24"/>
          <w:szCs w:val="24"/>
          <w:u w:val="single"/>
          <w:lang w:val="en-US"/>
        </w:rPr>
        <w:t>,</w:t>
      </w:r>
      <w:r>
        <w:rPr>
          <w:sz w:val="24"/>
          <w:szCs w:val="24"/>
          <w:lang w:val="en-US"/>
        </w:rPr>
        <w:t xml:space="preserve"> nine illiterate black men were charged with the offence of rape of two white girls. A judge appointed an advocate from the bar to represent the accused but he took up the case with reluctance and did not give the accused time to prepare for their case. The accused were convicted and on appeal the Supreme Court </w:t>
      </w:r>
      <w:r>
        <w:rPr>
          <w:color w:val="FF0000"/>
          <w:sz w:val="24"/>
          <w:szCs w:val="24"/>
          <w:lang w:val="en-US"/>
        </w:rPr>
        <w:t>quashed</w:t>
      </w:r>
      <w:r>
        <w:rPr>
          <w:sz w:val="24"/>
          <w:szCs w:val="24"/>
          <w:lang w:val="en-US"/>
        </w:rPr>
        <w:t xml:space="preserve"> their conviction on the grounds that they did not have adequate time to prepare for their defense. (For instance in Kenya, Philip </w:t>
      </w:r>
      <w:proofErr w:type="spellStart"/>
      <w:r>
        <w:rPr>
          <w:sz w:val="24"/>
          <w:szCs w:val="24"/>
          <w:lang w:val="en-US"/>
        </w:rPr>
        <w:t>Onyancha</w:t>
      </w:r>
      <w:proofErr w:type="spellEnd"/>
      <w:r>
        <w:rPr>
          <w:sz w:val="24"/>
          <w:szCs w:val="24"/>
          <w:lang w:val="en-US"/>
        </w:rPr>
        <w:t xml:space="preserve">, a serial killer was shunned by lawyers who did not want to represent him. Paul </w:t>
      </w:r>
      <w:proofErr w:type="spellStart"/>
      <w:r>
        <w:rPr>
          <w:sz w:val="24"/>
          <w:szCs w:val="24"/>
          <w:lang w:val="en-US"/>
        </w:rPr>
        <w:t>Muite</w:t>
      </w:r>
      <w:proofErr w:type="spellEnd"/>
      <w:r>
        <w:rPr>
          <w:sz w:val="24"/>
          <w:szCs w:val="24"/>
          <w:lang w:val="en-US"/>
        </w:rPr>
        <w:t>, Senior Counsel was criticized by members of the public when he took up the matter.)</w:t>
      </w:r>
    </w:p>
    <w:p w:rsidR="00235730" w:rsidRDefault="004C3BEF">
      <w:pPr>
        <w:spacing w:line="360" w:lineRule="auto"/>
        <w:rPr>
          <w:sz w:val="24"/>
          <w:szCs w:val="24"/>
          <w:lang w:val="en-US"/>
        </w:rPr>
      </w:pPr>
      <w:r>
        <w:rPr>
          <w:sz w:val="24"/>
          <w:szCs w:val="24"/>
          <w:lang w:val="en-US"/>
        </w:rPr>
        <w:t xml:space="preserve">The supreme court of India in </w:t>
      </w:r>
      <w:r>
        <w:rPr>
          <w:b/>
          <w:bCs/>
          <w:sz w:val="24"/>
          <w:szCs w:val="24"/>
          <w:lang w:val="en-US"/>
        </w:rPr>
        <w:t xml:space="preserve">A.S Mohamed </w:t>
      </w:r>
      <w:proofErr w:type="spellStart"/>
      <w:r>
        <w:rPr>
          <w:b/>
          <w:bCs/>
          <w:sz w:val="24"/>
          <w:szCs w:val="24"/>
          <w:lang w:val="en-US"/>
        </w:rPr>
        <w:t>Rafi</w:t>
      </w:r>
      <w:proofErr w:type="spellEnd"/>
      <w:r>
        <w:rPr>
          <w:b/>
          <w:bCs/>
          <w:sz w:val="24"/>
          <w:szCs w:val="24"/>
          <w:lang w:val="en-US"/>
        </w:rPr>
        <w:t xml:space="preserve"> v State of Tamil Nadu </w:t>
      </w:r>
      <w:proofErr w:type="spellStart"/>
      <w:r>
        <w:rPr>
          <w:b/>
          <w:bCs/>
          <w:sz w:val="24"/>
          <w:szCs w:val="24"/>
          <w:lang w:val="en-US"/>
        </w:rPr>
        <w:t>Rep.By</w:t>
      </w:r>
      <w:proofErr w:type="spellEnd"/>
      <w:r>
        <w:rPr>
          <w:b/>
          <w:bCs/>
          <w:sz w:val="24"/>
          <w:szCs w:val="24"/>
          <w:lang w:val="en-US"/>
        </w:rPr>
        <w:t xml:space="preserve"> </w:t>
      </w:r>
      <w:proofErr w:type="spellStart"/>
      <w:r>
        <w:rPr>
          <w:b/>
          <w:bCs/>
          <w:sz w:val="24"/>
          <w:szCs w:val="24"/>
          <w:lang w:val="en-US"/>
        </w:rPr>
        <w:t>Hom</w:t>
      </w:r>
      <w:proofErr w:type="spellEnd"/>
      <w:r>
        <w:rPr>
          <w:b/>
          <w:bCs/>
          <w:sz w:val="24"/>
          <w:szCs w:val="24"/>
          <w:lang w:val="en-US"/>
        </w:rPr>
        <w:t xml:space="preserve"> Dept &amp; Others</w:t>
      </w:r>
      <w:r>
        <w:rPr>
          <w:rStyle w:val="FootnoteReference"/>
          <w:b/>
          <w:bCs/>
          <w:sz w:val="24"/>
          <w:szCs w:val="24"/>
          <w:lang w:val="en-US"/>
        </w:rPr>
        <w:footnoteReference w:id="5"/>
      </w:r>
      <w:r>
        <w:rPr>
          <w:b/>
          <w:bCs/>
          <w:sz w:val="24"/>
          <w:szCs w:val="24"/>
          <w:lang w:val="en-US"/>
        </w:rPr>
        <w:t xml:space="preserve">, </w:t>
      </w:r>
      <w:r>
        <w:rPr>
          <w:sz w:val="24"/>
          <w:szCs w:val="24"/>
          <w:lang w:val="en-US"/>
        </w:rPr>
        <w:t>went further to say that the cab rank rule is the cornerstone of the legal profession, and where an advocate because of his moral convictions or personal beliefs refuses to take a brief, he is stepping into the role of a judge.</w:t>
      </w:r>
      <w:r>
        <w:rPr>
          <w:rStyle w:val="FootnoteReference"/>
          <w:sz w:val="24"/>
          <w:szCs w:val="24"/>
          <w:lang w:val="en-US"/>
        </w:rPr>
        <w:footnoteReference w:id="6"/>
      </w:r>
      <w:r>
        <w:rPr>
          <w:sz w:val="24"/>
          <w:szCs w:val="24"/>
          <w:lang w:val="en-US"/>
        </w:rPr>
        <w:t xml:space="preserve"> Every person, ‘</w:t>
      </w:r>
      <w:r>
        <w:rPr>
          <w:i/>
          <w:iCs/>
          <w:sz w:val="24"/>
          <w:szCs w:val="24"/>
          <w:lang w:val="en-US"/>
        </w:rPr>
        <w:t>no matter however wicked, depraved, vile, degenerate, perverted, loathsome, execrable, viscous, or repulsive he may be regarded as society has a right to be defended in a court of law and correspondingly it is the duty of the lawyer to defend him.’</w:t>
      </w:r>
      <w:r>
        <w:rPr>
          <w:rStyle w:val="FootnoteReference"/>
          <w:i/>
          <w:iCs/>
          <w:sz w:val="24"/>
          <w:szCs w:val="24"/>
          <w:lang w:val="en-US"/>
        </w:rPr>
        <w:footnoteReference w:id="7"/>
      </w:r>
      <w:r>
        <w:rPr>
          <w:i/>
          <w:iCs/>
          <w:sz w:val="24"/>
          <w:szCs w:val="24"/>
          <w:lang w:val="en-US"/>
        </w:rPr>
        <w:t xml:space="preserve"> </w:t>
      </w:r>
    </w:p>
    <w:p w:rsidR="00235730" w:rsidRDefault="004C3BEF">
      <w:pPr>
        <w:spacing w:line="360" w:lineRule="auto"/>
        <w:rPr>
          <w:sz w:val="24"/>
          <w:szCs w:val="24"/>
          <w:lang w:val="en-US"/>
        </w:rPr>
      </w:pPr>
      <w:r>
        <w:rPr>
          <w:sz w:val="24"/>
          <w:szCs w:val="24"/>
          <w:lang w:val="en-US"/>
        </w:rPr>
        <w:lastRenderedPageBreak/>
        <w:t>It should be noted therefore that legal representation does not mean that an advocate has endorsed the actions of his client. A lawyer does not need to feel “personally committed” to her client’s case to be able to provide legal services.</w:t>
      </w:r>
      <w:r>
        <w:rPr>
          <w:rStyle w:val="FootnoteReference"/>
          <w:sz w:val="24"/>
          <w:szCs w:val="24"/>
          <w:lang w:val="en-US"/>
        </w:rPr>
        <w:footnoteReference w:id="8"/>
      </w:r>
    </w:p>
    <w:p w:rsidR="00235730" w:rsidRDefault="00235730">
      <w:pPr>
        <w:spacing w:line="360" w:lineRule="auto"/>
        <w:rPr>
          <w:b/>
          <w:bCs/>
          <w:sz w:val="24"/>
          <w:szCs w:val="24"/>
          <w:u w:val="single"/>
          <w:lang w:val="en-US"/>
        </w:rPr>
      </w:pPr>
    </w:p>
    <w:p w:rsidR="00235730" w:rsidRDefault="004C3BEF">
      <w:pPr>
        <w:spacing w:line="360" w:lineRule="auto"/>
        <w:rPr>
          <w:b/>
          <w:bCs/>
          <w:sz w:val="24"/>
          <w:szCs w:val="24"/>
          <w:u w:val="single"/>
          <w:lang w:val="en-US"/>
        </w:rPr>
      </w:pPr>
      <w:r>
        <w:rPr>
          <w:b/>
          <w:bCs/>
          <w:sz w:val="24"/>
          <w:szCs w:val="24"/>
          <w:u w:val="single"/>
          <w:lang w:val="en-US"/>
        </w:rPr>
        <w:t>RELEVANCE OF THE CAB RANK RULE:</w:t>
      </w:r>
    </w:p>
    <w:p w:rsidR="00235730" w:rsidRDefault="004C3BEF">
      <w:pPr>
        <w:spacing w:line="360" w:lineRule="auto"/>
        <w:rPr>
          <w:sz w:val="24"/>
          <w:szCs w:val="24"/>
          <w:lang w:val="en-US"/>
        </w:rPr>
      </w:pPr>
      <w:r>
        <w:rPr>
          <w:sz w:val="24"/>
          <w:szCs w:val="24"/>
          <w:lang w:val="en-US"/>
        </w:rPr>
        <w:t>The rule plays a pivotal role in the administration of justice from an early stage Lord Irvine was able to identify that,</w:t>
      </w:r>
    </w:p>
    <w:p w:rsidR="00235730" w:rsidRDefault="004C3BEF">
      <w:pPr>
        <w:spacing w:line="360" w:lineRule="auto"/>
        <w:rPr>
          <w:sz w:val="24"/>
          <w:szCs w:val="24"/>
          <w:lang w:val="en-US"/>
        </w:rPr>
      </w:pPr>
      <w:r>
        <w:rPr>
          <w:sz w:val="24"/>
          <w:szCs w:val="24"/>
          <w:lang w:val="en-US"/>
        </w:rPr>
        <w:t>“</w:t>
      </w:r>
      <w:r>
        <w:rPr>
          <w:i/>
          <w:iCs/>
          <w:sz w:val="24"/>
          <w:szCs w:val="24"/>
          <w:lang w:val="en-US"/>
        </w:rPr>
        <w:t>The Cab rank rule is one of the glories of the bar. It underscores that every member of the bar is obliged, without fear or favor, to represent clients who offer themselves regardless of how unpopular they may be in the community or elsewhere</w:t>
      </w:r>
      <w:r>
        <w:rPr>
          <w:sz w:val="24"/>
          <w:szCs w:val="24"/>
          <w:lang w:val="en-US"/>
        </w:rPr>
        <w:t xml:space="preserve">” </w:t>
      </w:r>
    </w:p>
    <w:p w:rsidR="00235730" w:rsidRDefault="004C3BEF">
      <w:pPr>
        <w:spacing w:line="360" w:lineRule="auto"/>
        <w:rPr>
          <w:sz w:val="24"/>
          <w:szCs w:val="24"/>
          <w:lang w:val="en-US"/>
        </w:rPr>
      </w:pPr>
      <w:r>
        <w:rPr>
          <w:sz w:val="24"/>
          <w:szCs w:val="24"/>
          <w:lang w:val="en-US"/>
        </w:rPr>
        <w:t>The cab rank rule is important because</w:t>
      </w:r>
    </w:p>
    <w:p w:rsidR="00235730" w:rsidRDefault="004C3BEF">
      <w:pPr>
        <w:pStyle w:val="ListParagraph"/>
        <w:numPr>
          <w:ilvl w:val="0"/>
          <w:numId w:val="11"/>
        </w:numPr>
        <w:spacing w:line="360" w:lineRule="auto"/>
        <w:rPr>
          <w:sz w:val="24"/>
          <w:szCs w:val="24"/>
          <w:lang w:val="en-US"/>
        </w:rPr>
      </w:pPr>
      <w:r>
        <w:rPr>
          <w:sz w:val="24"/>
          <w:szCs w:val="24"/>
          <w:lang w:val="en-US"/>
        </w:rPr>
        <w:t>It ensures that even the most unpopular and anti-social are entitled to effective and independent legal representation by a lawyer.</w:t>
      </w:r>
    </w:p>
    <w:p w:rsidR="00235730" w:rsidRDefault="004C3BEF">
      <w:pPr>
        <w:pStyle w:val="ListParagraph"/>
        <w:numPr>
          <w:ilvl w:val="0"/>
          <w:numId w:val="11"/>
        </w:numPr>
        <w:spacing w:line="360" w:lineRule="auto"/>
        <w:rPr>
          <w:sz w:val="24"/>
          <w:szCs w:val="24"/>
          <w:lang w:val="en-US"/>
        </w:rPr>
      </w:pPr>
      <w:r>
        <w:rPr>
          <w:sz w:val="24"/>
          <w:szCs w:val="24"/>
          <w:lang w:val="en-US"/>
        </w:rPr>
        <w:t>The rule operates in the public interest and in the interest of justice.</w:t>
      </w:r>
    </w:p>
    <w:p w:rsidR="00235730" w:rsidRDefault="004C3BEF">
      <w:pPr>
        <w:pStyle w:val="ListParagraph"/>
        <w:numPr>
          <w:ilvl w:val="0"/>
          <w:numId w:val="11"/>
        </w:numPr>
        <w:spacing w:line="360" w:lineRule="auto"/>
        <w:rPr>
          <w:sz w:val="24"/>
          <w:szCs w:val="24"/>
          <w:lang w:val="en-US"/>
        </w:rPr>
      </w:pPr>
      <w:r>
        <w:rPr>
          <w:sz w:val="24"/>
          <w:szCs w:val="24"/>
          <w:lang w:val="en-US"/>
        </w:rPr>
        <w:t>It protects lawyers who takes on unpopular cases and reassures the public that they are entitled to representation even if their case is controversial in nature.</w:t>
      </w:r>
    </w:p>
    <w:p w:rsidR="00235730" w:rsidRDefault="004C3BEF">
      <w:pPr>
        <w:pStyle w:val="ListParagraph"/>
        <w:numPr>
          <w:ilvl w:val="0"/>
          <w:numId w:val="11"/>
        </w:numPr>
        <w:spacing w:line="360" w:lineRule="auto"/>
        <w:rPr>
          <w:sz w:val="24"/>
          <w:szCs w:val="24"/>
          <w:lang w:val="en-US"/>
        </w:rPr>
      </w:pPr>
      <w:r>
        <w:rPr>
          <w:sz w:val="24"/>
          <w:szCs w:val="24"/>
          <w:lang w:val="en-US"/>
        </w:rPr>
        <w:t>The rule seems to reinforce the idea that clients rather than lawyers are “in charge” in the relationship and not unrelated to discourage in various ways the entrepreneurial approach to legal practice so typical of the legal system.</w:t>
      </w:r>
    </w:p>
    <w:p w:rsidR="00235730" w:rsidRDefault="004C3BEF">
      <w:pPr>
        <w:rPr>
          <w:sz w:val="24"/>
          <w:szCs w:val="24"/>
          <w:lang w:val="en-US"/>
        </w:rPr>
      </w:pPr>
      <w:r>
        <w:rPr>
          <w:sz w:val="24"/>
          <w:szCs w:val="24"/>
          <w:lang w:val="en-US"/>
        </w:rPr>
        <w:t>Like most legal rules however, it is subject to exceptions which will be discussed below:</w:t>
      </w:r>
    </w:p>
    <w:p w:rsidR="00235730" w:rsidRDefault="00235730">
      <w:pPr>
        <w:rPr>
          <w:sz w:val="24"/>
          <w:szCs w:val="24"/>
          <w:lang w:val="en-US"/>
        </w:rPr>
      </w:pPr>
    </w:p>
    <w:p w:rsidR="00235730" w:rsidRDefault="004C3BEF">
      <w:pPr>
        <w:pStyle w:val="ListParagraph"/>
        <w:numPr>
          <w:ilvl w:val="0"/>
          <w:numId w:val="4"/>
        </w:numPr>
        <w:ind w:left="360" w:firstLine="0"/>
        <w:rPr>
          <w:sz w:val="24"/>
          <w:szCs w:val="24"/>
          <w:lang w:val="en-US"/>
        </w:rPr>
      </w:pPr>
      <w:r>
        <w:rPr>
          <w:sz w:val="24"/>
          <w:szCs w:val="24"/>
          <w:lang w:val="en-US"/>
        </w:rPr>
        <w:t xml:space="preserve">A lawyer may refuse to take a case where he feels he lacks the sufficient experience or competence to handle the matter. </w:t>
      </w:r>
    </w:p>
    <w:p w:rsidR="00235730" w:rsidRDefault="004C3BEF">
      <w:pPr>
        <w:pStyle w:val="ListParagraph"/>
        <w:numPr>
          <w:ilvl w:val="0"/>
          <w:numId w:val="4"/>
        </w:numPr>
        <w:ind w:left="360" w:firstLine="0"/>
        <w:rPr>
          <w:sz w:val="24"/>
          <w:szCs w:val="24"/>
          <w:lang w:val="en-US"/>
        </w:rPr>
      </w:pPr>
      <w:r>
        <w:rPr>
          <w:sz w:val="24"/>
          <w:szCs w:val="24"/>
          <w:lang w:val="en-US"/>
        </w:rPr>
        <w:t>If having regard to his other professional commitments he will not have time to take the brief.</w:t>
      </w:r>
    </w:p>
    <w:p w:rsidR="00235730" w:rsidRDefault="004C3BEF">
      <w:pPr>
        <w:pStyle w:val="ListParagraph"/>
        <w:numPr>
          <w:ilvl w:val="0"/>
          <w:numId w:val="4"/>
        </w:numPr>
        <w:spacing w:line="360" w:lineRule="auto"/>
        <w:ind w:left="360" w:firstLine="0"/>
        <w:rPr>
          <w:sz w:val="24"/>
          <w:szCs w:val="24"/>
          <w:lang w:val="en-US"/>
        </w:rPr>
      </w:pPr>
      <w:r>
        <w:rPr>
          <w:sz w:val="24"/>
          <w:szCs w:val="24"/>
          <w:lang w:val="en-US"/>
        </w:rPr>
        <w:t>Where a situation of conflict of interest would arise.</w:t>
      </w:r>
    </w:p>
    <w:p w:rsidR="00235730" w:rsidRDefault="004C3BEF">
      <w:pPr>
        <w:pStyle w:val="ListParagraph"/>
        <w:numPr>
          <w:ilvl w:val="0"/>
          <w:numId w:val="4"/>
        </w:numPr>
        <w:spacing w:line="360" w:lineRule="auto"/>
        <w:ind w:left="360" w:firstLine="0"/>
        <w:rPr>
          <w:sz w:val="24"/>
          <w:szCs w:val="24"/>
          <w:lang w:val="en-US"/>
        </w:rPr>
      </w:pPr>
      <w:r>
        <w:rPr>
          <w:sz w:val="24"/>
          <w:szCs w:val="24"/>
          <w:lang w:val="en-US"/>
        </w:rPr>
        <w:lastRenderedPageBreak/>
        <w:t>If he is not going to be properly paid or paid at all.</w:t>
      </w:r>
    </w:p>
    <w:p w:rsidR="00235730" w:rsidRDefault="004C3BEF">
      <w:pPr>
        <w:pStyle w:val="ListParagraph"/>
        <w:numPr>
          <w:ilvl w:val="0"/>
          <w:numId w:val="4"/>
        </w:numPr>
        <w:spacing w:line="360" w:lineRule="auto"/>
        <w:ind w:left="360" w:firstLine="0"/>
        <w:rPr>
          <w:sz w:val="24"/>
          <w:szCs w:val="24"/>
          <w:lang w:val="en-US"/>
        </w:rPr>
      </w:pPr>
      <w:r>
        <w:rPr>
          <w:sz w:val="24"/>
          <w:szCs w:val="24"/>
          <w:lang w:val="en-US"/>
        </w:rPr>
        <w:t>If the work involved is more than a lawyer would undertake in a year.</w:t>
      </w:r>
    </w:p>
    <w:p w:rsidR="00235730" w:rsidRDefault="004C3BEF">
      <w:pPr>
        <w:pStyle w:val="ListParagraph"/>
        <w:numPr>
          <w:ilvl w:val="0"/>
          <w:numId w:val="4"/>
        </w:numPr>
        <w:spacing w:line="360" w:lineRule="auto"/>
        <w:ind w:left="360" w:firstLine="0"/>
        <w:rPr>
          <w:sz w:val="24"/>
          <w:szCs w:val="24"/>
          <w:lang w:val="en-US"/>
        </w:rPr>
      </w:pPr>
      <w:r>
        <w:rPr>
          <w:sz w:val="24"/>
          <w:szCs w:val="24"/>
          <w:lang w:val="en-US"/>
        </w:rPr>
        <w:t>Where the potential liability for professional negligence in respect of the case would exceed the level of professional indemnity which is reasonably available in the market for him to accept.</w:t>
      </w:r>
    </w:p>
    <w:p w:rsidR="00235730" w:rsidRDefault="00235730">
      <w:pPr>
        <w:pStyle w:val="ListParagraph"/>
        <w:ind w:left="360"/>
        <w:rPr>
          <w:sz w:val="24"/>
          <w:szCs w:val="24"/>
          <w:lang w:val="en-US"/>
        </w:rPr>
      </w:pPr>
    </w:p>
    <w:p w:rsidR="00235730" w:rsidRDefault="004C3BEF">
      <w:pPr>
        <w:pStyle w:val="ListParagraph"/>
        <w:ind w:left="360"/>
        <w:rPr>
          <w:b/>
          <w:bCs/>
          <w:sz w:val="24"/>
          <w:szCs w:val="24"/>
          <w:lang w:val="en-US"/>
        </w:rPr>
      </w:pPr>
      <w:r>
        <w:rPr>
          <w:b/>
          <w:bCs/>
          <w:sz w:val="24"/>
          <w:szCs w:val="24"/>
          <w:lang w:val="en-US"/>
        </w:rPr>
        <w:t xml:space="preserve">    </w:t>
      </w:r>
    </w:p>
    <w:p w:rsidR="00235730" w:rsidRDefault="004C3BEF">
      <w:pPr>
        <w:pStyle w:val="ListParagraph"/>
        <w:numPr>
          <w:ilvl w:val="0"/>
          <w:numId w:val="9"/>
        </w:numPr>
        <w:rPr>
          <w:b/>
          <w:bCs/>
          <w:sz w:val="24"/>
          <w:szCs w:val="24"/>
          <w:u w:val="single"/>
          <w:lang w:val="en-US"/>
        </w:rPr>
      </w:pPr>
      <w:r>
        <w:rPr>
          <w:b/>
          <w:bCs/>
          <w:sz w:val="24"/>
          <w:szCs w:val="24"/>
          <w:u w:val="single"/>
          <w:lang w:val="en-US"/>
        </w:rPr>
        <w:t>THE KENYAN POSITION ON THE CAB RANK RULE:</w:t>
      </w:r>
    </w:p>
    <w:p w:rsidR="00235730" w:rsidRDefault="00235730">
      <w:pPr>
        <w:pStyle w:val="ListParagraph"/>
        <w:ind w:left="360"/>
        <w:rPr>
          <w:b/>
          <w:bCs/>
          <w:sz w:val="24"/>
          <w:szCs w:val="24"/>
          <w:u w:val="single"/>
          <w:lang w:val="en-US"/>
        </w:rPr>
      </w:pPr>
    </w:p>
    <w:p w:rsidR="00235730" w:rsidRDefault="004C3BEF">
      <w:pPr>
        <w:pStyle w:val="ListParagraph"/>
        <w:spacing w:line="360" w:lineRule="auto"/>
        <w:ind w:left="360"/>
        <w:rPr>
          <w:sz w:val="24"/>
          <w:szCs w:val="24"/>
          <w:lang w:val="en-US"/>
        </w:rPr>
      </w:pPr>
      <w:r>
        <w:rPr>
          <w:sz w:val="24"/>
          <w:szCs w:val="24"/>
          <w:lang w:val="en-US"/>
        </w:rPr>
        <w:t>The cab-rank rule is not well developed and entrenched in the Kenyan legal system. This is partly because most Kenyan lawyers are jacks of all trades and a master of none i.e. they pursue all types of cases and do not specialize.</w:t>
      </w:r>
      <w:r>
        <w:rPr>
          <w:rStyle w:val="FootnoteReference"/>
          <w:sz w:val="24"/>
          <w:szCs w:val="24"/>
          <w:lang w:val="en-US"/>
        </w:rPr>
        <w:footnoteReference w:id="9"/>
      </w:r>
      <w:r>
        <w:rPr>
          <w:sz w:val="24"/>
          <w:szCs w:val="24"/>
          <w:lang w:val="en-US"/>
        </w:rPr>
        <w:t xml:space="preserve"> That said there are some general requirements by the Law Society of Kenya regarding professional work. </w:t>
      </w:r>
    </w:p>
    <w:p w:rsidR="00235730" w:rsidRDefault="00235730">
      <w:pPr>
        <w:pStyle w:val="ListParagraph"/>
        <w:ind w:left="360"/>
        <w:rPr>
          <w:sz w:val="24"/>
          <w:szCs w:val="24"/>
          <w:lang w:val="en-US"/>
        </w:rPr>
      </w:pPr>
    </w:p>
    <w:p w:rsidR="00235730" w:rsidRDefault="004C3BEF">
      <w:pPr>
        <w:pStyle w:val="ListParagraph"/>
        <w:numPr>
          <w:ilvl w:val="0"/>
          <w:numId w:val="5"/>
        </w:numPr>
        <w:spacing w:line="360" w:lineRule="auto"/>
        <w:ind w:left="360" w:firstLine="0"/>
        <w:rPr>
          <w:sz w:val="24"/>
          <w:szCs w:val="24"/>
          <w:lang w:val="en-US"/>
        </w:rPr>
      </w:pPr>
      <w:r>
        <w:rPr>
          <w:sz w:val="24"/>
          <w:szCs w:val="24"/>
          <w:lang w:val="en-US"/>
        </w:rPr>
        <w:t>As soon as is practical, after receipt of instructions, a lawyer should satisfy himself that there is any reason why he ought not to accept it.</w:t>
      </w:r>
    </w:p>
    <w:p w:rsidR="00235730" w:rsidRDefault="004C3BEF">
      <w:pPr>
        <w:pStyle w:val="ListParagraph"/>
        <w:numPr>
          <w:ilvl w:val="0"/>
          <w:numId w:val="5"/>
        </w:numPr>
        <w:spacing w:line="360" w:lineRule="auto"/>
        <w:ind w:left="360" w:firstLine="0"/>
        <w:rPr>
          <w:sz w:val="24"/>
          <w:szCs w:val="24"/>
          <w:lang w:val="en-US"/>
        </w:rPr>
      </w:pPr>
      <w:r>
        <w:rPr>
          <w:sz w:val="24"/>
          <w:szCs w:val="24"/>
          <w:lang w:val="en-US"/>
        </w:rPr>
        <w:t>A lawyer is not considered to have accepted client’s instructions unless he has had opportunity to consider it and has expressly accepted it.</w:t>
      </w:r>
    </w:p>
    <w:p w:rsidR="00235730" w:rsidRDefault="004C3BEF">
      <w:pPr>
        <w:spacing w:line="360" w:lineRule="auto"/>
        <w:rPr>
          <w:sz w:val="24"/>
          <w:szCs w:val="24"/>
          <w:lang w:val="en-US"/>
        </w:rPr>
      </w:pPr>
      <w:r>
        <w:rPr>
          <w:sz w:val="24"/>
          <w:szCs w:val="24"/>
          <w:lang w:val="en-US"/>
        </w:rPr>
        <w:t>Generally, a lawyer should exercise due diligence and avoid engaging in conduct which is:</w:t>
      </w:r>
    </w:p>
    <w:p w:rsidR="00235730" w:rsidRDefault="004C3BEF">
      <w:pPr>
        <w:pStyle w:val="ListParagraph"/>
        <w:numPr>
          <w:ilvl w:val="0"/>
          <w:numId w:val="10"/>
        </w:numPr>
        <w:spacing w:line="360" w:lineRule="auto"/>
        <w:rPr>
          <w:sz w:val="24"/>
          <w:szCs w:val="24"/>
          <w:lang w:val="en-US"/>
        </w:rPr>
      </w:pPr>
      <w:r>
        <w:rPr>
          <w:sz w:val="24"/>
          <w:szCs w:val="24"/>
          <w:lang w:val="en-US"/>
        </w:rPr>
        <w:t xml:space="preserve">Dishonest or otherwise illegal; </w:t>
      </w:r>
    </w:p>
    <w:p w:rsidR="00235730" w:rsidRDefault="004C3BEF">
      <w:pPr>
        <w:pStyle w:val="ListParagraph"/>
        <w:numPr>
          <w:ilvl w:val="0"/>
          <w:numId w:val="10"/>
        </w:numPr>
        <w:spacing w:line="360" w:lineRule="auto"/>
        <w:rPr>
          <w:sz w:val="24"/>
          <w:szCs w:val="24"/>
          <w:lang w:val="en-US"/>
        </w:rPr>
      </w:pPr>
      <w:r>
        <w:rPr>
          <w:sz w:val="24"/>
          <w:szCs w:val="24"/>
          <w:lang w:val="en-US"/>
        </w:rPr>
        <w:t xml:space="preserve">prejudicial to the administration of justice; or </w:t>
      </w:r>
    </w:p>
    <w:p w:rsidR="00235730" w:rsidRDefault="004C3BEF">
      <w:pPr>
        <w:pStyle w:val="ListParagraph"/>
        <w:numPr>
          <w:ilvl w:val="0"/>
          <w:numId w:val="10"/>
        </w:numPr>
        <w:spacing w:line="360" w:lineRule="auto"/>
        <w:rPr>
          <w:sz w:val="24"/>
          <w:szCs w:val="24"/>
          <w:lang w:val="en-US"/>
        </w:rPr>
      </w:pPr>
      <w:r>
        <w:rPr>
          <w:sz w:val="24"/>
          <w:szCs w:val="24"/>
          <w:lang w:val="en-US"/>
        </w:rPr>
        <w:t xml:space="preserve">Likely to diminish public confidence in the legal profession. </w:t>
      </w:r>
    </w:p>
    <w:p w:rsidR="00235730" w:rsidRDefault="004C3BEF">
      <w:pPr>
        <w:spacing w:line="360" w:lineRule="auto"/>
        <w:rPr>
          <w:sz w:val="24"/>
          <w:szCs w:val="24"/>
          <w:lang w:val="en-US"/>
        </w:rPr>
      </w:pPr>
      <w:r>
        <w:rPr>
          <w:b/>
          <w:bCs/>
          <w:sz w:val="24"/>
          <w:szCs w:val="24"/>
          <w:lang w:val="en-US"/>
        </w:rPr>
        <w:t>Professor Tom Ojienda</w:t>
      </w:r>
      <w:r>
        <w:rPr>
          <w:sz w:val="24"/>
          <w:szCs w:val="24"/>
          <w:lang w:val="en-US"/>
        </w:rPr>
        <w:t xml:space="preserve"> in </w:t>
      </w:r>
      <w:r>
        <w:rPr>
          <w:b/>
          <w:bCs/>
          <w:i/>
          <w:iCs/>
          <w:sz w:val="24"/>
          <w:szCs w:val="24"/>
          <w:lang w:val="en-US"/>
        </w:rPr>
        <w:t xml:space="preserve">“Professional Ethics: A Kenyan perspective” </w:t>
      </w:r>
      <w:r>
        <w:rPr>
          <w:sz w:val="24"/>
          <w:szCs w:val="24"/>
          <w:lang w:val="en-US"/>
        </w:rPr>
        <w:t xml:space="preserve">expounds on the cab rank rule, he states that an advocate is largely obliged to take instructions from any client, he should not </w:t>
      </w:r>
      <w:r>
        <w:rPr>
          <w:sz w:val="24"/>
          <w:szCs w:val="24"/>
          <w:lang w:val="en-US"/>
        </w:rPr>
        <w:lastRenderedPageBreak/>
        <w:t>discriminate on age, color, creed, gender……</w:t>
      </w:r>
      <w:r>
        <w:rPr>
          <w:rStyle w:val="FootnoteReference"/>
          <w:sz w:val="24"/>
          <w:szCs w:val="24"/>
          <w:lang w:val="en-US"/>
        </w:rPr>
        <w:footnoteReference w:id="10"/>
      </w:r>
      <w:r>
        <w:rPr>
          <w:sz w:val="24"/>
          <w:szCs w:val="24"/>
          <w:lang w:val="en-US"/>
        </w:rPr>
        <w:t xml:space="preserve"> He goes further to say that an advocate may decline instructions where,</w:t>
      </w:r>
    </w:p>
    <w:p w:rsidR="00235730" w:rsidRDefault="004C3BEF">
      <w:pPr>
        <w:pStyle w:val="ListParagraph"/>
        <w:numPr>
          <w:ilvl w:val="0"/>
          <w:numId w:val="6"/>
        </w:numPr>
        <w:spacing w:line="360" w:lineRule="auto"/>
        <w:rPr>
          <w:sz w:val="24"/>
          <w:szCs w:val="24"/>
          <w:lang w:val="en-US"/>
        </w:rPr>
      </w:pPr>
      <w:r>
        <w:rPr>
          <w:sz w:val="24"/>
          <w:szCs w:val="24"/>
          <w:lang w:val="en-US"/>
        </w:rPr>
        <w:t>He does not have enough time.</w:t>
      </w:r>
    </w:p>
    <w:p w:rsidR="00235730" w:rsidRDefault="004C3BEF">
      <w:pPr>
        <w:pStyle w:val="ListParagraph"/>
        <w:numPr>
          <w:ilvl w:val="0"/>
          <w:numId w:val="6"/>
        </w:numPr>
        <w:spacing w:line="360" w:lineRule="auto"/>
        <w:rPr>
          <w:sz w:val="24"/>
          <w:szCs w:val="24"/>
          <w:lang w:val="en-US"/>
        </w:rPr>
      </w:pPr>
      <w:r>
        <w:rPr>
          <w:sz w:val="24"/>
          <w:szCs w:val="24"/>
          <w:lang w:val="en-US"/>
        </w:rPr>
        <w:t>Where there is conflict of interest.</w:t>
      </w:r>
    </w:p>
    <w:p w:rsidR="00235730" w:rsidRDefault="004C3BEF">
      <w:pPr>
        <w:pStyle w:val="ListParagraph"/>
        <w:numPr>
          <w:ilvl w:val="0"/>
          <w:numId w:val="6"/>
        </w:numPr>
        <w:spacing w:line="360" w:lineRule="auto"/>
        <w:rPr>
          <w:sz w:val="24"/>
          <w:szCs w:val="24"/>
          <w:lang w:val="en-US"/>
        </w:rPr>
      </w:pPr>
      <w:r>
        <w:rPr>
          <w:sz w:val="24"/>
          <w:szCs w:val="24"/>
          <w:lang w:val="en-US"/>
        </w:rPr>
        <w:t>His client wants to take certain action purely to injure someone else.</w:t>
      </w:r>
    </w:p>
    <w:p w:rsidR="00235730" w:rsidRDefault="004C3BEF">
      <w:pPr>
        <w:pStyle w:val="ListParagraph"/>
        <w:numPr>
          <w:ilvl w:val="0"/>
          <w:numId w:val="6"/>
        </w:numPr>
        <w:spacing w:line="360" w:lineRule="auto"/>
        <w:rPr>
          <w:sz w:val="24"/>
          <w:szCs w:val="24"/>
          <w:lang w:val="en-US"/>
        </w:rPr>
      </w:pPr>
      <w:r>
        <w:rPr>
          <w:sz w:val="24"/>
          <w:szCs w:val="24"/>
          <w:lang w:val="en-US"/>
        </w:rPr>
        <w:t>The instructions given are not clear.</w:t>
      </w:r>
    </w:p>
    <w:p w:rsidR="00235730" w:rsidRDefault="004C3BEF">
      <w:pPr>
        <w:pStyle w:val="ListParagraph"/>
        <w:numPr>
          <w:ilvl w:val="0"/>
          <w:numId w:val="6"/>
        </w:numPr>
        <w:spacing w:line="360" w:lineRule="auto"/>
        <w:rPr>
          <w:sz w:val="24"/>
          <w:szCs w:val="24"/>
          <w:lang w:val="en-US"/>
        </w:rPr>
      </w:pPr>
      <w:r>
        <w:rPr>
          <w:sz w:val="24"/>
          <w:szCs w:val="24"/>
          <w:lang w:val="en-US"/>
        </w:rPr>
        <w:t>A client does not want to pay fees.</w:t>
      </w:r>
    </w:p>
    <w:p w:rsidR="00235730" w:rsidRDefault="004C3BEF">
      <w:pPr>
        <w:rPr>
          <w:sz w:val="24"/>
          <w:szCs w:val="24"/>
          <w:lang w:val="en-US"/>
        </w:rPr>
      </w:pPr>
      <w:r>
        <w:rPr>
          <w:sz w:val="24"/>
          <w:szCs w:val="24"/>
          <w:lang w:val="en-US"/>
        </w:rPr>
        <w:t>We shall turn our focus specifically the matter of conflict of interest.</w:t>
      </w:r>
    </w:p>
    <w:p w:rsidR="00235730" w:rsidRDefault="00235730">
      <w:pPr>
        <w:rPr>
          <w:sz w:val="24"/>
          <w:szCs w:val="24"/>
          <w:lang w:val="en-US"/>
        </w:rPr>
      </w:pPr>
    </w:p>
    <w:p w:rsidR="00235730" w:rsidRDefault="00235730">
      <w:pPr>
        <w:rPr>
          <w:sz w:val="24"/>
          <w:szCs w:val="24"/>
          <w:lang w:val="en-US"/>
        </w:rPr>
      </w:pPr>
    </w:p>
    <w:p w:rsidR="00235730" w:rsidRDefault="00235730">
      <w:pPr>
        <w:rPr>
          <w:sz w:val="24"/>
          <w:szCs w:val="24"/>
          <w:lang w:val="en-US"/>
        </w:rPr>
      </w:pPr>
    </w:p>
    <w:p w:rsidR="00235730" w:rsidRDefault="004C3BEF">
      <w:pPr>
        <w:pStyle w:val="ListParagraph"/>
        <w:numPr>
          <w:ilvl w:val="0"/>
          <w:numId w:val="9"/>
        </w:numPr>
        <w:rPr>
          <w:b/>
          <w:bCs/>
          <w:sz w:val="24"/>
          <w:szCs w:val="24"/>
          <w:u w:val="single"/>
          <w:lang w:val="en-US"/>
        </w:rPr>
      </w:pPr>
      <w:r>
        <w:rPr>
          <w:b/>
          <w:bCs/>
          <w:sz w:val="24"/>
          <w:szCs w:val="24"/>
          <w:u w:val="single"/>
          <w:lang w:val="en-US"/>
        </w:rPr>
        <w:t>CONFLICT OF INTEREST:</w:t>
      </w:r>
    </w:p>
    <w:p w:rsidR="00235730" w:rsidRDefault="004C3BEF">
      <w:pPr>
        <w:spacing w:line="360" w:lineRule="auto"/>
        <w:rPr>
          <w:sz w:val="24"/>
          <w:szCs w:val="24"/>
          <w:lang w:val="en-US"/>
        </w:rPr>
      </w:pPr>
      <w:r>
        <w:rPr>
          <w:sz w:val="24"/>
          <w:szCs w:val="24"/>
          <w:lang w:val="en-US"/>
        </w:rPr>
        <w:t>Conflict of interest is, as aforementioned, an exception to the cab rank rule. The concept of conflict of interest stems from the general assertion that no man can serve two servants. A conflict of interest arises where a lawyer has a private or personal interest in a matter sufficient to at least appear to influence the objective of his duties.</w:t>
      </w:r>
      <w:r>
        <w:rPr>
          <w:rStyle w:val="FootnoteReference"/>
          <w:sz w:val="24"/>
          <w:szCs w:val="24"/>
          <w:lang w:val="en-US"/>
        </w:rPr>
        <w:footnoteReference w:id="11"/>
      </w:r>
      <w:r>
        <w:rPr>
          <w:sz w:val="24"/>
          <w:szCs w:val="24"/>
          <w:lang w:val="en-US"/>
        </w:rPr>
        <w:t>Thus where there is a conflict of interest a lawyer has competing interests or loyalties that are or potentially adverse with each other and may cloud his objectivity.</w:t>
      </w:r>
      <w:r>
        <w:rPr>
          <w:rStyle w:val="FootnoteReference"/>
          <w:sz w:val="24"/>
          <w:szCs w:val="24"/>
          <w:lang w:val="en-US"/>
        </w:rPr>
        <w:footnoteReference w:id="12"/>
      </w:r>
      <w:r>
        <w:rPr>
          <w:sz w:val="24"/>
          <w:szCs w:val="24"/>
          <w:lang w:val="en-US"/>
        </w:rPr>
        <w:t xml:space="preserve"> </w:t>
      </w:r>
      <w:r>
        <w:rPr>
          <w:b/>
          <w:bCs/>
          <w:sz w:val="24"/>
          <w:szCs w:val="24"/>
          <w:lang w:val="en-US"/>
        </w:rPr>
        <w:t>The international Bar Association</w:t>
      </w:r>
      <w:r>
        <w:rPr>
          <w:sz w:val="24"/>
          <w:szCs w:val="24"/>
          <w:lang w:val="en-US"/>
        </w:rPr>
        <w:t xml:space="preserve"> has codified the principle in the </w:t>
      </w:r>
      <w:r>
        <w:rPr>
          <w:b/>
          <w:bCs/>
          <w:sz w:val="24"/>
          <w:szCs w:val="24"/>
          <w:lang w:val="en-US"/>
        </w:rPr>
        <w:t>1988 International Code of Ethics</w:t>
      </w:r>
      <w:r>
        <w:rPr>
          <w:sz w:val="24"/>
          <w:szCs w:val="24"/>
          <w:lang w:val="en-US"/>
        </w:rPr>
        <w:t xml:space="preserve"> stating that:</w:t>
      </w:r>
    </w:p>
    <w:p w:rsidR="00235730" w:rsidRDefault="004C3BEF">
      <w:pPr>
        <w:spacing w:line="360" w:lineRule="auto"/>
        <w:rPr>
          <w:i/>
          <w:iCs/>
          <w:sz w:val="24"/>
          <w:szCs w:val="24"/>
          <w:lang w:val="en-US"/>
        </w:rPr>
      </w:pPr>
      <w:r>
        <w:rPr>
          <w:sz w:val="24"/>
          <w:szCs w:val="24"/>
          <w:lang w:val="en-US"/>
        </w:rPr>
        <w:t>‘</w:t>
      </w:r>
      <w:r>
        <w:rPr>
          <w:i/>
          <w:iCs/>
          <w:sz w:val="24"/>
          <w:szCs w:val="24"/>
          <w:lang w:val="en-US"/>
        </w:rPr>
        <w:t xml:space="preserve">Lawyers should never represent conflicting interests in litigation. In non-litigation matters, lawyers should do so only after having disclosed all conflicts or possible conflicts of interest to all parties. This rule also applies to lawyers in a firm.’ </w:t>
      </w:r>
      <w:r>
        <w:rPr>
          <w:rStyle w:val="FootnoteReference"/>
          <w:i/>
          <w:iCs/>
          <w:sz w:val="24"/>
          <w:szCs w:val="24"/>
          <w:lang w:val="en-US"/>
        </w:rPr>
        <w:footnoteReference w:id="13"/>
      </w:r>
    </w:p>
    <w:p w:rsidR="00235730" w:rsidRDefault="004C3BEF">
      <w:pPr>
        <w:spacing w:line="360" w:lineRule="auto"/>
        <w:rPr>
          <w:sz w:val="24"/>
          <w:szCs w:val="24"/>
          <w:lang w:val="en-US"/>
        </w:rPr>
      </w:pPr>
      <w:r>
        <w:rPr>
          <w:sz w:val="24"/>
          <w:szCs w:val="24"/>
          <w:lang w:val="en-US"/>
        </w:rPr>
        <w:t xml:space="preserve">Where a lawyer is convinced that conflict of interest arises or is likely to arise, he should </w:t>
      </w:r>
      <w:r w:rsidR="002B6950">
        <w:rPr>
          <w:sz w:val="24"/>
          <w:szCs w:val="24"/>
          <w:lang w:val="en-US"/>
        </w:rPr>
        <w:t>disqualify</w:t>
      </w:r>
      <w:r>
        <w:rPr>
          <w:sz w:val="24"/>
          <w:szCs w:val="24"/>
          <w:lang w:val="en-US"/>
        </w:rPr>
        <w:t xml:space="preserve"> himself, similarly where a lawyer is convinced that a conflict of interest would arise on the part of </w:t>
      </w:r>
      <w:r>
        <w:rPr>
          <w:sz w:val="24"/>
          <w:szCs w:val="24"/>
          <w:lang w:val="en-US"/>
        </w:rPr>
        <w:lastRenderedPageBreak/>
        <w:t>counsel on the other side, he should make an application to the c</w:t>
      </w:r>
      <w:r w:rsidR="002B6950">
        <w:rPr>
          <w:sz w:val="24"/>
          <w:szCs w:val="24"/>
          <w:lang w:val="en-US"/>
        </w:rPr>
        <w:t>ourt to have that counsel disqualifie</w:t>
      </w:r>
      <w:r>
        <w:rPr>
          <w:sz w:val="24"/>
          <w:szCs w:val="24"/>
          <w:lang w:val="en-US"/>
        </w:rPr>
        <w:t>d.</w:t>
      </w:r>
      <w:r>
        <w:rPr>
          <w:rStyle w:val="FootnoteReference"/>
          <w:sz w:val="24"/>
          <w:szCs w:val="24"/>
          <w:lang w:val="en-US"/>
        </w:rPr>
        <w:footnoteReference w:id="14"/>
      </w:r>
      <w:r>
        <w:rPr>
          <w:sz w:val="24"/>
          <w:szCs w:val="24"/>
          <w:lang w:val="en-US"/>
        </w:rPr>
        <w:t xml:space="preserve"> </w:t>
      </w:r>
    </w:p>
    <w:p w:rsidR="00235730" w:rsidRDefault="00FE6965">
      <w:pPr>
        <w:pStyle w:val="ListParagraph"/>
        <w:numPr>
          <w:ilvl w:val="0"/>
          <w:numId w:val="9"/>
        </w:numPr>
        <w:rPr>
          <w:b/>
          <w:bCs/>
          <w:sz w:val="24"/>
          <w:szCs w:val="24"/>
          <w:u w:val="single"/>
          <w:lang w:val="en-US"/>
        </w:rPr>
      </w:pPr>
      <w:r>
        <w:rPr>
          <w:b/>
          <w:bCs/>
          <w:sz w:val="24"/>
          <w:szCs w:val="24"/>
          <w:u w:val="single"/>
          <w:lang w:val="en-US"/>
        </w:rPr>
        <w:t>BROAD CATEGORIES WHERE</w:t>
      </w:r>
      <w:r w:rsidR="004C3BEF">
        <w:rPr>
          <w:b/>
          <w:bCs/>
          <w:sz w:val="24"/>
          <w:szCs w:val="24"/>
          <w:u w:val="single"/>
          <w:lang w:val="en-US"/>
        </w:rPr>
        <w:t xml:space="preserve"> CONFLICT OF INTEREST </w:t>
      </w:r>
      <w:r>
        <w:rPr>
          <w:b/>
          <w:bCs/>
          <w:sz w:val="24"/>
          <w:szCs w:val="24"/>
          <w:u w:val="single"/>
          <w:lang w:val="en-US"/>
        </w:rPr>
        <w:t xml:space="preserve"> MAY ARISE</w:t>
      </w:r>
    </w:p>
    <w:p w:rsidR="00235730" w:rsidRDefault="004C3BEF">
      <w:pPr>
        <w:rPr>
          <w:sz w:val="24"/>
          <w:szCs w:val="24"/>
          <w:lang w:val="en-US"/>
        </w:rPr>
      </w:pPr>
      <w:r>
        <w:rPr>
          <w:sz w:val="24"/>
          <w:szCs w:val="24"/>
          <w:lang w:val="en-US"/>
        </w:rPr>
        <w:t>Conflict of interest generally arises in four ways,</w:t>
      </w:r>
    </w:p>
    <w:p w:rsidR="00235730" w:rsidRDefault="004C3BEF">
      <w:pPr>
        <w:pStyle w:val="ListParagraph"/>
        <w:numPr>
          <w:ilvl w:val="0"/>
          <w:numId w:val="7"/>
        </w:numPr>
        <w:rPr>
          <w:b/>
          <w:bCs/>
          <w:sz w:val="24"/>
          <w:szCs w:val="24"/>
          <w:u w:val="single"/>
          <w:lang w:val="en-US"/>
        </w:rPr>
      </w:pPr>
      <w:r>
        <w:rPr>
          <w:b/>
          <w:bCs/>
          <w:sz w:val="24"/>
          <w:szCs w:val="24"/>
          <w:u w:val="single"/>
          <w:lang w:val="en-US"/>
        </w:rPr>
        <w:t>Where a lawyers personal interests and the interests of a client are in conflict:</w:t>
      </w:r>
    </w:p>
    <w:p w:rsidR="00235730" w:rsidRDefault="00235730">
      <w:pPr>
        <w:pStyle w:val="ListParagraph"/>
        <w:ind w:left="1140"/>
        <w:rPr>
          <w:b/>
          <w:bCs/>
          <w:sz w:val="24"/>
          <w:szCs w:val="24"/>
          <w:u w:val="single"/>
          <w:lang w:val="en-US"/>
        </w:rPr>
      </w:pPr>
    </w:p>
    <w:p w:rsidR="00235730" w:rsidRDefault="004C3BEF">
      <w:pPr>
        <w:pStyle w:val="ListParagraph"/>
        <w:spacing w:line="360" w:lineRule="auto"/>
        <w:ind w:left="1138"/>
        <w:rPr>
          <w:sz w:val="24"/>
          <w:szCs w:val="24"/>
          <w:lang w:val="en-US"/>
        </w:rPr>
      </w:pPr>
      <w:r>
        <w:rPr>
          <w:sz w:val="24"/>
          <w:szCs w:val="24"/>
          <w:lang w:val="en-US"/>
        </w:rPr>
        <w:t xml:space="preserve">A lawyer should avoid taking a brief where his personal interests would be in competition with that of his client. For example where litigations involve close relatives of the lawyer. The emotional attachment and the personal interest of the advocate would almost certainly cloud objectivity. Similarly, it would be imprudent for a lawyer to have a sexual relationship with his client; such a relationship will almost always affect the rational thinking of an advocate. Another example would be where an advocate enters into business transactions with a client or where a lawyer is a director in a company, such an advocate cannot accept a brief to represent that same company. </w:t>
      </w:r>
      <w:r>
        <w:rPr>
          <w:b/>
          <w:bCs/>
          <w:sz w:val="24"/>
          <w:szCs w:val="24"/>
          <w:u w:val="single"/>
          <w:lang w:val="en-US"/>
        </w:rPr>
        <w:t xml:space="preserve">Electoral Commission of Kenya </w:t>
      </w:r>
      <w:proofErr w:type="spellStart"/>
      <w:r>
        <w:rPr>
          <w:b/>
          <w:bCs/>
          <w:sz w:val="24"/>
          <w:szCs w:val="24"/>
          <w:u w:val="single"/>
          <w:lang w:val="en-US"/>
        </w:rPr>
        <w:t>Blasto</w:t>
      </w:r>
      <w:proofErr w:type="spellEnd"/>
      <w:r>
        <w:rPr>
          <w:rStyle w:val="FootnoteReference"/>
          <w:sz w:val="24"/>
          <w:szCs w:val="24"/>
          <w:lang w:val="en-US"/>
        </w:rPr>
        <w:footnoteReference w:id="15"/>
      </w:r>
      <w:r>
        <w:rPr>
          <w:sz w:val="24"/>
          <w:szCs w:val="24"/>
          <w:lang w:val="en-US"/>
        </w:rPr>
        <w:t xml:space="preserve">, in this particular case the chairman of the </w:t>
      </w:r>
      <w:proofErr w:type="spellStart"/>
      <w:r>
        <w:rPr>
          <w:sz w:val="24"/>
          <w:szCs w:val="24"/>
          <w:lang w:val="en-US"/>
        </w:rPr>
        <w:t>Electrol</w:t>
      </w:r>
      <w:proofErr w:type="spellEnd"/>
      <w:r>
        <w:rPr>
          <w:sz w:val="24"/>
          <w:szCs w:val="24"/>
          <w:lang w:val="en-US"/>
        </w:rPr>
        <w:t xml:space="preserve"> Commission of Kenya, who was also an advocate of the High Court, was barred from representing ECK in a suit. It was held there would be a conflict of interests as this could embarrass the case at a later stage.</w:t>
      </w:r>
    </w:p>
    <w:p w:rsidR="00235730" w:rsidRDefault="00235730">
      <w:pPr>
        <w:pStyle w:val="ListParagraph"/>
        <w:ind w:left="1140"/>
        <w:rPr>
          <w:sz w:val="24"/>
          <w:szCs w:val="24"/>
          <w:lang w:val="en-US"/>
        </w:rPr>
      </w:pPr>
    </w:p>
    <w:p w:rsidR="00235730" w:rsidRDefault="004C3BEF">
      <w:pPr>
        <w:pStyle w:val="ListParagraph"/>
        <w:numPr>
          <w:ilvl w:val="0"/>
          <w:numId w:val="7"/>
        </w:numPr>
        <w:rPr>
          <w:b/>
          <w:bCs/>
          <w:sz w:val="24"/>
          <w:szCs w:val="24"/>
          <w:u w:val="single"/>
          <w:lang w:val="en-US"/>
        </w:rPr>
      </w:pPr>
      <w:r>
        <w:rPr>
          <w:b/>
          <w:bCs/>
          <w:sz w:val="24"/>
          <w:szCs w:val="24"/>
          <w:u w:val="single"/>
          <w:lang w:val="en-US"/>
        </w:rPr>
        <w:t>Where a lawyer is representing two clients simultaneously:</w:t>
      </w:r>
    </w:p>
    <w:p w:rsidR="00235730" w:rsidRDefault="00235730">
      <w:pPr>
        <w:pStyle w:val="ListParagraph"/>
        <w:ind w:left="1140"/>
        <w:rPr>
          <w:b/>
          <w:bCs/>
          <w:sz w:val="24"/>
          <w:szCs w:val="24"/>
          <w:u w:val="single"/>
          <w:lang w:val="en-US"/>
        </w:rPr>
      </w:pPr>
    </w:p>
    <w:p w:rsidR="00235730" w:rsidRDefault="004C3BEF">
      <w:pPr>
        <w:pStyle w:val="ListParagraph"/>
        <w:spacing w:line="360" w:lineRule="auto"/>
        <w:ind w:left="1138"/>
        <w:rPr>
          <w:sz w:val="24"/>
          <w:szCs w:val="24"/>
          <w:lang w:val="en-US"/>
        </w:rPr>
      </w:pPr>
      <w:r>
        <w:rPr>
          <w:sz w:val="24"/>
          <w:szCs w:val="24"/>
          <w:lang w:val="en-US"/>
        </w:rPr>
        <w:t xml:space="preserve">Where an advocate is representing two advocates simultaneously, conflict of interest might arise and especially, but not exclusively, in matters of litigation. This may occur when an advocate in furthering the case of one client, would be likely to reveal information which would hurt the case of the other client. For example, in land matters a lawyer should refrain from acting for both a vendor and purchaser in the case of a sale, or mortgagor/charger and mortgagee/charge in the case of a mortgage/charge. </w:t>
      </w:r>
      <w:r>
        <w:rPr>
          <w:b/>
          <w:bCs/>
          <w:sz w:val="24"/>
          <w:szCs w:val="24"/>
          <w:u w:val="single"/>
          <w:lang w:val="en-US"/>
        </w:rPr>
        <w:t xml:space="preserve">King Woolen </w:t>
      </w:r>
      <w:proofErr w:type="gramStart"/>
      <w:r>
        <w:rPr>
          <w:b/>
          <w:bCs/>
          <w:sz w:val="24"/>
          <w:szCs w:val="24"/>
          <w:u w:val="single"/>
          <w:lang w:val="en-US"/>
        </w:rPr>
        <w:t>Mills</w:t>
      </w:r>
      <w:proofErr w:type="gramEnd"/>
      <w:r>
        <w:rPr>
          <w:b/>
          <w:bCs/>
          <w:sz w:val="24"/>
          <w:szCs w:val="24"/>
          <w:u w:val="single"/>
          <w:lang w:val="en-US"/>
        </w:rPr>
        <w:t xml:space="preserve"> v Kaplan and Stratton Advocates.</w:t>
      </w:r>
      <w:r>
        <w:rPr>
          <w:rStyle w:val="FootnoteReference"/>
          <w:sz w:val="24"/>
          <w:szCs w:val="24"/>
          <w:lang w:val="en-US"/>
        </w:rPr>
        <w:footnoteReference w:id="16"/>
      </w:r>
      <w:r>
        <w:rPr>
          <w:b/>
          <w:bCs/>
          <w:sz w:val="24"/>
          <w:szCs w:val="24"/>
          <w:lang w:val="en-US"/>
        </w:rPr>
        <w:t xml:space="preserve"> </w:t>
      </w:r>
      <w:r>
        <w:rPr>
          <w:sz w:val="24"/>
          <w:szCs w:val="24"/>
          <w:lang w:val="en-US"/>
        </w:rPr>
        <w:t xml:space="preserve">This is because the nature of relationship between a client and an </w:t>
      </w:r>
      <w:r>
        <w:rPr>
          <w:sz w:val="24"/>
          <w:szCs w:val="24"/>
          <w:lang w:val="en-US"/>
        </w:rPr>
        <w:lastRenderedPageBreak/>
        <w:t>advocate is essentially fiduciary. This position is reiterated in the Advocate Practicing Rules of 1966.</w:t>
      </w:r>
    </w:p>
    <w:p w:rsidR="00235730" w:rsidRDefault="004C3BEF">
      <w:pPr>
        <w:pStyle w:val="ListParagraph"/>
        <w:spacing w:line="360" w:lineRule="auto"/>
        <w:ind w:left="1138"/>
        <w:rPr>
          <w:sz w:val="24"/>
          <w:szCs w:val="24"/>
          <w:lang w:val="en-US"/>
        </w:rPr>
      </w:pPr>
      <w:r>
        <w:rPr>
          <w:sz w:val="24"/>
          <w:szCs w:val="24"/>
          <w:lang w:val="en-US"/>
        </w:rPr>
        <w:t>A broader perspective of this is in the case of a law firm. A conflict of interest may arise where one advocate in the same firm represents an opposing party in a case where a member of the same firm is representing the other.</w:t>
      </w:r>
    </w:p>
    <w:p w:rsidR="00235730" w:rsidRDefault="00235730">
      <w:pPr>
        <w:pStyle w:val="ListParagraph"/>
        <w:ind w:left="1140"/>
        <w:rPr>
          <w:sz w:val="24"/>
          <w:szCs w:val="24"/>
          <w:lang w:val="en-US"/>
        </w:rPr>
      </w:pPr>
    </w:p>
    <w:p w:rsidR="00235730" w:rsidRDefault="004C3BEF">
      <w:pPr>
        <w:pStyle w:val="ListParagraph"/>
        <w:numPr>
          <w:ilvl w:val="0"/>
          <w:numId w:val="7"/>
        </w:numPr>
        <w:rPr>
          <w:b/>
          <w:bCs/>
          <w:sz w:val="24"/>
          <w:szCs w:val="24"/>
          <w:u w:val="single"/>
          <w:lang w:val="en-US"/>
        </w:rPr>
      </w:pPr>
      <w:r>
        <w:rPr>
          <w:b/>
          <w:bCs/>
          <w:sz w:val="24"/>
          <w:szCs w:val="24"/>
          <w:u w:val="single"/>
          <w:lang w:val="en-US"/>
        </w:rPr>
        <w:t>In cases of Successive Representation:</w:t>
      </w:r>
    </w:p>
    <w:p w:rsidR="00235730" w:rsidRDefault="00235730">
      <w:pPr>
        <w:pStyle w:val="ListParagraph"/>
        <w:ind w:left="1140"/>
        <w:rPr>
          <w:b/>
          <w:bCs/>
          <w:sz w:val="24"/>
          <w:szCs w:val="24"/>
          <w:u w:val="single"/>
          <w:lang w:val="en-US"/>
        </w:rPr>
      </w:pPr>
    </w:p>
    <w:p w:rsidR="00235730" w:rsidRDefault="004C3BEF">
      <w:pPr>
        <w:pStyle w:val="ListParagraph"/>
        <w:spacing w:line="360" w:lineRule="auto"/>
        <w:ind w:left="1138"/>
        <w:rPr>
          <w:sz w:val="24"/>
          <w:szCs w:val="24"/>
          <w:lang w:val="en-US"/>
        </w:rPr>
      </w:pPr>
      <w:r>
        <w:rPr>
          <w:sz w:val="24"/>
          <w:szCs w:val="24"/>
          <w:lang w:val="en-US"/>
        </w:rPr>
        <w:t xml:space="preserve">This occurs when an advocate loyalty to a present client is in conflict with his loyalty to a former client. An advocate may be disqualified where there is likely to be a breach of confidential information especially where the interests of the former and current client are adverse or have the potential to be. In </w:t>
      </w:r>
      <w:proofErr w:type="spellStart"/>
      <w:r>
        <w:rPr>
          <w:b/>
          <w:bCs/>
          <w:sz w:val="24"/>
          <w:szCs w:val="24"/>
          <w:u w:val="single"/>
          <w:lang w:val="en-US"/>
        </w:rPr>
        <w:t>Simba</w:t>
      </w:r>
      <w:proofErr w:type="spellEnd"/>
      <w:r>
        <w:rPr>
          <w:b/>
          <w:bCs/>
          <w:sz w:val="24"/>
          <w:szCs w:val="24"/>
          <w:u w:val="single"/>
          <w:lang w:val="en-US"/>
        </w:rPr>
        <w:t xml:space="preserve"> Hills Farm Limited v Sultan </w:t>
      </w:r>
      <w:proofErr w:type="spellStart"/>
      <w:r>
        <w:rPr>
          <w:b/>
          <w:bCs/>
          <w:sz w:val="24"/>
          <w:szCs w:val="24"/>
          <w:u w:val="single"/>
          <w:lang w:val="en-US"/>
        </w:rPr>
        <w:t>Hasham</w:t>
      </w:r>
      <w:proofErr w:type="spellEnd"/>
      <w:r>
        <w:rPr>
          <w:b/>
          <w:bCs/>
          <w:sz w:val="24"/>
          <w:szCs w:val="24"/>
          <w:u w:val="single"/>
          <w:lang w:val="en-US"/>
        </w:rPr>
        <w:t xml:space="preserve"> </w:t>
      </w:r>
      <w:proofErr w:type="spellStart"/>
      <w:r>
        <w:rPr>
          <w:b/>
          <w:bCs/>
          <w:sz w:val="24"/>
          <w:szCs w:val="24"/>
          <w:u w:val="single"/>
          <w:lang w:val="en-US"/>
        </w:rPr>
        <w:t>Llaji</w:t>
      </w:r>
      <w:proofErr w:type="spellEnd"/>
      <w:r>
        <w:rPr>
          <w:b/>
          <w:bCs/>
          <w:sz w:val="24"/>
          <w:szCs w:val="24"/>
          <w:u w:val="single"/>
          <w:lang w:val="en-US"/>
        </w:rPr>
        <w:t xml:space="preserve"> &amp; 5</w:t>
      </w:r>
      <w:r>
        <w:rPr>
          <w:sz w:val="24"/>
          <w:szCs w:val="24"/>
          <w:lang w:val="en-US"/>
        </w:rPr>
        <w:t xml:space="preserve"> </w:t>
      </w:r>
      <w:r>
        <w:rPr>
          <w:b/>
          <w:bCs/>
          <w:sz w:val="24"/>
          <w:szCs w:val="24"/>
          <w:u w:val="single"/>
          <w:lang w:val="en-US"/>
        </w:rPr>
        <w:t>others</w:t>
      </w:r>
      <w:r>
        <w:rPr>
          <w:sz w:val="24"/>
          <w:szCs w:val="24"/>
          <w:lang w:val="en-US"/>
        </w:rPr>
        <w:t>:</w:t>
      </w:r>
      <w:r>
        <w:rPr>
          <w:rStyle w:val="FootnoteReference"/>
          <w:sz w:val="24"/>
          <w:szCs w:val="24"/>
          <w:lang w:val="en-US"/>
        </w:rPr>
        <w:footnoteReference w:id="17"/>
      </w:r>
      <w:r>
        <w:rPr>
          <w:sz w:val="24"/>
          <w:szCs w:val="24"/>
          <w:lang w:val="en-US"/>
        </w:rPr>
        <w:t xml:space="preserve"> An application was made for the disqualification of barring advocates from conducting that suit on the ground that the advocate for the plaintiff had previously acted for the 3</w:t>
      </w:r>
      <w:r>
        <w:rPr>
          <w:sz w:val="24"/>
          <w:szCs w:val="24"/>
          <w:vertAlign w:val="superscript"/>
          <w:lang w:val="en-US"/>
        </w:rPr>
        <w:t>rd</w:t>
      </w:r>
      <w:r>
        <w:rPr>
          <w:sz w:val="24"/>
          <w:szCs w:val="24"/>
          <w:lang w:val="en-US"/>
        </w:rPr>
        <w:t xml:space="preserve"> and 4</w:t>
      </w:r>
      <w:r>
        <w:rPr>
          <w:sz w:val="24"/>
          <w:szCs w:val="24"/>
          <w:vertAlign w:val="superscript"/>
          <w:lang w:val="en-US"/>
        </w:rPr>
        <w:t>th</w:t>
      </w:r>
      <w:r>
        <w:rPr>
          <w:sz w:val="24"/>
          <w:szCs w:val="24"/>
          <w:lang w:val="en-US"/>
        </w:rPr>
        <w:t xml:space="preserve"> defendants in a previous suit. The court rightly held that there was a conflict of interest and the firm could not continue to act for the plaintiff as it was possible that as former counsel for the said defendants, he could have come across information that would be prejudicial to the defendants.</w:t>
      </w:r>
    </w:p>
    <w:p w:rsidR="00235730" w:rsidRDefault="00235730">
      <w:pPr>
        <w:pStyle w:val="ListParagraph"/>
        <w:spacing w:line="360" w:lineRule="auto"/>
        <w:ind w:left="1138"/>
        <w:rPr>
          <w:sz w:val="24"/>
          <w:szCs w:val="24"/>
          <w:lang w:val="en-US"/>
        </w:rPr>
      </w:pPr>
    </w:p>
    <w:p w:rsidR="00235730" w:rsidRDefault="00235730">
      <w:pPr>
        <w:pStyle w:val="ListParagraph"/>
        <w:ind w:left="1140"/>
        <w:rPr>
          <w:sz w:val="24"/>
          <w:szCs w:val="24"/>
          <w:lang w:val="en-US"/>
        </w:rPr>
      </w:pPr>
    </w:p>
    <w:p w:rsidR="00235730" w:rsidRDefault="004C3BEF">
      <w:pPr>
        <w:pStyle w:val="ListParagraph"/>
        <w:numPr>
          <w:ilvl w:val="0"/>
          <w:numId w:val="7"/>
        </w:numPr>
        <w:rPr>
          <w:b/>
          <w:bCs/>
          <w:sz w:val="24"/>
          <w:szCs w:val="24"/>
          <w:u w:val="single"/>
          <w:lang w:val="en-US"/>
        </w:rPr>
      </w:pPr>
      <w:r>
        <w:rPr>
          <w:b/>
          <w:bCs/>
          <w:sz w:val="24"/>
          <w:szCs w:val="24"/>
          <w:u w:val="single"/>
          <w:lang w:val="en-US"/>
        </w:rPr>
        <w:t>Where the lawyer owes a duty to a third party:</w:t>
      </w:r>
    </w:p>
    <w:p w:rsidR="00235730" w:rsidRDefault="00235730">
      <w:pPr>
        <w:pStyle w:val="ListParagraph"/>
        <w:ind w:left="1140"/>
        <w:rPr>
          <w:b/>
          <w:bCs/>
          <w:sz w:val="24"/>
          <w:szCs w:val="24"/>
          <w:u w:val="single"/>
          <w:lang w:val="en-US"/>
        </w:rPr>
      </w:pPr>
    </w:p>
    <w:p w:rsidR="00235730" w:rsidRDefault="004C3BEF">
      <w:pPr>
        <w:pStyle w:val="ListParagraph"/>
        <w:spacing w:line="360" w:lineRule="auto"/>
        <w:ind w:left="1138"/>
        <w:rPr>
          <w:sz w:val="24"/>
          <w:szCs w:val="24"/>
          <w:lang w:val="en-US"/>
        </w:rPr>
      </w:pPr>
      <w:r>
        <w:rPr>
          <w:sz w:val="24"/>
          <w:szCs w:val="24"/>
          <w:lang w:val="en-US"/>
        </w:rPr>
        <w:t>Where a lawyer owes a duty to a third party and the rights of those third parties are adverse to those of a lawyer’s client, it would be i</w:t>
      </w:r>
      <w:r w:rsidR="002B6950">
        <w:rPr>
          <w:sz w:val="24"/>
          <w:szCs w:val="24"/>
          <w:lang w:val="en-US"/>
        </w:rPr>
        <w:t>mperative for a lawyer to disqualify</w:t>
      </w:r>
      <w:r>
        <w:rPr>
          <w:sz w:val="24"/>
          <w:szCs w:val="24"/>
          <w:lang w:val="en-US"/>
        </w:rPr>
        <w:t xml:space="preserve"> himself. It would also be a valid ground for advocate on the op</w:t>
      </w:r>
      <w:r w:rsidR="002B6950">
        <w:rPr>
          <w:sz w:val="24"/>
          <w:szCs w:val="24"/>
          <w:lang w:val="en-US"/>
        </w:rPr>
        <w:t>posing side to apply for disqualification</w:t>
      </w:r>
      <w:r>
        <w:rPr>
          <w:sz w:val="24"/>
          <w:szCs w:val="24"/>
          <w:lang w:val="en-US"/>
        </w:rPr>
        <w:t xml:space="preserve">. In </w:t>
      </w:r>
      <w:r>
        <w:rPr>
          <w:b/>
          <w:bCs/>
          <w:sz w:val="24"/>
          <w:szCs w:val="24"/>
          <w:u w:val="single"/>
          <w:lang w:val="en-US"/>
        </w:rPr>
        <w:t xml:space="preserve">Francis </w:t>
      </w:r>
      <w:proofErr w:type="spellStart"/>
      <w:r>
        <w:rPr>
          <w:b/>
          <w:bCs/>
          <w:sz w:val="24"/>
          <w:szCs w:val="24"/>
          <w:u w:val="single"/>
          <w:lang w:val="en-US"/>
        </w:rPr>
        <w:t>Mugo</w:t>
      </w:r>
      <w:proofErr w:type="spellEnd"/>
      <w:r>
        <w:rPr>
          <w:sz w:val="24"/>
          <w:szCs w:val="24"/>
          <w:lang w:val="en-US"/>
        </w:rPr>
        <w:t xml:space="preserve"> </w:t>
      </w:r>
      <w:r>
        <w:rPr>
          <w:b/>
          <w:bCs/>
          <w:sz w:val="24"/>
          <w:szCs w:val="24"/>
          <w:u w:val="single"/>
          <w:lang w:val="en-US"/>
        </w:rPr>
        <w:t xml:space="preserve">&amp; 22 others v James </w:t>
      </w:r>
      <w:proofErr w:type="spellStart"/>
      <w:r>
        <w:rPr>
          <w:b/>
          <w:bCs/>
          <w:sz w:val="24"/>
          <w:szCs w:val="24"/>
          <w:u w:val="single"/>
          <w:lang w:val="en-US"/>
        </w:rPr>
        <w:t>Bress</w:t>
      </w:r>
      <w:proofErr w:type="spellEnd"/>
      <w:r>
        <w:rPr>
          <w:b/>
          <w:bCs/>
          <w:sz w:val="24"/>
          <w:szCs w:val="24"/>
          <w:u w:val="single"/>
          <w:lang w:val="en-US"/>
        </w:rPr>
        <w:t xml:space="preserve"> </w:t>
      </w:r>
      <w:proofErr w:type="spellStart"/>
      <w:r>
        <w:rPr>
          <w:b/>
          <w:bCs/>
          <w:sz w:val="24"/>
          <w:szCs w:val="24"/>
          <w:u w:val="single"/>
          <w:lang w:val="en-US"/>
        </w:rPr>
        <w:t>Muthee</w:t>
      </w:r>
      <w:proofErr w:type="spellEnd"/>
      <w:r>
        <w:rPr>
          <w:b/>
          <w:bCs/>
          <w:sz w:val="24"/>
          <w:szCs w:val="24"/>
          <w:u w:val="single"/>
          <w:lang w:val="en-US"/>
        </w:rPr>
        <w:t xml:space="preserve"> &amp; 3 others</w:t>
      </w:r>
      <w:r>
        <w:rPr>
          <w:sz w:val="24"/>
          <w:szCs w:val="24"/>
          <w:lang w:val="en-US"/>
        </w:rPr>
        <w:t>,</w:t>
      </w:r>
      <w:r>
        <w:rPr>
          <w:rStyle w:val="FootnoteReference"/>
          <w:sz w:val="24"/>
          <w:szCs w:val="24"/>
          <w:lang w:val="en-US"/>
        </w:rPr>
        <w:footnoteReference w:id="18"/>
      </w:r>
      <w:r>
        <w:rPr>
          <w:sz w:val="24"/>
          <w:szCs w:val="24"/>
          <w:lang w:val="en-US"/>
        </w:rPr>
        <w:t xml:space="preserve"> the firm was disqualified from conducting the suit because the defendant had intended to call an advocate from that firm as </w:t>
      </w:r>
      <w:r>
        <w:rPr>
          <w:sz w:val="24"/>
          <w:szCs w:val="24"/>
          <w:lang w:val="en-US"/>
        </w:rPr>
        <w:lastRenderedPageBreak/>
        <w:t>a witness. Rule 9 of the Advocate Practicing Rules states that where an advocate believes that he will be called as a witness in a matter he should not appear before a court presiding over the same matter.</w:t>
      </w:r>
    </w:p>
    <w:p w:rsidR="00235730" w:rsidRDefault="004C3BEF">
      <w:pPr>
        <w:pStyle w:val="ListParagraph"/>
        <w:spacing w:line="360" w:lineRule="auto"/>
        <w:ind w:left="1138"/>
        <w:rPr>
          <w:i/>
          <w:iCs/>
          <w:sz w:val="24"/>
          <w:szCs w:val="24"/>
          <w:lang w:val="en-US"/>
        </w:rPr>
      </w:pPr>
      <w:r>
        <w:rPr>
          <w:sz w:val="24"/>
          <w:szCs w:val="24"/>
          <w:lang w:val="en-US"/>
        </w:rPr>
        <w:t xml:space="preserve">Similarly in </w:t>
      </w:r>
      <w:proofErr w:type="spellStart"/>
      <w:r>
        <w:rPr>
          <w:b/>
          <w:bCs/>
          <w:sz w:val="24"/>
          <w:szCs w:val="24"/>
          <w:u w:val="single"/>
          <w:lang w:val="en-US"/>
        </w:rPr>
        <w:t>Delphis</w:t>
      </w:r>
      <w:proofErr w:type="spellEnd"/>
      <w:r>
        <w:rPr>
          <w:b/>
          <w:bCs/>
          <w:sz w:val="24"/>
          <w:szCs w:val="24"/>
          <w:u w:val="single"/>
          <w:lang w:val="en-US"/>
        </w:rPr>
        <w:t xml:space="preserve"> Bank Limited v </w:t>
      </w:r>
      <w:proofErr w:type="spellStart"/>
      <w:r>
        <w:rPr>
          <w:b/>
          <w:bCs/>
          <w:sz w:val="24"/>
          <w:szCs w:val="24"/>
          <w:u w:val="single"/>
          <w:lang w:val="en-US"/>
        </w:rPr>
        <w:t>Channah</w:t>
      </w:r>
      <w:proofErr w:type="spellEnd"/>
      <w:r>
        <w:rPr>
          <w:b/>
          <w:bCs/>
          <w:sz w:val="24"/>
          <w:szCs w:val="24"/>
          <w:u w:val="single"/>
          <w:lang w:val="en-US"/>
        </w:rPr>
        <w:t xml:space="preserve"> Singh </w:t>
      </w:r>
      <w:proofErr w:type="spellStart"/>
      <w:r>
        <w:rPr>
          <w:b/>
          <w:bCs/>
          <w:sz w:val="24"/>
          <w:szCs w:val="24"/>
          <w:u w:val="single"/>
          <w:lang w:val="en-US"/>
        </w:rPr>
        <w:t>Chatthe</w:t>
      </w:r>
      <w:proofErr w:type="spellEnd"/>
      <w:r>
        <w:rPr>
          <w:b/>
          <w:bCs/>
          <w:sz w:val="24"/>
          <w:szCs w:val="24"/>
          <w:u w:val="single"/>
          <w:lang w:val="en-US"/>
        </w:rPr>
        <w:t xml:space="preserve"> and 6 others</w:t>
      </w:r>
      <w:r>
        <w:rPr>
          <w:rStyle w:val="FootnoteReference"/>
          <w:b/>
          <w:bCs/>
          <w:sz w:val="24"/>
          <w:szCs w:val="24"/>
          <w:u w:val="single"/>
          <w:lang w:val="en-US"/>
        </w:rPr>
        <w:footnoteReference w:id="19"/>
      </w:r>
      <w:r>
        <w:rPr>
          <w:sz w:val="24"/>
          <w:szCs w:val="24"/>
          <w:lang w:val="en-US"/>
        </w:rPr>
        <w:t xml:space="preserve"> The court held that “The</w:t>
      </w:r>
      <w:r>
        <w:rPr>
          <w:i/>
          <w:iCs/>
          <w:sz w:val="24"/>
          <w:szCs w:val="24"/>
          <w:lang w:val="en-US"/>
        </w:rPr>
        <w:t xml:space="preserve"> right to legal representation or advocate particularly in civil suit may be put to serious test if there is a conflict of interest which may endanger the equally hallowed principle of confidentiality in advocate-client fiduciary relationships or where the advocate would double up as a witness. There is otherwise no general rule that an advocate cannot act for one party in a matter and then and act for opposing party in subsequent litigation. The </w:t>
      </w:r>
      <w:r>
        <w:rPr>
          <w:b/>
          <w:bCs/>
          <w:i/>
          <w:iCs/>
          <w:sz w:val="24"/>
          <w:szCs w:val="24"/>
          <w:lang w:val="en-US"/>
        </w:rPr>
        <w:t>test</w:t>
      </w:r>
      <w:r>
        <w:rPr>
          <w:i/>
          <w:iCs/>
          <w:sz w:val="24"/>
          <w:szCs w:val="24"/>
          <w:lang w:val="en-US"/>
        </w:rPr>
        <w:t xml:space="preserve"> (emphasis not mine) which has been laid down in authorities is whether real mischief or real prejudice will in all human probability result.”</w:t>
      </w:r>
    </w:p>
    <w:p w:rsidR="00235730" w:rsidRDefault="00235730">
      <w:pPr>
        <w:pStyle w:val="ListParagraph"/>
        <w:ind w:left="1140"/>
        <w:rPr>
          <w:i/>
          <w:iCs/>
          <w:sz w:val="24"/>
          <w:szCs w:val="24"/>
          <w:lang w:val="en-US"/>
        </w:rPr>
      </w:pPr>
    </w:p>
    <w:p w:rsidR="00235730" w:rsidRDefault="00235730">
      <w:pPr>
        <w:pStyle w:val="ListParagraph"/>
        <w:ind w:left="1140"/>
        <w:rPr>
          <w:i/>
          <w:iCs/>
          <w:sz w:val="24"/>
          <w:szCs w:val="24"/>
          <w:lang w:val="en-US"/>
        </w:rPr>
      </w:pPr>
    </w:p>
    <w:p w:rsidR="00FE6965" w:rsidRPr="00B92D03" w:rsidRDefault="00FE6965" w:rsidP="00B92D03">
      <w:pPr>
        <w:pStyle w:val="ListParagraph"/>
        <w:numPr>
          <w:ilvl w:val="0"/>
          <w:numId w:val="9"/>
        </w:numPr>
        <w:spacing w:line="360" w:lineRule="auto"/>
        <w:rPr>
          <w:rFonts w:asciiTheme="minorHAnsi" w:hAnsiTheme="minorHAnsi" w:cstheme="minorHAnsi"/>
          <w:b/>
          <w:bCs/>
          <w:sz w:val="24"/>
          <w:szCs w:val="24"/>
          <w:u w:val="single"/>
          <w:lang w:val="en-US"/>
        </w:rPr>
      </w:pPr>
      <w:r w:rsidRPr="00FE6965">
        <w:rPr>
          <w:rFonts w:asciiTheme="minorHAnsi" w:hAnsiTheme="minorHAnsi" w:cstheme="minorHAnsi"/>
          <w:b/>
          <w:sz w:val="24"/>
          <w:szCs w:val="24"/>
          <w:u w:val="single"/>
        </w:rPr>
        <w:t>CONFLICT OF INTEREST IN DEPTH</w:t>
      </w:r>
    </w:p>
    <w:p w:rsidR="00FE6965" w:rsidRPr="00FE6965" w:rsidRDefault="00FE6965" w:rsidP="00B92D03">
      <w:pPr>
        <w:pStyle w:val="ListParagraph"/>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Advocates Practicing Rules 1996</w:t>
      </w:r>
    </w:p>
    <w:p w:rsidR="00FE6965" w:rsidRPr="00FE6965" w:rsidRDefault="00FE6965" w:rsidP="00B92D03">
      <w:pPr>
        <w:spacing w:line="360" w:lineRule="auto"/>
        <w:ind w:left="1416"/>
        <w:rPr>
          <w:rFonts w:asciiTheme="minorHAnsi" w:hAnsiTheme="minorHAnsi" w:cstheme="minorHAnsi"/>
          <w:sz w:val="24"/>
          <w:szCs w:val="24"/>
        </w:rPr>
      </w:pPr>
      <w:r w:rsidRPr="00FE6965">
        <w:rPr>
          <w:rFonts w:asciiTheme="minorHAnsi" w:hAnsiTheme="minorHAnsi" w:cstheme="minorHAnsi"/>
          <w:sz w:val="24"/>
          <w:szCs w:val="24"/>
        </w:rPr>
        <w:t>Highlights some of the cases when an advocate may not represent a client in a suit. According to the rules an advocate cannot represent a client in relation to transactions relating to land where:</w:t>
      </w:r>
    </w:p>
    <w:p w:rsidR="00FE6965" w:rsidRPr="00FE6965" w:rsidRDefault="00FE6965" w:rsidP="00B92D03">
      <w:pPr>
        <w:pStyle w:val="ListParagraph"/>
        <w:numPr>
          <w:ilvl w:val="0"/>
          <w:numId w:val="13"/>
        </w:numPr>
        <w:spacing w:line="360" w:lineRule="auto"/>
        <w:contextualSpacing/>
        <w:rPr>
          <w:rFonts w:asciiTheme="minorHAnsi" w:hAnsiTheme="minorHAnsi" w:cstheme="minorHAnsi"/>
          <w:sz w:val="24"/>
          <w:szCs w:val="24"/>
        </w:rPr>
      </w:pPr>
      <w:r w:rsidRPr="00FE6965">
        <w:rPr>
          <w:rFonts w:asciiTheme="minorHAnsi" w:hAnsiTheme="minorHAnsi" w:cstheme="minorHAnsi"/>
          <w:sz w:val="24"/>
          <w:szCs w:val="24"/>
        </w:rPr>
        <w:t>In case of a sale, for both the vendor and the purchaser.</w:t>
      </w:r>
    </w:p>
    <w:p w:rsidR="00FE6965" w:rsidRPr="00FE6965" w:rsidRDefault="00FE6965" w:rsidP="00B92D03">
      <w:pPr>
        <w:pStyle w:val="ListParagraph"/>
        <w:numPr>
          <w:ilvl w:val="0"/>
          <w:numId w:val="13"/>
        </w:numPr>
        <w:spacing w:line="360" w:lineRule="auto"/>
        <w:contextualSpacing/>
        <w:rPr>
          <w:rFonts w:asciiTheme="minorHAnsi" w:hAnsiTheme="minorHAnsi" w:cstheme="minorHAnsi"/>
          <w:sz w:val="24"/>
          <w:szCs w:val="24"/>
        </w:rPr>
      </w:pPr>
      <w:r w:rsidRPr="00FE6965">
        <w:rPr>
          <w:rFonts w:asciiTheme="minorHAnsi" w:hAnsiTheme="minorHAnsi" w:cstheme="minorHAnsi"/>
          <w:sz w:val="24"/>
          <w:szCs w:val="24"/>
        </w:rPr>
        <w:t>In case of a lease, for both the lessor and the lessee.</w:t>
      </w:r>
    </w:p>
    <w:p w:rsidR="00FE6965" w:rsidRPr="00FE6965" w:rsidRDefault="00FE6965" w:rsidP="00B92D03">
      <w:pPr>
        <w:pStyle w:val="ListParagraph"/>
        <w:numPr>
          <w:ilvl w:val="0"/>
          <w:numId w:val="13"/>
        </w:numPr>
        <w:spacing w:line="360" w:lineRule="auto"/>
        <w:contextualSpacing/>
        <w:rPr>
          <w:rFonts w:asciiTheme="minorHAnsi" w:hAnsiTheme="minorHAnsi" w:cstheme="minorHAnsi"/>
          <w:sz w:val="24"/>
          <w:szCs w:val="24"/>
        </w:rPr>
      </w:pPr>
      <w:r w:rsidRPr="00FE6965">
        <w:rPr>
          <w:rFonts w:asciiTheme="minorHAnsi" w:hAnsiTheme="minorHAnsi" w:cstheme="minorHAnsi"/>
          <w:sz w:val="24"/>
          <w:szCs w:val="24"/>
        </w:rPr>
        <w:t>In case of a mortgage/charge, for both the mortgagor/chargor and the mortgagee/chargee.</w:t>
      </w:r>
    </w:p>
    <w:p w:rsidR="00FE6965" w:rsidRPr="00FE6965" w:rsidRDefault="00FE6965" w:rsidP="00B92D03">
      <w:pPr>
        <w:pStyle w:val="ListParagraph"/>
        <w:spacing w:line="360" w:lineRule="auto"/>
        <w:ind w:left="1080"/>
        <w:rPr>
          <w:rFonts w:asciiTheme="minorHAnsi" w:hAnsiTheme="minorHAnsi" w:cstheme="minorHAnsi"/>
          <w:sz w:val="24"/>
          <w:szCs w:val="24"/>
        </w:rPr>
      </w:pPr>
      <w:r w:rsidRPr="00FE6965">
        <w:rPr>
          <w:rFonts w:asciiTheme="minorHAnsi" w:hAnsiTheme="minorHAnsi" w:cstheme="minorHAnsi"/>
          <w:sz w:val="24"/>
          <w:szCs w:val="24"/>
        </w:rPr>
        <w:t xml:space="preserve">  </w:t>
      </w:r>
    </w:p>
    <w:p w:rsidR="00FE6965" w:rsidRPr="00FE6965" w:rsidRDefault="00FE6965" w:rsidP="00B92D03">
      <w:pPr>
        <w:pStyle w:val="ListParagraph"/>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Litigations involving relatives such as a husband and wife in a divorce case or also in a case involving a close family member.</w:t>
      </w:r>
    </w:p>
    <w:p w:rsidR="00FE6965" w:rsidRDefault="00FE6965" w:rsidP="00B92D03">
      <w:pPr>
        <w:spacing w:line="360" w:lineRule="auto"/>
        <w:ind w:left="720"/>
        <w:rPr>
          <w:rFonts w:asciiTheme="minorHAnsi" w:hAnsiTheme="minorHAnsi" w:cstheme="minorHAnsi"/>
          <w:sz w:val="24"/>
          <w:szCs w:val="24"/>
        </w:rPr>
      </w:pPr>
    </w:p>
    <w:p w:rsidR="00B92D03" w:rsidRPr="00FE6965" w:rsidRDefault="00B92D03" w:rsidP="00B92D03">
      <w:pPr>
        <w:spacing w:line="360" w:lineRule="auto"/>
        <w:ind w:left="720"/>
        <w:rPr>
          <w:rFonts w:asciiTheme="minorHAnsi" w:hAnsiTheme="minorHAnsi" w:cstheme="minorHAnsi"/>
          <w:sz w:val="24"/>
          <w:szCs w:val="24"/>
        </w:rPr>
      </w:pPr>
    </w:p>
    <w:p w:rsidR="00FE6965" w:rsidRP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lastRenderedPageBreak/>
        <w:t>Simultaneous representation:</w:t>
      </w:r>
    </w:p>
    <w:p w:rsidR="00FE6965" w:rsidRPr="00FE6965" w:rsidRDefault="00FE6965" w:rsidP="00B92D03">
      <w:pPr>
        <w:spacing w:line="360" w:lineRule="auto"/>
        <w:ind w:left="720" w:firstLine="696"/>
        <w:rPr>
          <w:rFonts w:asciiTheme="minorHAnsi" w:hAnsiTheme="minorHAnsi" w:cstheme="minorHAnsi"/>
          <w:sz w:val="24"/>
          <w:szCs w:val="24"/>
        </w:rPr>
      </w:pPr>
      <w:r w:rsidRPr="00FE6965">
        <w:rPr>
          <w:rFonts w:asciiTheme="minorHAnsi" w:hAnsiTheme="minorHAnsi" w:cstheme="minorHAnsi"/>
          <w:sz w:val="24"/>
          <w:szCs w:val="24"/>
        </w:rPr>
        <w:t>Which is when one advocate represents two clients who are adversaries in a case.</w:t>
      </w:r>
    </w:p>
    <w:p w:rsidR="00FE6965" w:rsidRPr="00FE6965" w:rsidRDefault="00FE6965" w:rsidP="00B92D03">
      <w:pPr>
        <w:spacing w:line="360" w:lineRule="auto"/>
        <w:ind w:left="720"/>
        <w:rPr>
          <w:rFonts w:asciiTheme="minorHAnsi" w:hAnsiTheme="minorHAnsi" w:cstheme="minorHAnsi"/>
          <w:sz w:val="24"/>
          <w:szCs w:val="24"/>
        </w:rPr>
      </w:pPr>
    </w:p>
    <w:p w:rsidR="00FE6965" w:rsidRP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An advocate representing two clients in different cases and arguing a legal position in one case that might potentially have negative consequences in the other clients’ case pending in court.</w:t>
      </w:r>
    </w:p>
    <w:p w:rsidR="00FE6965" w:rsidRPr="00FE6965" w:rsidRDefault="00FE6965" w:rsidP="00B92D03">
      <w:pPr>
        <w:spacing w:line="360" w:lineRule="auto"/>
        <w:ind w:left="720"/>
        <w:rPr>
          <w:rFonts w:asciiTheme="minorHAnsi" w:hAnsiTheme="minorHAnsi" w:cstheme="minorHAnsi"/>
          <w:sz w:val="24"/>
          <w:szCs w:val="24"/>
        </w:rPr>
      </w:pPr>
    </w:p>
    <w:p w:rsidR="00FE6965" w:rsidRP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Successive representation:</w:t>
      </w:r>
    </w:p>
    <w:p w:rsidR="00FE6965" w:rsidRPr="00FE6965" w:rsidRDefault="00FE6965" w:rsidP="00B92D03">
      <w:pPr>
        <w:spacing w:line="360" w:lineRule="auto"/>
        <w:ind w:left="1416"/>
        <w:rPr>
          <w:rFonts w:asciiTheme="minorHAnsi" w:hAnsiTheme="minorHAnsi" w:cstheme="minorHAnsi"/>
          <w:sz w:val="24"/>
          <w:szCs w:val="24"/>
        </w:rPr>
      </w:pPr>
      <w:r w:rsidRPr="00FE6965">
        <w:rPr>
          <w:rFonts w:asciiTheme="minorHAnsi" w:hAnsiTheme="minorHAnsi" w:cstheme="minorHAnsi"/>
          <w:sz w:val="24"/>
          <w:szCs w:val="24"/>
        </w:rPr>
        <w:t>Occurs when an advocate represents a client in a matter which may be adverse to a former client. An advocate may be disqualified when there is evidence of likelihood of breach of confidential information. This would occur especially where the interests of the former and the current client are really and truly adverse in nature and if the past and the current matters are closely related in some way.</w:t>
      </w:r>
    </w:p>
    <w:p w:rsidR="00FE6965" w:rsidRPr="00FE6965" w:rsidRDefault="00FE6965" w:rsidP="00B92D03">
      <w:pPr>
        <w:spacing w:line="360" w:lineRule="auto"/>
        <w:ind w:left="720"/>
        <w:rPr>
          <w:rFonts w:asciiTheme="minorHAnsi" w:hAnsiTheme="minorHAnsi" w:cstheme="minorHAnsi"/>
          <w:sz w:val="24"/>
          <w:szCs w:val="24"/>
        </w:rPr>
      </w:pPr>
    </w:p>
    <w:p w:rsidR="00FE6965" w:rsidRPr="00FE6965" w:rsidRDefault="00FE6965" w:rsidP="00B92D03">
      <w:pPr>
        <w:spacing w:line="360" w:lineRule="auto"/>
        <w:ind w:left="720"/>
        <w:rPr>
          <w:rFonts w:asciiTheme="minorHAnsi" w:hAnsiTheme="minorHAnsi" w:cstheme="minorHAnsi"/>
          <w:sz w:val="24"/>
          <w:szCs w:val="24"/>
          <w:lang w:val="en-US"/>
        </w:rPr>
      </w:pPr>
      <w:r w:rsidRPr="00FE6965">
        <w:rPr>
          <w:rFonts w:asciiTheme="minorHAnsi" w:hAnsiTheme="minorHAnsi" w:cstheme="minorHAnsi"/>
          <w:sz w:val="24"/>
          <w:szCs w:val="24"/>
          <w:lang w:val="en-US"/>
        </w:rPr>
        <w:t xml:space="preserve">In </w:t>
      </w:r>
      <w:proofErr w:type="spellStart"/>
      <w:r w:rsidRPr="00FE6965">
        <w:rPr>
          <w:rFonts w:asciiTheme="minorHAnsi" w:hAnsiTheme="minorHAnsi" w:cstheme="minorHAnsi"/>
          <w:b/>
          <w:bCs/>
          <w:sz w:val="24"/>
          <w:szCs w:val="24"/>
          <w:u w:val="single"/>
          <w:lang w:val="en-US"/>
        </w:rPr>
        <w:t>Simba</w:t>
      </w:r>
      <w:proofErr w:type="spellEnd"/>
      <w:r w:rsidRPr="00FE6965">
        <w:rPr>
          <w:rFonts w:asciiTheme="minorHAnsi" w:hAnsiTheme="minorHAnsi" w:cstheme="minorHAnsi"/>
          <w:b/>
          <w:bCs/>
          <w:sz w:val="24"/>
          <w:szCs w:val="24"/>
          <w:u w:val="single"/>
          <w:lang w:val="en-US"/>
        </w:rPr>
        <w:t xml:space="preserve"> Hills Farm Limited v Sultan </w:t>
      </w:r>
      <w:proofErr w:type="spellStart"/>
      <w:r w:rsidRPr="00FE6965">
        <w:rPr>
          <w:rFonts w:asciiTheme="minorHAnsi" w:hAnsiTheme="minorHAnsi" w:cstheme="minorHAnsi"/>
          <w:b/>
          <w:bCs/>
          <w:sz w:val="24"/>
          <w:szCs w:val="24"/>
          <w:u w:val="single"/>
          <w:lang w:val="en-US"/>
        </w:rPr>
        <w:t>Hasham</w:t>
      </w:r>
      <w:proofErr w:type="spellEnd"/>
      <w:r w:rsidRPr="00FE6965">
        <w:rPr>
          <w:rFonts w:asciiTheme="minorHAnsi" w:hAnsiTheme="minorHAnsi" w:cstheme="minorHAnsi"/>
          <w:b/>
          <w:bCs/>
          <w:sz w:val="24"/>
          <w:szCs w:val="24"/>
          <w:u w:val="single"/>
          <w:lang w:val="en-US"/>
        </w:rPr>
        <w:t xml:space="preserve"> </w:t>
      </w:r>
      <w:proofErr w:type="spellStart"/>
      <w:r w:rsidRPr="00FE6965">
        <w:rPr>
          <w:rFonts w:asciiTheme="minorHAnsi" w:hAnsiTheme="minorHAnsi" w:cstheme="minorHAnsi"/>
          <w:b/>
          <w:bCs/>
          <w:sz w:val="24"/>
          <w:szCs w:val="24"/>
          <w:u w:val="single"/>
          <w:lang w:val="en-US"/>
        </w:rPr>
        <w:t>Llaji</w:t>
      </w:r>
      <w:proofErr w:type="spellEnd"/>
      <w:r w:rsidRPr="00FE6965">
        <w:rPr>
          <w:rFonts w:asciiTheme="minorHAnsi" w:hAnsiTheme="minorHAnsi" w:cstheme="minorHAnsi"/>
          <w:b/>
          <w:bCs/>
          <w:sz w:val="24"/>
          <w:szCs w:val="24"/>
          <w:u w:val="single"/>
          <w:lang w:val="en-US"/>
        </w:rPr>
        <w:t xml:space="preserve"> &amp; 5</w:t>
      </w:r>
      <w:r w:rsidRPr="00FE6965">
        <w:rPr>
          <w:rFonts w:asciiTheme="minorHAnsi" w:hAnsiTheme="minorHAnsi" w:cstheme="minorHAnsi"/>
          <w:sz w:val="24"/>
          <w:szCs w:val="24"/>
          <w:u w:val="single"/>
          <w:lang w:val="en-US"/>
        </w:rPr>
        <w:t xml:space="preserve"> </w:t>
      </w:r>
      <w:r w:rsidRPr="00FE6965">
        <w:rPr>
          <w:rFonts w:asciiTheme="minorHAnsi" w:hAnsiTheme="minorHAnsi" w:cstheme="minorHAnsi"/>
          <w:b/>
          <w:bCs/>
          <w:sz w:val="24"/>
          <w:szCs w:val="24"/>
          <w:u w:val="single"/>
          <w:lang w:val="en-US"/>
        </w:rPr>
        <w:t>others</w:t>
      </w:r>
      <w:r w:rsidRPr="00FE6965">
        <w:rPr>
          <w:rFonts w:asciiTheme="minorHAnsi" w:hAnsiTheme="minorHAnsi" w:cstheme="minorHAnsi"/>
          <w:sz w:val="24"/>
          <w:szCs w:val="24"/>
          <w:lang w:val="en-US"/>
        </w:rPr>
        <w:t xml:space="preserve">: </w:t>
      </w:r>
    </w:p>
    <w:p w:rsidR="00FE6965" w:rsidRPr="00FE6965" w:rsidRDefault="00FE6965" w:rsidP="00B92D03">
      <w:pPr>
        <w:spacing w:line="360" w:lineRule="auto"/>
        <w:ind w:left="720"/>
        <w:rPr>
          <w:rFonts w:asciiTheme="minorHAnsi" w:hAnsiTheme="minorHAnsi" w:cstheme="minorHAnsi"/>
          <w:sz w:val="24"/>
          <w:szCs w:val="24"/>
        </w:rPr>
      </w:pPr>
      <w:r w:rsidRPr="00FE6965">
        <w:rPr>
          <w:rFonts w:asciiTheme="minorHAnsi" w:hAnsiTheme="minorHAnsi" w:cstheme="minorHAnsi"/>
          <w:sz w:val="24"/>
          <w:szCs w:val="24"/>
          <w:lang w:val="en-US"/>
        </w:rPr>
        <w:t>An application was made for the disqualification of barring advocates from conducting that suit on the ground that the advocate for the plaintiff had previously acted for the 3</w:t>
      </w:r>
      <w:r w:rsidRPr="00FE6965">
        <w:rPr>
          <w:rFonts w:asciiTheme="minorHAnsi" w:hAnsiTheme="minorHAnsi" w:cstheme="minorHAnsi"/>
          <w:sz w:val="24"/>
          <w:szCs w:val="24"/>
          <w:vertAlign w:val="superscript"/>
          <w:lang w:val="en-US"/>
        </w:rPr>
        <w:t>rd</w:t>
      </w:r>
      <w:r w:rsidRPr="00FE6965">
        <w:rPr>
          <w:rFonts w:asciiTheme="minorHAnsi" w:hAnsiTheme="minorHAnsi" w:cstheme="minorHAnsi"/>
          <w:sz w:val="24"/>
          <w:szCs w:val="24"/>
          <w:lang w:val="en-US"/>
        </w:rPr>
        <w:t xml:space="preserve"> and 4</w:t>
      </w:r>
      <w:r w:rsidRPr="00FE6965">
        <w:rPr>
          <w:rFonts w:asciiTheme="minorHAnsi" w:hAnsiTheme="minorHAnsi" w:cstheme="minorHAnsi"/>
          <w:sz w:val="24"/>
          <w:szCs w:val="24"/>
          <w:vertAlign w:val="superscript"/>
          <w:lang w:val="en-US"/>
        </w:rPr>
        <w:t>th</w:t>
      </w:r>
      <w:r w:rsidRPr="00FE6965">
        <w:rPr>
          <w:rFonts w:asciiTheme="minorHAnsi" w:hAnsiTheme="minorHAnsi" w:cstheme="minorHAnsi"/>
          <w:sz w:val="24"/>
          <w:szCs w:val="24"/>
          <w:lang w:val="en-US"/>
        </w:rPr>
        <w:t xml:space="preserve"> defendants in a previous suit. The court rightly held that there was a conflict of interest and the firm could not continue to act for the plaintiff as it was possible that as former counsel for the said defendants, he could have come across information that would be prejudicial to the defendants.</w:t>
      </w:r>
      <w:r w:rsidRPr="00FE6965">
        <w:rPr>
          <w:rFonts w:asciiTheme="minorHAnsi" w:hAnsiTheme="minorHAnsi" w:cstheme="minorHAnsi"/>
          <w:sz w:val="24"/>
          <w:szCs w:val="24"/>
        </w:rPr>
        <w:t xml:space="preserve"> </w:t>
      </w:r>
    </w:p>
    <w:p w:rsidR="00FE6965" w:rsidRPr="00FE6965" w:rsidRDefault="00FE6965" w:rsidP="00B92D03">
      <w:pPr>
        <w:spacing w:line="360" w:lineRule="auto"/>
        <w:ind w:left="720"/>
        <w:rPr>
          <w:rFonts w:asciiTheme="minorHAnsi" w:hAnsiTheme="minorHAnsi" w:cstheme="minorHAnsi"/>
          <w:sz w:val="24"/>
          <w:szCs w:val="24"/>
        </w:rPr>
      </w:pPr>
    </w:p>
    <w:p w:rsidR="00FE6965" w:rsidRPr="00FE6965" w:rsidRDefault="00FE6965" w:rsidP="00B92D03">
      <w:pPr>
        <w:spacing w:line="360" w:lineRule="auto"/>
        <w:ind w:firstLine="348"/>
        <w:rPr>
          <w:rFonts w:asciiTheme="minorHAnsi" w:hAnsiTheme="minorHAnsi" w:cstheme="minorHAnsi"/>
          <w:sz w:val="24"/>
          <w:szCs w:val="24"/>
          <w:lang w:val="en-US"/>
        </w:rPr>
      </w:pPr>
      <w:r w:rsidRPr="00FE6965">
        <w:rPr>
          <w:rFonts w:asciiTheme="minorHAnsi" w:hAnsiTheme="minorHAnsi" w:cstheme="minorHAnsi"/>
          <w:b/>
          <w:bCs/>
          <w:sz w:val="24"/>
          <w:szCs w:val="24"/>
          <w:u w:val="single"/>
          <w:lang w:val="en-US"/>
        </w:rPr>
        <w:t xml:space="preserve">King Woolen </w:t>
      </w:r>
      <w:proofErr w:type="gramStart"/>
      <w:r w:rsidRPr="00FE6965">
        <w:rPr>
          <w:rFonts w:asciiTheme="minorHAnsi" w:hAnsiTheme="minorHAnsi" w:cstheme="minorHAnsi"/>
          <w:b/>
          <w:bCs/>
          <w:sz w:val="24"/>
          <w:szCs w:val="24"/>
          <w:u w:val="single"/>
          <w:lang w:val="en-US"/>
        </w:rPr>
        <w:t>Mills</w:t>
      </w:r>
      <w:proofErr w:type="gramEnd"/>
      <w:r w:rsidRPr="00FE6965">
        <w:rPr>
          <w:rFonts w:asciiTheme="minorHAnsi" w:hAnsiTheme="minorHAnsi" w:cstheme="minorHAnsi"/>
          <w:b/>
          <w:bCs/>
          <w:sz w:val="24"/>
          <w:szCs w:val="24"/>
          <w:u w:val="single"/>
          <w:lang w:val="en-US"/>
        </w:rPr>
        <w:t xml:space="preserve"> v Kaplan and Stratton Advocates.</w:t>
      </w:r>
    </w:p>
    <w:p w:rsidR="00FE6965" w:rsidRPr="00FE6965" w:rsidRDefault="00FE6965" w:rsidP="00B92D03">
      <w:pPr>
        <w:spacing w:line="360" w:lineRule="auto"/>
        <w:ind w:left="720"/>
        <w:rPr>
          <w:rFonts w:asciiTheme="minorHAnsi" w:hAnsiTheme="minorHAnsi" w:cstheme="minorHAnsi"/>
          <w:sz w:val="24"/>
          <w:szCs w:val="24"/>
        </w:rPr>
      </w:pPr>
      <w:r w:rsidRPr="00FE6965">
        <w:rPr>
          <w:rFonts w:asciiTheme="minorHAnsi" w:hAnsiTheme="minorHAnsi" w:cstheme="minorHAnsi"/>
          <w:sz w:val="24"/>
          <w:szCs w:val="24"/>
        </w:rPr>
        <w:t>Held: the fiduciary relationship created by the retainer between the client and advocate demands that the knowledge acquired by the advocate while acting for the client be treated as confidential and should not be disclosed to anyone else without the clients consent. That fiduciary relationship exists even after conclusion of the matter for which the retainer was created.</w:t>
      </w:r>
    </w:p>
    <w:p w:rsidR="00FE6965" w:rsidRPr="00FE6965" w:rsidRDefault="00FE6965" w:rsidP="000D5E12">
      <w:pPr>
        <w:spacing w:line="360" w:lineRule="auto"/>
        <w:ind w:left="720"/>
        <w:rPr>
          <w:rFonts w:asciiTheme="minorHAnsi" w:hAnsiTheme="minorHAnsi" w:cstheme="minorHAnsi"/>
          <w:sz w:val="24"/>
          <w:szCs w:val="24"/>
        </w:rPr>
      </w:pPr>
      <w:r w:rsidRPr="00FE6965">
        <w:rPr>
          <w:rFonts w:asciiTheme="minorHAnsi" w:hAnsiTheme="minorHAnsi" w:cstheme="minorHAnsi"/>
          <w:sz w:val="24"/>
          <w:szCs w:val="24"/>
        </w:rPr>
        <w:lastRenderedPageBreak/>
        <w:t>In that case, the court disqualified the firm of advocates from continuing to act against its former client.</w:t>
      </w:r>
    </w:p>
    <w:p w:rsidR="00FE6965" w:rsidRPr="00FE6965" w:rsidRDefault="00FE6965" w:rsidP="00B92D03">
      <w:pPr>
        <w:spacing w:line="360" w:lineRule="auto"/>
        <w:ind w:left="2160" w:hanging="1440"/>
        <w:rPr>
          <w:rFonts w:asciiTheme="minorHAnsi" w:hAnsiTheme="minorHAnsi" w:cstheme="minorHAnsi"/>
          <w:sz w:val="24"/>
          <w:szCs w:val="24"/>
        </w:rPr>
      </w:pPr>
      <w:r w:rsidRPr="00FE6965">
        <w:rPr>
          <w:rFonts w:asciiTheme="minorHAnsi" w:hAnsiTheme="minorHAnsi" w:cstheme="minorHAnsi"/>
          <w:sz w:val="24"/>
          <w:szCs w:val="24"/>
        </w:rPr>
        <w:t xml:space="preserve">See also </w:t>
      </w:r>
      <w:r>
        <w:rPr>
          <w:rFonts w:asciiTheme="minorHAnsi" w:hAnsiTheme="minorHAnsi" w:cstheme="minorHAnsi"/>
          <w:sz w:val="24"/>
          <w:szCs w:val="24"/>
        </w:rPr>
        <w:t xml:space="preserve">   </w:t>
      </w:r>
      <w:r w:rsidRPr="00FE6965">
        <w:rPr>
          <w:rFonts w:asciiTheme="minorHAnsi" w:hAnsiTheme="minorHAnsi" w:cstheme="minorHAnsi"/>
          <w:b/>
          <w:sz w:val="24"/>
          <w:szCs w:val="24"/>
          <w:u w:val="single"/>
        </w:rPr>
        <w:t>Francis Mugo &amp; 22 others vs. James Bress Muthee &amp; 3 others (2005) eKLR</w:t>
      </w:r>
    </w:p>
    <w:p w:rsidR="00FE6965" w:rsidRPr="00FE6965" w:rsidRDefault="00FE6965" w:rsidP="000D5E12">
      <w:pPr>
        <w:spacing w:line="360" w:lineRule="auto"/>
        <w:ind w:left="720"/>
        <w:rPr>
          <w:rFonts w:asciiTheme="minorHAnsi" w:hAnsiTheme="minorHAnsi" w:cstheme="minorHAnsi"/>
          <w:sz w:val="24"/>
          <w:szCs w:val="24"/>
        </w:rPr>
      </w:pPr>
      <w:r w:rsidRPr="00FE6965">
        <w:rPr>
          <w:rFonts w:asciiTheme="minorHAnsi" w:hAnsiTheme="minorHAnsi" w:cstheme="minorHAnsi"/>
          <w:sz w:val="24"/>
          <w:szCs w:val="24"/>
        </w:rPr>
        <w:tab/>
      </w:r>
      <w:r w:rsidRPr="00FE6965">
        <w:rPr>
          <w:rFonts w:asciiTheme="minorHAnsi" w:hAnsiTheme="minorHAnsi" w:cstheme="minorHAnsi"/>
          <w:sz w:val="24"/>
          <w:szCs w:val="24"/>
        </w:rPr>
        <w:tab/>
      </w:r>
    </w:p>
    <w:p w:rsidR="00FE6965" w:rsidRP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Expected witness:</w:t>
      </w:r>
    </w:p>
    <w:p w:rsidR="00FE6965" w:rsidRPr="00FE6965" w:rsidRDefault="00FE6965" w:rsidP="00B92D03">
      <w:pPr>
        <w:spacing w:line="360" w:lineRule="auto"/>
        <w:ind w:left="1416"/>
        <w:rPr>
          <w:rFonts w:asciiTheme="minorHAnsi" w:hAnsiTheme="minorHAnsi" w:cstheme="minorHAnsi"/>
          <w:sz w:val="24"/>
          <w:szCs w:val="24"/>
        </w:rPr>
      </w:pPr>
      <w:r w:rsidRPr="00FE6965">
        <w:rPr>
          <w:rFonts w:asciiTheme="minorHAnsi" w:hAnsiTheme="minorHAnsi" w:cstheme="minorHAnsi"/>
          <w:sz w:val="24"/>
          <w:szCs w:val="24"/>
        </w:rPr>
        <w:t>Where an advocate maybe called as a witness in a case, the he cannot act for that client in the same matter. This is done so as to protect the interest of the client because of the probability that the testimony could harm his clients case.</w:t>
      </w:r>
    </w:p>
    <w:p w:rsidR="00FE6965" w:rsidRPr="00FE6965" w:rsidRDefault="00FE6965" w:rsidP="00B92D03">
      <w:pPr>
        <w:spacing w:line="360" w:lineRule="auto"/>
        <w:rPr>
          <w:rFonts w:asciiTheme="minorHAnsi" w:hAnsiTheme="minorHAnsi" w:cstheme="minorHAnsi"/>
          <w:sz w:val="24"/>
          <w:szCs w:val="24"/>
        </w:rPr>
      </w:pPr>
    </w:p>
    <w:p w:rsidR="00FE6965" w:rsidRPr="00FE6965" w:rsidRDefault="00FE6965" w:rsidP="00B92D03">
      <w:pPr>
        <w:spacing w:line="360" w:lineRule="auto"/>
        <w:ind w:left="720"/>
        <w:rPr>
          <w:rFonts w:asciiTheme="minorHAnsi" w:hAnsiTheme="minorHAnsi" w:cstheme="minorHAnsi"/>
          <w:b/>
          <w:sz w:val="24"/>
          <w:szCs w:val="24"/>
          <w:u w:val="single"/>
        </w:rPr>
      </w:pPr>
      <w:r w:rsidRPr="00FE6965">
        <w:rPr>
          <w:rFonts w:asciiTheme="minorHAnsi" w:hAnsiTheme="minorHAnsi" w:cstheme="minorHAnsi"/>
          <w:b/>
          <w:sz w:val="24"/>
          <w:szCs w:val="24"/>
          <w:u w:val="single"/>
        </w:rPr>
        <w:t>Francis Mugo &amp; 22 others vs. James Bress Muthee &amp; 3 others (2005) eKLR</w:t>
      </w:r>
    </w:p>
    <w:p w:rsidR="00FE6965" w:rsidRPr="00FE6965" w:rsidRDefault="00FE6965" w:rsidP="00B92D03">
      <w:pPr>
        <w:spacing w:line="360" w:lineRule="auto"/>
        <w:ind w:left="720"/>
        <w:rPr>
          <w:rFonts w:asciiTheme="minorHAnsi" w:hAnsiTheme="minorHAnsi" w:cstheme="minorHAnsi"/>
          <w:sz w:val="24"/>
          <w:szCs w:val="24"/>
          <w:lang w:val="en-US"/>
        </w:rPr>
      </w:pPr>
      <w:r w:rsidRPr="00FE6965">
        <w:rPr>
          <w:rFonts w:asciiTheme="minorHAnsi" w:hAnsiTheme="minorHAnsi" w:cstheme="minorHAnsi"/>
          <w:sz w:val="24"/>
          <w:szCs w:val="24"/>
        </w:rPr>
        <w:t>T</w:t>
      </w:r>
      <w:r w:rsidRPr="00FE6965">
        <w:rPr>
          <w:rFonts w:asciiTheme="minorHAnsi" w:hAnsiTheme="minorHAnsi" w:cstheme="minorHAnsi"/>
          <w:sz w:val="24"/>
          <w:szCs w:val="24"/>
          <w:lang w:val="en-US"/>
        </w:rPr>
        <w:t xml:space="preserve">he firm was disqualified from conducting the suit because the defendant had intended to call an advocate from that firm as a witness. </w:t>
      </w:r>
    </w:p>
    <w:p w:rsidR="00FE6965" w:rsidRPr="00FE6965" w:rsidRDefault="00FE6965" w:rsidP="00B92D03">
      <w:pPr>
        <w:spacing w:line="360" w:lineRule="auto"/>
        <w:rPr>
          <w:rFonts w:asciiTheme="minorHAnsi" w:hAnsiTheme="minorHAnsi" w:cstheme="minorHAnsi"/>
          <w:sz w:val="24"/>
          <w:szCs w:val="24"/>
          <w:lang w:val="en-US"/>
        </w:rPr>
      </w:pPr>
    </w:p>
    <w:p w:rsidR="00FE6965" w:rsidRPr="00FE6965" w:rsidRDefault="00FE6965" w:rsidP="00B92D03">
      <w:pPr>
        <w:spacing w:line="360" w:lineRule="auto"/>
        <w:ind w:left="720"/>
        <w:rPr>
          <w:rFonts w:asciiTheme="minorHAnsi" w:hAnsiTheme="minorHAnsi" w:cstheme="minorHAnsi"/>
          <w:sz w:val="24"/>
          <w:szCs w:val="24"/>
          <w:lang w:val="en-US"/>
        </w:rPr>
      </w:pPr>
      <w:r w:rsidRPr="00FE6965">
        <w:rPr>
          <w:rFonts w:asciiTheme="minorHAnsi" w:hAnsiTheme="minorHAnsi" w:cstheme="minorHAnsi"/>
          <w:sz w:val="24"/>
          <w:szCs w:val="24"/>
          <w:lang w:val="en-US"/>
        </w:rPr>
        <w:t>Rule 9 of the Advocate Practicing Rules states that where an advocate believes that he will be called as a witness in a matter he should not appear before a court presiding over the same matter.</w:t>
      </w:r>
    </w:p>
    <w:p w:rsidR="00FE6965" w:rsidRPr="00FE6965" w:rsidRDefault="00FE6965" w:rsidP="00B92D03">
      <w:pPr>
        <w:spacing w:line="360" w:lineRule="auto"/>
        <w:ind w:left="720"/>
        <w:rPr>
          <w:rFonts w:asciiTheme="minorHAnsi" w:hAnsiTheme="minorHAnsi" w:cstheme="minorHAnsi"/>
          <w:sz w:val="24"/>
          <w:szCs w:val="24"/>
          <w:lang w:val="en-US"/>
        </w:rPr>
      </w:pPr>
    </w:p>
    <w:p w:rsidR="00FE6965" w:rsidRPr="00FE6965" w:rsidRDefault="00FE6965" w:rsidP="00B92D03">
      <w:pPr>
        <w:spacing w:line="360" w:lineRule="auto"/>
        <w:ind w:left="720"/>
        <w:rPr>
          <w:rFonts w:asciiTheme="minorHAnsi" w:hAnsiTheme="minorHAnsi" w:cstheme="minorHAnsi"/>
          <w:b/>
          <w:bCs/>
          <w:sz w:val="24"/>
          <w:szCs w:val="24"/>
          <w:u w:val="single"/>
          <w:lang w:val="en-US"/>
        </w:rPr>
      </w:pPr>
      <w:proofErr w:type="spellStart"/>
      <w:r w:rsidRPr="00FE6965">
        <w:rPr>
          <w:rFonts w:asciiTheme="minorHAnsi" w:hAnsiTheme="minorHAnsi" w:cstheme="minorHAnsi"/>
          <w:b/>
          <w:bCs/>
          <w:sz w:val="24"/>
          <w:szCs w:val="24"/>
          <w:u w:val="single"/>
          <w:lang w:val="en-US"/>
        </w:rPr>
        <w:t>Delphis</w:t>
      </w:r>
      <w:proofErr w:type="spellEnd"/>
      <w:r w:rsidRPr="00FE6965">
        <w:rPr>
          <w:rFonts w:asciiTheme="minorHAnsi" w:hAnsiTheme="minorHAnsi" w:cstheme="minorHAnsi"/>
          <w:b/>
          <w:bCs/>
          <w:sz w:val="24"/>
          <w:szCs w:val="24"/>
          <w:u w:val="single"/>
          <w:lang w:val="en-US"/>
        </w:rPr>
        <w:t xml:space="preserve"> Bank Limited v </w:t>
      </w:r>
      <w:proofErr w:type="spellStart"/>
      <w:r w:rsidRPr="00FE6965">
        <w:rPr>
          <w:rFonts w:asciiTheme="minorHAnsi" w:hAnsiTheme="minorHAnsi" w:cstheme="minorHAnsi"/>
          <w:b/>
          <w:bCs/>
          <w:sz w:val="24"/>
          <w:szCs w:val="24"/>
          <w:u w:val="single"/>
          <w:lang w:val="en-US"/>
        </w:rPr>
        <w:t>Channah</w:t>
      </w:r>
      <w:proofErr w:type="spellEnd"/>
      <w:r w:rsidRPr="00FE6965">
        <w:rPr>
          <w:rFonts w:asciiTheme="minorHAnsi" w:hAnsiTheme="minorHAnsi" w:cstheme="minorHAnsi"/>
          <w:b/>
          <w:bCs/>
          <w:sz w:val="24"/>
          <w:szCs w:val="24"/>
          <w:u w:val="single"/>
          <w:lang w:val="en-US"/>
        </w:rPr>
        <w:t xml:space="preserve"> Singh </w:t>
      </w:r>
      <w:proofErr w:type="spellStart"/>
      <w:r w:rsidRPr="00FE6965">
        <w:rPr>
          <w:rFonts w:asciiTheme="minorHAnsi" w:hAnsiTheme="minorHAnsi" w:cstheme="minorHAnsi"/>
          <w:b/>
          <w:bCs/>
          <w:sz w:val="24"/>
          <w:szCs w:val="24"/>
          <w:u w:val="single"/>
          <w:lang w:val="en-US"/>
        </w:rPr>
        <w:t>Chatthe</w:t>
      </w:r>
      <w:proofErr w:type="spellEnd"/>
      <w:r w:rsidRPr="00FE6965">
        <w:rPr>
          <w:rFonts w:asciiTheme="minorHAnsi" w:hAnsiTheme="minorHAnsi" w:cstheme="minorHAnsi"/>
          <w:b/>
          <w:bCs/>
          <w:sz w:val="24"/>
          <w:szCs w:val="24"/>
          <w:u w:val="single"/>
          <w:lang w:val="en-US"/>
        </w:rPr>
        <w:t xml:space="preserve"> and 6 others</w:t>
      </w:r>
    </w:p>
    <w:p w:rsidR="00FE6965" w:rsidRPr="00FE6965" w:rsidRDefault="00FE6965" w:rsidP="00B92D03">
      <w:pPr>
        <w:spacing w:line="360" w:lineRule="auto"/>
        <w:ind w:left="720"/>
        <w:rPr>
          <w:rFonts w:asciiTheme="minorHAnsi" w:hAnsiTheme="minorHAnsi" w:cstheme="minorHAnsi"/>
          <w:sz w:val="24"/>
          <w:szCs w:val="24"/>
        </w:rPr>
      </w:pPr>
      <w:r w:rsidRPr="00FE6965">
        <w:rPr>
          <w:rFonts w:asciiTheme="minorHAnsi" w:hAnsiTheme="minorHAnsi" w:cstheme="minorHAnsi"/>
          <w:sz w:val="24"/>
          <w:szCs w:val="24"/>
          <w:lang w:val="en-US"/>
        </w:rPr>
        <w:t>The court held that “The</w:t>
      </w:r>
      <w:r w:rsidRPr="00FE6965">
        <w:rPr>
          <w:rFonts w:asciiTheme="minorHAnsi" w:hAnsiTheme="minorHAnsi" w:cstheme="minorHAnsi"/>
          <w:i/>
          <w:iCs/>
          <w:sz w:val="24"/>
          <w:szCs w:val="24"/>
          <w:lang w:val="en-US"/>
        </w:rPr>
        <w:t xml:space="preserve"> right to legal representation or advocate particularly in civil suit may be put to serious test if there is a conflict of interest which may endanger the equally hallowed principle of confidentiality in advocate-client fiduciary relationships or where the advocate would double up as a witness. There is otherwise no general rule that an advocate cannot act for one party in a matter and then and act for opposing party in subsequent litigation. The </w:t>
      </w:r>
      <w:r w:rsidRPr="00FE6965">
        <w:rPr>
          <w:rFonts w:asciiTheme="minorHAnsi" w:hAnsiTheme="minorHAnsi" w:cstheme="minorHAnsi"/>
          <w:b/>
          <w:bCs/>
          <w:i/>
          <w:iCs/>
          <w:sz w:val="24"/>
          <w:szCs w:val="24"/>
          <w:lang w:val="en-US"/>
        </w:rPr>
        <w:t>test</w:t>
      </w:r>
      <w:r w:rsidRPr="00FE6965">
        <w:rPr>
          <w:rFonts w:asciiTheme="minorHAnsi" w:hAnsiTheme="minorHAnsi" w:cstheme="minorHAnsi"/>
          <w:i/>
          <w:iCs/>
          <w:sz w:val="24"/>
          <w:szCs w:val="24"/>
          <w:lang w:val="en-US"/>
        </w:rPr>
        <w:t xml:space="preserve"> (emphasis not mine) which has been laid down in authorities is whether real mischief or real prejudice will in all human probability result.”</w:t>
      </w:r>
    </w:p>
    <w:p w:rsidR="00FE6965" w:rsidRPr="00FE6965" w:rsidRDefault="00FE6965" w:rsidP="00B92D03">
      <w:pPr>
        <w:spacing w:line="360" w:lineRule="auto"/>
        <w:rPr>
          <w:rFonts w:asciiTheme="minorHAnsi" w:hAnsiTheme="minorHAnsi" w:cstheme="minorHAnsi"/>
          <w:sz w:val="24"/>
          <w:szCs w:val="24"/>
        </w:rPr>
      </w:pPr>
    </w:p>
    <w:p w:rsidR="00FE6965" w:rsidRP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lastRenderedPageBreak/>
        <w:t xml:space="preserve"> Advocate enters into business with a client. E.g your client selling you his piece of land.</w:t>
      </w:r>
    </w:p>
    <w:p w:rsidR="00FE6965" w:rsidRPr="00FE6965" w:rsidRDefault="00FE6965" w:rsidP="000D5E12">
      <w:pPr>
        <w:ind w:left="0"/>
        <w:rPr>
          <w:rFonts w:asciiTheme="minorHAnsi" w:hAnsiTheme="minorHAnsi" w:cstheme="minorHAnsi"/>
          <w:sz w:val="24"/>
          <w:szCs w:val="24"/>
        </w:rPr>
      </w:pPr>
    </w:p>
    <w:p w:rsidR="00FE6965" w:rsidRP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Law firm conflicts:</w:t>
      </w:r>
    </w:p>
    <w:p w:rsidR="00FE6965" w:rsidRPr="00FE6965" w:rsidRDefault="00FE6965" w:rsidP="00B92D03">
      <w:pPr>
        <w:spacing w:line="360" w:lineRule="auto"/>
        <w:ind w:left="1416"/>
        <w:rPr>
          <w:rFonts w:asciiTheme="minorHAnsi" w:hAnsiTheme="minorHAnsi" w:cstheme="minorHAnsi"/>
          <w:sz w:val="24"/>
          <w:szCs w:val="24"/>
        </w:rPr>
      </w:pPr>
      <w:r w:rsidRPr="00FE6965">
        <w:rPr>
          <w:rFonts w:asciiTheme="minorHAnsi" w:hAnsiTheme="minorHAnsi" w:cstheme="minorHAnsi"/>
          <w:sz w:val="24"/>
          <w:szCs w:val="24"/>
        </w:rPr>
        <w:t>Law firms or other advocates with the same firm can also have conflict of interests. For example where an attorney in the same firm represents an opposing party in a case where a member of the firm is representing the other.</w:t>
      </w:r>
    </w:p>
    <w:p w:rsidR="00FE6965" w:rsidRPr="00FE6965" w:rsidRDefault="00FE6965" w:rsidP="000D5E12">
      <w:pPr>
        <w:ind w:left="720"/>
        <w:rPr>
          <w:rFonts w:asciiTheme="minorHAnsi" w:hAnsiTheme="minorHAnsi" w:cstheme="minorHAnsi"/>
          <w:sz w:val="24"/>
          <w:szCs w:val="24"/>
        </w:rPr>
      </w:pPr>
    </w:p>
    <w:p w:rsidR="00FE6965" w:rsidRP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An advocate representing a client in a civil dispute while accepting fees from litigants who have opposing point of views.</w:t>
      </w:r>
    </w:p>
    <w:p w:rsidR="00FE6965" w:rsidRPr="00FE6965" w:rsidRDefault="00FE6965" w:rsidP="000D5E12">
      <w:pPr>
        <w:rPr>
          <w:rFonts w:asciiTheme="minorHAnsi" w:hAnsiTheme="minorHAnsi" w:cstheme="minorHAnsi"/>
          <w:sz w:val="24"/>
          <w:szCs w:val="24"/>
        </w:rPr>
      </w:pPr>
    </w:p>
    <w:p w:rsidR="00FE6965" w:rsidRP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In the case of an advocate should not accept instructions to act for the company.</w:t>
      </w:r>
    </w:p>
    <w:p w:rsidR="00FE6965" w:rsidRPr="00FE6965" w:rsidRDefault="00FE6965" w:rsidP="000D5E12">
      <w:pPr>
        <w:rPr>
          <w:rFonts w:asciiTheme="minorHAnsi" w:hAnsiTheme="minorHAnsi" w:cstheme="minorHAnsi"/>
          <w:sz w:val="24"/>
          <w:szCs w:val="24"/>
        </w:rPr>
      </w:pPr>
    </w:p>
    <w:p w:rsidR="00FE6965" w:rsidRDefault="00FE6965" w:rsidP="00B92D03">
      <w:pPr>
        <w:numPr>
          <w:ilvl w:val="0"/>
          <w:numId w:val="14"/>
        </w:numPr>
        <w:spacing w:line="360" w:lineRule="auto"/>
        <w:rPr>
          <w:rFonts w:asciiTheme="minorHAnsi" w:hAnsiTheme="minorHAnsi" w:cstheme="minorHAnsi"/>
          <w:sz w:val="24"/>
          <w:szCs w:val="24"/>
        </w:rPr>
      </w:pPr>
      <w:r w:rsidRPr="00FE6965">
        <w:rPr>
          <w:rFonts w:asciiTheme="minorHAnsi" w:hAnsiTheme="minorHAnsi" w:cstheme="minorHAnsi"/>
          <w:sz w:val="24"/>
          <w:szCs w:val="24"/>
        </w:rPr>
        <w:t>In the case where an advocate who is a member of a county government executive committee to act for a client who is against the county government.</w:t>
      </w:r>
    </w:p>
    <w:p w:rsidR="00FE6965" w:rsidRPr="00FE6965" w:rsidRDefault="00FE6965" w:rsidP="000D5E12">
      <w:pPr>
        <w:ind w:left="0"/>
        <w:rPr>
          <w:rFonts w:asciiTheme="minorHAnsi" w:hAnsiTheme="minorHAnsi" w:cstheme="minorHAnsi"/>
          <w:sz w:val="24"/>
          <w:szCs w:val="24"/>
        </w:rPr>
      </w:pPr>
    </w:p>
    <w:p w:rsidR="00FE6965" w:rsidRPr="00FE6965" w:rsidRDefault="00FE6965" w:rsidP="00B92D03">
      <w:pPr>
        <w:spacing w:line="360" w:lineRule="auto"/>
        <w:ind w:left="1056"/>
        <w:rPr>
          <w:rFonts w:asciiTheme="minorHAnsi" w:hAnsiTheme="minorHAnsi" w:cstheme="minorHAnsi"/>
          <w:sz w:val="24"/>
          <w:szCs w:val="24"/>
        </w:rPr>
      </w:pPr>
      <w:r w:rsidRPr="00FE6965">
        <w:rPr>
          <w:rFonts w:asciiTheme="minorHAnsi" w:hAnsiTheme="minorHAnsi" w:cstheme="minorHAnsi"/>
          <w:sz w:val="24"/>
          <w:szCs w:val="24"/>
        </w:rPr>
        <w:t xml:space="preserve">Further a minister cannot act on behalf of a ministry or the government. An advocate who is a commissioner of any commission or a member of any tribunal may not appear in court on behalf of the same commission/tribunal. </w:t>
      </w:r>
    </w:p>
    <w:p w:rsidR="00FE6965" w:rsidRPr="00FE6965" w:rsidRDefault="00FE6965" w:rsidP="000D5E12">
      <w:pPr>
        <w:rPr>
          <w:rFonts w:asciiTheme="minorHAnsi" w:hAnsiTheme="minorHAnsi" w:cstheme="minorHAnsi"/>
          <w:sz w:val="24"/>
          <w:szCs w:val="24"/>
        </w:rPr>
      </w:pPr>
    </w:p>
    <w:p w:rsidR="00FE6965" w:rsidRPr="00FE6965" w:rsidRDefault="00FE6965" w:rsidP="00B92D03">
      <w:pPr>
        <w:spacing w:line="360" w:lineRule="auto"/>
        <w:rPr>
          <w:rFonts w:asciiTheme="minorHAnsi" w:hAnsiTheme="minorHAnsi" w:cstheme="minorHAnsi"/>
          <w:b/>
          <w:bCs/>
          <w:sz w:val="24"/>
          <w:szCs w:val="24"/>
          <w:u w:val="single"/>
          <w:lang w:val="en-US"/>
        </w:rPr>
      </w:pPr>
      <w:r w:rsidRPr="00FE6965">
        <w:rPr>
          <w:rFonts w:asciiTheme="minorHAnsi" w:hAnsiTheme="minorHAnsi" w:cstheme="minorHAnsi"/>
          <w:b/>
          <w:bCs/>
          <w:sz w:val="24"/>
          <w:szCs w:val="24"/>
          <w:u w:val="single"/>
          <w:lang w:val="en-US"/>
        </w:rPr>
        <w:t xml:space="preserve">Electoral Commission of Kenya </w:t>
      </w:r>
      <w:proofErr w:type="spellStart"/>
      <w:r w:rsidRPr="00FE6965">
        <w:rPr>
          <w:rFonts w:asciiTheme="minorHAnsi" w:hAnsiTheme="minorHAnsi" w:cstheme="minorHAnsi"/>
          <w:b/>
          <w:bCs/>
          <w:sz w:val="24"/>
          <w:szCs w:val="24"/>
          <w:u w:val="single"/>
          <w:lang w:val="en-US"/>
        </w:rPr>
        <w:t>Blasto</w:t>
      </w:r>
      <w:proofErr w:type="spellEnd"/>
    </w:p>
    <w:p w:rsidR="00FE6965" w:rsidRDefault="00FE6965" w:rsidP="00B92D03">
      <w:pPr>
        <w:pStyle w:val="ListParagraph"/>
        <w:spacing w:line="360" w:lineRule="auto"/>
        <w:rPr>
          <w:rFonts w:asciiTheme="minorHAnsi" w:hAnsiTheme="minorHAnsi" w:cstheme="minorHAnsi"/>
          <w:sz w:val="24"/>
          <w:szCs w:val="24"/>
          <w:lang w:val="en-US"/>
        </w:rPr>
      </w:pPr>
      <w:r w:rsidRPr="00FE6965">
        <w:rPr>
          <w:rFonts w:asciiTheme="minorHAnsi" w:hAnsiTheme="minorHAnsi" w:cstheme="minorHAnsi"/>
          <w:sz w:val="24"/>
          <w:szCs w:val="24"/>
          <w:lang w:val="en-US"/>
        </w:rPr>
        <w:t xml:space="preserve">In this particular case the chairman of the </w:t>
      </w:r>
      <w:proofErr w:type="spellStart"/>
      <w:r w:rsidRPr="00FE6965">
        <w:rPr>
          <w:rFonts w:asciiTheme="minorHAnsi" w:hAnsiTheme="minorHAnsi" w:cstheme="minorHAnsi"/>
          <w:sz w:val="24"/>
          <w:szCs w:val="24"/>
          <w:lang w:val="en-US"/>
        </w:rPr>
        <w:t>Electrol</w:t>
      </w:r>
      <w:proofErr w:type="spellEnd"/>
      <w:r w:rsidRPr="00FE6965">
        <w:rPr>
          <w:rFonts w:asciiTheme="minorHAnsi" w:hAnsiTheme="minorHAnsi" w:cstheme="minorHAnsi"/>
          <w:sz w:val="24"/>
          <w:szCs w:val="24"/>
          <w:lang w:val="en-US"/>
        </w:rPr>
        <w:t xml:space="preserve"> Commission of Kenya (the late Samuel Kivuitu), who was also an advocate of the High Court, was barred from representing ECK in a suit. It was held there would be a conflict of interests as this could embarrass the case at a later stage.</w:t>
      </w:r>
    </w:p>
    <w:p w:rsidR="00FE6965" w:rsidRDefault="00FE6965" w:rsidP="00FE6965">
      <w:pPr>
        <w:pStyle w:val="ListParagraph"/>
        <w:rPr>
          <w:rFonts w:asciiTheme="minorHAnsi" w:hAnsiTheme="minorHAnsi" w:cstheme="minorHAnsi"/>
          <w:b/>
          <w:bCs/>
          <w:sz w:val="24"/>
          <w:szCs w:val="24"/>
          <w:u w:val="single"/>
          <w:lang w:val="en-US"/>
        </w:rPr>
      </w:pPr>
    </w:p>
    <w:p w:rsidR="000D5E12" w:rsidRDefault="000D5E12" w:rsidP="00FE6965">
      <w:pPr>
        <w:pStyle w:val="ListParagraph"/>
        <w:rPr>
          <w:rFonts w:asciiTheme="minorHAnsi" w:hAnsiTheme="minorHAnsi" w:cstheme="minorHAnsi"/>
          <w:b/>
          <w:bCs/>
          <w:sz w:val="24"/>
          <w:szCs w:val="24"/>
          <w:u w:val="single"/>
          <w:lang w:val="en-US"/>
        </w:rPr>
      </w:pPr>
    </w:p>
    <w:p w:rsidR="000D5E12" w:rsidRDefault="000D5E12" w:rsidP="00FE6965">
      <w:pPr>
        <w:pStyle w:val="ListParagraph"/>
        <w:rPr>
          <w:rFonts w:asciiTheme="minorHAnsi" w:hAnsiTheme="minorHAnsi" w:cstheme="minorHAnsi"/>
          <w:b/>
          <w:bCs/>
          <w:sz w:val="24"/>
          <w:szCs w:val="24"/>
          <w:u w:val="single"/>
          <w:lang w:val="en-US"/>
        </w:rPr>
      </w:pPr>
    </w:p>
    <w:p w:rsidR="000D5E12" w:rsidRPr="00FE6965" w:rsidRDefault="000D5E12" w:rsidP="00FE6965">
      <w:pPr>
        <w:pStyle w:val="ListParagraph"/>
        <w:rPr>
          <w:rFonts w:asciiTheme="minorHAnsi" w:hAnsiTheme="minorHAnsi" w:cstheme="minorHAnsi"/>
          <w:b/>
          <w:bCs/>
          <w:sz w:val="24"/>
          <w:szCs w:val="24"/>
          <w:u w:val="single"/>
          <w:lang w:val="en-US"/>
        </w:rPr>
      </w:pPr>
    </w:p>
    <w:p w:rsidR="00FE6965" w:rsidRPr="00FE6965" w:rsidRDefault="00FE6965" w:rsidP="00FE6965">
      <w:pPr>
        <w:pStyle w:val="ListParagraph"/>
        <w:numPr>
          <w:ilvl w:val="0"/>
          <w:numId w:val="9"/>
        </w:numPr>
        <w:rPr>
          <w:rFonts w:asciiTheme="minorHAnsi" w:hAnsiTheme="minorHAnsi" w:cstheme="minorHAnsi"/>
          <w:b/>
          <w:bCs/>
          <w:sz w:val="24"/>
          <w:szCs w:val="24"/>
          <w:u w:val="single"/>
          <w:lang w:val="en-US"/>
        </w:rPr>
      </w:pPr>
      <w:r w:rsidRPr="00FE6965">
        <w:rPr>
          <w:rFonts w:asciiTheme="minorHAnsi" w:hAnsiTheme="minorHAnsi" w:cstheme="minorHAnsi"/>
          <w:b/>
          <w:bCs/>
          <w:sz w:val="24"/>
          <w:szCs w:val="24"/>
          <w:u w:val="single"/>
          <w:lang w:val="en-US"/>
        </w:rPr>
        <w:lastRenderedPageBreak/>
        <w:t>Disqualification:</w:t>
      </w:r>
    </w:p>
    <w:p w:rsidR="00235730" w:rsidRPr="00FE6965" w:rsidRDefault="00235730" w:rsidP="00B92D03">
      <w:pPr>
        <w:pStyle w:val="ListParagraph"/>
        <w:ind w:left="1140"/>
        <w:rPr>
          <w:rFonts w:asciiTheme="minorHAnsi" w:hAnsiTheme="minorHAnsi" w:cstheme="minorHAnsi"/>
          <w:b/>
          <w:bCs/>
          <w:sz w:val="24"/>
          <w:szCs w:val="24"/>
          <w:u w:val="single"/>
          <w:lang w:val="en-US"/>
        </w:rPr>
      </w:pPr>
    </w:p>
    <w:p w:rsidR="00235730" w:rsidRPr="00FE6965" w:rsidRDefault="004C3BEF" w:rsidP="00B92D03">
      <w:pPr>
        <w:pStyle w:val="ListParagraph"/>
        <w:spacing w:line="360" w:lineRule="auto"/>
        <w:rPr>
          <w:rFonts w:asciiTheme="minorHAnsi" w:hAnsiTheme="minorHAnsi" w:cstheme="minorHAnsi"/>
          <w:sz w:val="24"/>
          <w:szCs w:val="24"/>
          <w:lang w:val="en-US"/>
        </w:rPr>
      </w:pPr>
      <w:r w:rsidRPr="00FE6965">
        <w:rPr>
          <w:rFonts w:asciiTheme="minorHAnsi" w:hAnsiTheme="minorHAnsi" w:cstheme="minorHAnsi"/>
          <w:sz w:val="24"/>
          <w:szCs w:val="24"/>
          <w:lang w:val="en-US"/>
        </w:rPr>
        <w:t xml:space="preserve">The proper way of applying for a </w:t>
      </w:r>
      <w:r w:rsidR="002B6950" w:rsidRPr="00FE6965">
        <w:rPr>
          <w:rFonts w:asciiTheme="minorHAnsi" w:hAnsiTheme="minorHAnsi" w:cstheme="minorHAnsi"/>
          <w:sz w:val="24"/>
          <w:szCs w:val="24"/>
          <w:lang w:val="en-US"/>
        </w:rPr>
        <w:t>disqualification</w:t>
      </w:r>
      <w:r w:rsidRPr="00FE6965">
        <w:rPr>
          <w:rFonts w:asciiTheme="minorHAnsi" w:hAnsiTheme="minorHAnsi" w:cstheme="minorHAnsi"/>
          <w:sz w:val="24"/>
          <w:szCs w:val="24"/>
          <w:lang w:val="en-US"/>
        </w:rPr>
        <w:t xml:space="preserve"> is through a notice of motion. One may contrast the case of </w:t>
      </w:r>
      <w:r w:rsidRPr="00FE6965">
        <w:rPr>
          <w:rFonts w:asciiTheme="minorHAnsi" w:hAnsiTheme="minorHAnsi" w:cstheme="minorHAnsi"/>
          <w:b/>
          <w:bCs/>
          <w:sz w:val="24"/>
          <w:szCs w:val="24"/>
          <w:u w:val="single"/>
          <w:lang w:val="en-US"/>
        </w:rPr>
        <w:t xml:space="preserve">Strathmore Research and Consulting Centre v Paul </w:t>
      </w:r>
      <w:proofErr w:type="spellStart"/>
      <w:r w:rsidRPr="00FE6965">
        <w:rPr>
          <w:rFonts w:asciiTheme="minorHAnsi" w:hAnsiTheme="minorHAnsi" w:cstheme="minorHAnsi"/>
          <w:b/>
          <w:bCs/>
          <w:sz w:val="24"/>
          <w:szCs w:val="24"/>
          <w:u w:val="single"/>
          <w:lang w:val="en-US"/>
        </w:rPr>
        <w:t>Maina</w:t>
      </w:r>
      <w:proofErr w:type="spellEnd"/>
      <w:r w:rsidRPr="00FE6965">
        <w:rPr>
          <w:rFonts w:asciiTheme="minorHAnsi" w:hAnsiTheme="minorHAnsi" w:cstheme="minorHAnsi"/>
          <w:b/>
          <w:bCs/>
          <w:sz w:val="24"/>
          <w:szCs w:val="24"/>
          <w:u w:val="single"/>
          <w:lang w:val="en-US"/>
        </w:rPr>
        <w:t xml:space="preserve"> </w:t>
      </w:r>
      <w:proofErr w:type="spellStart"/>
      <w:r w:rsidRPr="00FE6965">
        <w:rPr>
          <w:rFonts w:asciiTheme="minorHAnsi" w:hAnsiTheme="minorHAnsi" w:cstheme="minorHAnsi"/>
          <w:b/>
          <w:bCs/>
          <w:sz w:val="24"/>
          <w:szCs w:val="24"/>
          <w:u w:val="single"/>
          <w:lang w:val="en-US"/>
        </w:rPr>
        <w:t>Gacaria</w:t>
      </w:r>
      <w:proofErr w:type="spellEnd"/>
      <w:r w:rsidRPr="00FE6965">
        <w:rPr>
          <w:rFonts w:asciiTheme="minorHAnsi" w:hAnsiTheme="minorHAnsi" w:cstheme="minorHAnsi"/>
          <w:b/>
          <w:bCs/>
          <w:sz w:val="24"/>
          <w:szCs w:val="24"/>
          <w:u w:val="single"/>
          <w:lang w:val="en-US"/>
        </w:rPr>
        <w:t xml:space="preserve"> </w:t>
      </w:r>
      <w:r w:rsidRPr="00FE6965">
        <w:rPr>
          <w:rStyle w:val="FootnoteReference"/>
          <w:rFonts w:asciiTheme="minorHAnsi" w:hAnsiTheme="minorHAnsi" w:cstheme="minorHAnsi"/>
          <w:b/>
          <w:bCs/>
          <w:sz w:val="24"/>
          <w:szCs w:val="24"/>
          <w:u w:val="single"/>
          <w:lang w:val="en-US"/>
        </w:rPr>
        <w:footnoteReference w:id="20"/>
      </w:r>
      <w:r w:rsidRPr="00FE6965">
        <w:rPr>
          <w:rFonts w:asciiTheme="minorHAnsi" w:hAnsiTheme="minorHAnsi" w:cstheme="minorHAnsi"/>
          <w:b/>
          <w:bCs/>
          <w:sz w:val="24"/>
          <w:szCs w:val="24"/>
          <w:u w:val="single"/>
          <w:lang w:val="en-US"/>
        </w:rPr>
        <w:t xml:space="preserve"> </w:t>
      </w:r>
      <w:r w:rsidRPr="00FE6965">
        <w:rPr>
          <w:rFonts w:asciiTheme="minorHAnsi" w:hAnsiTheme="minorHAnsi" w:cstheme="minorHAnsi"/>
          <w:sz w:val="24"/>
          <w:szCs w:val="24"/>
          <w:lang w:val="en-US"/>
        </w:rPr>
        <w:t xml:space="preserve">where counsel applied for a </w:t>
      </w:r>
      <w:r w:rsidR="002B6950" w:rsidRPr="00FE6965">
        <w:rPr>
          <w:rFonts w:asciiTheme="minorHAnsi" w:hAnsiTheme="minorHAnsi" w:cstheme="minorHAnsi"/>
          <w:sz w:val="24"/>
          <w:szCs w:val="24"/>
          <w:lang w:val="en-US"/>
        </w:rPr>
        <w:t>disqualification</w:t>
      </w:r>
      <w:r w:rsidRPr="00FE6965">
        <w:rPr>
          <w:rFonts w:asciiTheme="minorHAnsi" w:hAnsiTheme="minorHAnsi" w:cstheme="minorHAnsi"/>
          <w:sz w:val="24"/>
          <w:szCs w:val="24"/>
          <w:lang w:val="en-US"/>
        </w:rPr>
        <w:t xml:space="preserve"> of the opposing counsel rightly through a notice of motion with </w:t>
      </w:r>
      <w:r w:rsidRPr="00FE6965">
        <w:rPr>
          <w:rFonts w:asciiTheme="minorHAnsi" w:hAnsiTheme="minorHAnsi" w:cstheme="minorHAnsi"/>
          <w:b/>
          <w:bCs/>
          <w:sz w:val="24"/>
          <w:szCs w:val="24"/>
          <w:u w:val="single"/>
          <w:lang w:val="en-US"/>
        </w:rPr>
        <w:t xml:space="preserve">Charles </w:t>
      </w:r>
      <w:proofErr w:type="spellStart"/>
      <w:r w:rsidRPr="00FE6965">
        <w:rPr>
          <w:rFonts w:asciiTheme="minorHAnsi" w:hAnsiTheme="minorHAnsi" w:cstheme="minorHAnsi"/>
          <w:b/>
          <w:bCs/>
          <w:sz w:val="24"/>
          <w:szCs w:val="24"/>
          <w:u w:val="single"/>
          <w:lang w:val="en-US"/>
        </w:rPr>
        <w:t>Gitonga</w:t>
      </w:r>
      <w:proofErr w:type="spellEnd"/>
      <w:r w:rsidRPr="00FE6965">
        <w:rPr>
          <w:rFonts w:asciiTheme="minorHAnsi" w:hAnsiTheme="minorHAnsi" w:cstheme="minorHAnsi"/>
          <w:b/>
          <w:bCs/>
          <w:sz w:val="24"/>
          <w:szCs w:val="24"/>
          <w:u w:val="single"/>
          <w:lang w:val="en-US"/>
        </w:rPr>
        <w:t xml:space="preserve"> Kariuki v </w:t>
      </w:r>
      <w:proofErr w:type="spellStart"/>
      <w:r w:rsidRPr="00FE6965">
        <w:rPr>
          <w:rFonts w:asciiTheme="minorHAnsi" w:hAnsiTheme="minorHAnsi" w:cstheme="minorHAnsi"/>
          <w:b/>
          <w:bCs/>
          <w:sz w:val="24"/>
          <w:szCs w:val="24"/>
          <w:u w:val="single"/>
          <w:lang w:val="en-US"/>
        </w:rPr>
        <w:t>Akulei</w:t>
      </w:r>
      <w:proofErr w:type="spellEnd"/>
      <w:r w:rsidRPr="00FE6965">
        <w:rPr>
          <w:rFonts w:asciiTheme="minorHAnsi" w:hAnsiTheme="minorHAnsi" w:cstheme="minorHAnsi"/>
          <w:b/>
          <w:bCs/>
          <w:sz w:val="24"/>
          <w:szCs w:val="24"/>
          <w:u w:val="single"/>
          <w:lang w:val="en-US"/>
        </w:rPr>
        <w:t xml:space="preserve"> Farmers Company Limited</w:t>
      </w:r>
      <w:r w:rsidRPr="00FE6965">
        <w:rPr>
          <w:rStyle w:val="FootnoteReference"/>
          <w:rFonts w:asciiTheme="minorHAnsi" w:hAnsiTheme="minorHAnsi" w:cstheme="minorHAnsi"/>
          <w:b/>
          <w:bCs/>
          <w:sz w:val="24"/>
          <w:szCs w:val="24"/>
          <w:u w:val="single"/>
          <w:lang w:val="en-US"/>
        </w:rPr>
        <w:footnoteReference w:id="21"/>
      </w:r>
      <w:r w:rsidRPr="00FE6965">
        <w:rPr>
          <w:rFonts w:asciiTheme="minorHAnsi" w:hAnsiTheme="minorHAnsi" w:cstheme="minorHAnsi"/>
          <w:sz w:val="24"/>
          <w:szCs w:val="24"/>
          <w:lang w:val="en-US"/>
        </w:rPr>
        <w:t xml:space="preserve"> where counsel brought a similar application through a preliminary objection.  The objection was thrown out on the obvious fact that a preliminary objection can only be brought on a point of law.</w:t>
      </w:r>
    </w:p>
    <w:p w:rsidR="00235730" w:rsidRPr="00FE6965" w:rsidRDefault="00235730" w:rsidP="00FE6965">
      <w:pPr>
        <w:pStyle w:val="ListParagraph"/>
        <w:spacing w:line="360" w:lineRule="auto"/>
        <w:rPr>
          <w:rFonts w:asciiTheme="minorHAnsi" w:hAnsiTheme="minorHAnsi" w:cstheme="minorHAnsi"/>
          <w:sz w:val="24"/>
          <w:szCs w:val="24"/>
          <w:lang w:val="en-US"/>
        </w:rPr>
      </w:pPr>
    </w:p>
    <w:p w:rsidR="00235730" w:rsidRPr="00FE6965" w:rsidRDefault="004C3BEF" w:rsidP="00FE6965">
      <w:pPr>
        <w:pStyle w:val="ListParagraph"/>
        <w:spacing w:line="360" w:lineRule="auto"/>
        <w:rPr>
          <w:rFonts w:asciiTheme="minorHAnsi" w:hAnsiTheme="minorHAnsi" w:cstheme="minorHAnsi"/>
          <w:sz w:val="24"/>
          <w:szCs w:val="24"/>
          <w:lang w:val="en-US"/>
        </w:rPr>
      </w:pPr>
      <w:r w:rsidRPr="00FE6965">
        <w:rPr>
          <w:rFonts w:asciiTheme="minorHAnsi" w:hAnsiTheme="minorHAnsi" w:cstheme="minorHAnsi"/>
          <w:sz w:val="24"/>
          <w:szCs w:val="24"/>
          <w:lang w:val="en-US"/>
        </w:rPr>
        <w:t xml:space="preserve">The onus is on the person alleging conflict of interest as held in the </w:t>
      </w:r>
      <w:proofErr w:type="spellStart"/>
      <w:r w:rsidRPr="00FE6965">
        <w:rPr>
          <w:rFonts w:asciiTheme="minorHAnsi" w:hAnsiTheme="minorHAnsi" w:cstheme="minorHAnsi"/>
          <w:b/>
          <w:bCs/>
          <w:sz w:val="24"/>
          <w:szCs w:val="24"/>
          <w:lang w:val="en-US"/>
        </w:rPr>
        <w:t>Gitonga</w:t>
      </w:r>
      <w:proofErr w:type="spellEnd"/>
      <w:r w:rsidRPr="00FE6965">
        <w:rPr>
          <w:rFonts w:asciiTheme="minorHAnsi" w:hAnsiTheme="minorHAnsi" w:cstheme="minorHAnsi"/>
          <w:b/>
          <w:bCs/>
          <w:sz w:val="24"/>
          <w:szCs w:val="24"/>
          <w:lang w:val="en-US"/>
        </w:rPr>
        <w:t xml:space="preserve"> case</w:t>
      </w:r>
      <w:r w:rsidRPr="00FE6965">
        <w:rPr>
          <w:rFonts w:asciiTheme="minorHAnsi" w:hAnsiTheme="minorHAnsi" w:cstheme="minorHAnsi"/>
          <w:sz w:val="24"/>
          <w:szCs w:val="24"/>
          <w:lang w:val="en-US"/>
        </w:rPr>
        <w:t xml:space="preserve"> supra. An applicant is required to establish and present the court with evidence that would persuade the court to reach a conclusion that there could be a conflict of interest.  Further in</w:t>
      </w:r>
      <w:r w:rsidRPr="00FE6965">
        <w:rPr>
          <w:rFonts w:asciiTheme="minorHAnsi" w:hAnsiTheme="minorHAnsi" w:cstheme="minorHAnsi"/>
          <w:b/>
          <w:bCs/>
          <w:sz w:val="24"/>
          <w:szCs w:val="24"/>
          <w:u w:val="single"/>
          <w:lang w:val="en-US"/>
        </w:rPr>
        <w:t xml:space="preserve"> </w:t>
      </w:r>
      <w:proofErr w:type="spellStart"/>
      <w:r w:rsidRPr="00FE6965">
        <w:rPr>
          <w:rFonts w:asciiTheme="minorHAnsi" w:hAnsiTheme="minorHAnsi" w:cstheme="minorHAnsi"/>
          <w:b/>
          <w:bCs/>
          <w:sz w:val="24"/>
          <w:szCs w:val="24"/>
          <w:u w:val="single"/>
          <w:lang w:val="en-US"/>
        </w:rPr>
        <w:t>Kiambu</w:t>
      </w:r>
      <w:proofErr w:type="spellEnd"/>
      <w:r w:rsidRPr="00FE6965">
        <w:rPr>
          <w:rFonts w:asciiTheme="minorHAnsi" w:hAnsiTheme="minorHAnsi" w:cstheme="minorHAnsi"/>
          <w:b/>
          <w:bCs/>
          <w:sz w:val="24"/>
          <w:szCs w:val="24"/>
          <w:u w:val="single"/>
          <w:lang w:val="en-US"/>
        </w:rPr>
        <w:t xml:space="preserve"> Service Store v </w:t>
      </w:r>
      <w:proofErr w:type="spellStart"/>
      <w:r w:rsidRPr="00FE6965">
        <w:rPr>
          <w:rFonts w:asciiTheme="minorHAnsi" w:hAnsiTheme="minorHAnsi" w:cstheme="minorHAnsi"/>
          <w:b/>
          <w:bCs/>
          <w:sz w:val="24"/>
          <w:szCs w:val="24"/>
          <w:u w:val="single"/>
          <w:lang w:val="en-US"/>
        </w:rPr>
        <w:t>Mbu-i-Kamiti</w:t>
      </w:r>
      <w:proofErr w:type="spellEnd"/>
      <w:r w:rsidRPr="00FE6965">
        <w:rPr>
          <w:rFonts w:asciiTheme="minorHAnsi" w:hAnsiTheme="minorHAnsi" w:cstheme="minorHAnsi"/>
          <w:b/>
          <w:bCs/>
          <w:sz w:val="24"/>
          <w:szCs w:val="24"/>
          <w:u w:val="single"/>
          <w:lang w:val="en-US"/>
        </w:rPr>
        <w:t xml:space="preserve"> Farmers &amp; 3 others</w:t>
      </w:r>
      <w:r w:rsidRPr="00FE6965">
        <w:rPr>
          <w:rFonts w:asciiTheme="minorHAnsi" w:hAnsiTheme="minorHAnsi" w:cstheme="minorHAnsi"/>
          <w:sz w:val="24"/>
          <w:szCs w:val="24"/>
          <w:lang w:val="en-US"/>
        </w:rPr>
        <w:t>,</w:t>
      </w:r>
      <w:r w:rsidRPr="00FE6965">
        <w:rPr>
          <w:rStyle w:val="FootnoteReference"/>
          <w:rFonts w:asciiTheme="minorHAnsi" w:hAnsiTheme="minorHAnsi" w:cstheme="minorHAnsi"/>
          <w:sz w:val="24"/>
          <w:szCs w:val="24"/>
          <w:lang w:val="en-US"/>
        </w:rPr>
        <w:footnoteReference w:id="22"/>
      </w:r>
      <w:r w:rsidRPr="00FE6965">
        <w:rPr>
          <w:rFonts w:asciiTheme="minorHAnsi" w:hAnsiTheme="minorHAnsi" w:cstheme="minorHAnsi"/>
          <w:sz w:val="24"/>
          <w:szCs w:val="24"/>
          <w:lang w:val="en-US"/>
        </w:rPr>
        <w:t xml:space="preserve"> it was held that the court should be told the truth and be acquainted with the relevant facts that would lead to a conflict of interest. </w:t>
      </w:r>
    </w:p>
    <w:p w:rsidR="00235730" w:rsidRDefault="00235730">
      <w:pPr>
        <w:pStyle w:val="ListParagraph"/>
        <w:spacing w:line="360" w:lineRule="auto"/>
        <w:rPr>
          <w:sz w:val="24"/>
          <w:szCs w:val="24"/>
          <w:lang w:val="en-US"/>
        </w:rPr>
      </w:pPr>
    </w:p>
    <w:p w:rsidR="007F6F82" w:rsidRDefault="007F6F82">
      <w:pPr>
        <w:pStyle w:val="ListParagraph"/>
        <w:spacing w:line="360" w:lineRule="auto"/>
        <w:rPr>
          <w:sz w:val="24"/>
          <w:szCs w:val="24"/>
          <w:lang w:val="en-US"/>
        </w:rPr>
      </w:pPr>
    </w:p>
    <w:p w:rsidR="00235730" w:rsidRDefault="004C3BEF">
      <w:pPr>
        <w:pStyle w:val="ListParagraph"/>
        <w:numPr>
          <w:ilvl w:val="0"/>
          <w:numId w:val="9"/>
        </w:numPr>
        <w:spacing w:line="360" w:lineRule="auto"/>
        <w:rPr>
          <w:b/>
          <w:bCs/>
          <w:sz w:val="24"/>
          <w:szCs w:val="24"/>
          <w:u w:val="single"/>
          <w:lang w:val="en-US"/>
        </w:rPr>
      </w:pPr>
      <w:r>
        <w:rPr>
          <w:b/>
          <w:bCs/>
          <w:sz w:val="24"/>
          <w:szCs w:val="24"/>
          <w:u w:val="single"/>
          <w:lang w:val="en-US"/>
        </w:rPr>
        <w:t>Appraisal of the concept of Conflict of Interest:</w:t>
      </w:r>
    </w:p>
    <w:p w:rsidR="00235730" w:rsidRPr="007F6F82" w:rsidRDefault="004C3BEF" w:rsidP="007F6F82">
      <w:pPr>
        <w:pStyle w:val="ListParagraph"/>
        <w:spacing w:line="360" w:lineRule="auto"/>
        <w:rPr>
          <w:sz w:val="24"/>
          <w:szCs w:val="24"/>
          <w:lang w:val="en-US"/>
        </w:rPr>
      </w:pPr>
      <w:r>
        <w:rPr>
          <w:sz w:val="24"/>
          <w:szCs w:val="24"/>
          <w:lang w:val="en-US"/>
        </w:rPr>
        <w:t>The right to legal representation is a right protected by the Constitution,</w:t>
      </w:r>
      <w:r>
        <w:rPr>
          <w:rStyle w:val="FootnoteReference"/>
          <w:sz w:val="24"/>
          <w:szCs w:val="24"/>
          <w:lang w:val="en-US"/>
        </w:rPr>
        <w:footnoteReference w:id="23"/>
      </w:r>
      <w:r>
        <w:rPr>
          <w:sz w:val="24"/>
          <w:szCs w:val="24"/>
          <w:lang w:val="en-US"/>
        </w:rPr>
        <w:t xml:space="preserve"> and every person is entitled to it. Even where a party alleges conflict of interest the onus lies on them to prove it and they should even go further to prove that real prejudice may be caused. It therefore remains that there is no general duty for an advocate not to act because there may be conflict of interest.</w:t>
      </w:r>
      <w:r>
        <w:rPr>
          <w:rStyle w:val="FootnoteReference"/>
          <w:sz w:val="24"/>
          <w:szCs w:val="24"/>
          <w:lang w:val="en-US"/>
        </w:rPr>
        <w:footnoteReference w:id="24"/>
      </w:r>
    </w:p>
    <w:p w:rsidR="00235730" w:rsidRDefault="00235730">
      <w:pPr>
        <w:pStyle w:val="ListParagraph"/>
        <w:spacing w:line="360" w:lineRule="auto"/>
        <w:rPr>
          <w:sz w:val="24"/>
          <w:szCs w:val="24"/>
          <w:lang w:val="en-US"/>
        </w:rPr>
      </w:pPr>
    </w:p>
    <w:p w:rsidR="00235730" w:rsidRDefault="00235730">
      <w:pPr>
        <w:pStyle w:val="ListParagraph"/>
        <w:spacing w:line="360" w:lineRule="auto"/>
        <w:rPr>
          <w:b/>
          <w:bCs/>
          <w:sz w:val="24"/>
          <w:szCs w:val="24"/>
          <w:u w:val="single"/>
          <w:lang w:val="en-US"/>
        </w:rPr>
      </w:pPr>
    </w:p>
    <w:p w:rsidR="00235730" w:rsidRDefault="00235730" w:rsidP="007F6F82">
      <w:pPr>
        <w:ind w:left="0"/>
        <w:rPr>
          <w:b/>
          <w:bCs/>
          <w:sz w:val="24"/>
          <w:szCs w:val="24"/>
          <w:lang w:val="en-US"/>
        </w:rPr>
      </w:pPr>
    </w:p>
    <w:sectPr w:rsidR="00235730" w:rsidSect="00235730">
      <w:footerReference w:type="default" r:id="rId7"/>
      <w:pgSz w:w="11906" w:h="16838"/>
      <w:pgMar w:top="1417" w:right="926" w:bottom="1417" w:left="630" w:header="720" w:footer="708" w:gutter="0"/>
      <w:cols w:space="708"/>
      <w:docGrid w:linePitch="360" w:charSpace="20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302D" w:rsidRDefault="0094302D" w:rsidP="00235730">
      <w:pPr>
        <w:spacing w:after="0"/>
      </w:pPr>
      <w:r>
        <w:separator/>
      </w:r>
    </w:p>
  </w:endnote>
  <w:endnote w:type="continuationSeparator" w:id="0">
    <w:p w:rsidR="0094302D" w:rsidRDefault="0094302D" w:rsidP="00235730">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5730" w:rsidRDefault="003939DC">
    <w:pPr>
      <w:pStyle w:val="Footer"/>
      <w:jc w:val="right"/>
    </w:pPr>
    <w:r>
      <w:fldChar w:fldCharType="begin"/>
    </w:r>
    <w:r w:rsidR="004C3BEF">
      <w:instrText xml:space="preserve"> PAGE   \* MERGEFORMAT </w:instrText>
    </w:r>
    <w:r>
      <w:fldChar w:fldCharType="separate"/>
    </w:r>
    <w:r w:rsidR="003E4D34">
      <w:rPr>
        <w:noProof/>
      </w:rPr>
      <w:t>1</w:t>
    </w:r>
    <w:r>
      <w:fldChar w:fldCharType="end"/>
    </w:r>
  </w:p>
  <w:p w:rsidR="00235730" w:rsidRDefault="002357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302D" w:rsidRDefault="0094302D" w:rsidP="00235730">
      <w:pPr>
        <w:spacing w:after="0"/>
      </w:pPr>
      <w:r>
        <w:separator/>
      </w:r>
    </w:p>
  </w:footnote>
  <w:footnote w:type="continuationSeparator" w:id="0">
    <w:p w:rsidR="0094302D" w:rsidRDefault="0094302D" w:rsidP="00235730">
      <w:pPr>
        <w:spacing w:after="0"/>
      </w:pPr>
      <w:r>
        <w:continuationSeparator/>
      </w:r>
    </w:p>
  </w:footnote>
  <w:footnote w:id="1">
    <w:p w:rsidR="00235730" w:rsidRDefault="004C3BEF">
      <w:pPr>
        <w:pStyle w:val="FootnoteText"/>
        <w:rPr>
          <w:lang w:val="en-US"/>
        </w:rPr>
      </w:pPr>
      <w:r>
        <w:rPr>
          <w:rStyle w:val="FootnoteReference"/>
        </w:rPr>
        <w:footnoteRef/>
      </w:r>
      <w:r>
        <w:t xml:space="preserve"> </w:t>
      </w:r>
      <w:proofErr w:type="gramStart"/>
      <w:r>
        <w:rPr>
          <w:lang w:val="en-US"/>
        </w:rPr>
        <w:t xml:space="preserve">‘Standing for Justice: The Lawyers role in the Client Selection Process ‘Earl A </w:t>
      </w:r>
      <w:proofErr w:type="spellStart"/>
      <w:r>
        <w:rPr>
          <w:lang w:val="en-US"/>
        </w:rPr>
        <w:t>Chernieck</w:t>
      </w:r>
      <w:proofErr w:type="spellEnd"/>
      <w:r>
        <w:rPr>
          <w:lang w:val="en-US"/>
        </w:rPr>
        <w:t xml:space="preserve"> and Shelby Z C Austin.</w:t>
      </w:r>
      <w:proofErr w:type="gramEnd"/>
    </w:p>
  </w:footnote>
  <w:footnote w:id="2">
    <w:p w:rsidR="00235730" w:rsidRDefault="004C3BEF">
      <w:pPr>
        <w:pStyle w:val="FootnoteText"/>
        <w:rPr>
          <w:lang w:val="en-US"/>
        </w:rPr>
      </w:pPr>
      <w:r>
        <w:rPr>
          <w:rStyle w:val="FootnoteReference"/>
        </w:rPr>
        <w:footnoteRef/>
      </w:r>
      <w:r>
        <w:t xml:space="preserve"> http://en.wikipedia.org/wiki/Cab-rank_rule.</w:t>
      </w:r>
    </w:p>
  </w:footnote>
  <w:footnote w:id="3">
    <w:p w:rsidR="00235730" w:rsidRDefault="004C3BEF">
      <w:pPr>
        <w:pStyle w:val="FootnoteText"/>
        <w:rPr>
          <w:lang w:val="en-US"/>
        </w:rPr>
      </w:pPr>
      <w:r>
        <w:rPr>
          <w:rStyle w:val="FootnoteReference"/>
        </w:rPr>
        <w:footnoteRef/>
      </w:r>
      <w:r>
        <w:t xml:space="preserve"> </w:t>
      </w:r>
      <w:r>
        <w:rPr>
          <w:lang w:val="en-US"/>
        </w:rPr>
        <w:t>Article 50 (2)a, provides for the presumption of innocence, article 2(g) provides for the right to choose and be represented by an  advocate, and to be informed of this right promptly. Similarly, article 2(h) provides the right to be provided with an advocate by the State and at state expense, if substantial injustice would otherwise result, and to be informed of this right promptly.</w:t>
      </w:r>
    </w:p>
  </w:footnote>
  <w:footnote w:id="4">
    <w:p w:rsidR="00235730" w:rsidRDefault="004C3BEF">
      <w:pPr>
        <w:pStyle w:val="FootnoteText"/>
        <w:rPr>
          <w:lang w:val="en-US"/>
        </w:rPr>
      </w:pPr>
      <w:r>
        <w:rPr>
          <w:rStyle w:val="FootnoteReference"/>
        </w:rPr>
        <w:footnoteRef/>
      </w:r>
      <w:r>
        <w:t xml:space="preserve"> </w:t>
      </w:r>
      <w:r>
        <w:rPr>
          <w:lang w:val="en-US"/>
        </w:rPr>
        <w:t>287 US 45 1932</w:t>
      </w:r>
    </w:p>
  </w:footnote>
  <w:footnote w:id="5">
    <w:p w:rsidR="00235730" w:rsidRDefault="004C3BEF">
      <w:pPr>
        <w:pStyle w:val="FootnoteText"/>
        <w:rPr>
          <w:lang w:val="en-US"/>
        </w:rPr>
      </w:pPr>
      <w:r>
        <w:rPr>
          <w:rStyle w:val="FootnoteReference"/>
        </w:rPr>
        <w:footnoteRef/>
      </w:r>
      <w:r>
        <w:t xml:space="preserve"> </w:t>
      </w:r>
      <w:proofErr w:type="gramStart"/>
      <w:r>
        <w:rPr>
          <w:lang w:val="en-US"/>
        </w:rPr>
        <w:t>Criminal Appeal No.2310 of 2010.</w:t>
      </w:r>
      <w:proofErr w:type="gramEnd"/>
    </w:p>
  </w:footnote>
  <w:footnote w:id="6">
    <w:p w:rsidR="00235730" w:rsidRDefault="004C3BEF">
      <w:pPr>
        <w:pStyle w:val="FootnoteText"/>
        <w:rPr>
          <w:lang w:val="en-US"/>
        </w:rPr>
      </w:pPr>
      <w:r>
        <w:rPr>
          <w:rStyle w:val="FootnoteReference"/>
        </w:rPr>
        <w:footnoteRef/>
      </w:r>
      <w:r>
        <w:t xml:space="preserve"> </w:t>
      </w:r>
      <w:r>
        <w:rPr>
          <w:lang w:val="en-US"/>
        </w:rPr>
        <w:t>Ibid.</w:t>
      </w:r>
    </w:p>
  </w:footnote>
  <w:footnote w:id="7">
    <w:p w:rsidR="00235730" w:rsidRDefault="004C3BEF">
      <w:pPr>
        <w:pStyle w:val="FootnoteText"/>
        <w:rPr>
          <w:lang w:val="en-US"/>
        </w:rPr>
      </w:pPr>
      <w:r>
        <w:rPr>
          <w:rStyle w:val="FootnoteReference"/>
        </w:rPr>
        <w:footnoteRef/>
      </w:r>
      <w:r>
        <w:t xml:space="preserve"> </w:t>
      </w:r>
      <w:r>
        <w:rPr>
          <w:lang w:val="en-US"/>
        </w:rPr>
        <w:t>Ibid.</w:t>
      </w:r>
    </w:p>
  </w:footnote>
  <w:footnote w:id="8">
    <w:p w:rsidR="00235730" w:rsidRDefault="004C3BEF">
      <w:pPr>
        <w:pStyle w:val="FootnoteText"/>
        <w:rPr>
          <w:lang w:val="en-US"/>
        </w:rPr>
      </w:pPr>
      <w:r>
        <w:rPr>
          <w:rStyle w:val="FootnoteReference"/>
        </w:rPr>
        <w:footnoteRef/>
      </w:r>
      <w:r>
        <w:t xml:space="preserve"> </w:t>
      </w:r>
      <w:proofErr w:type="spellStart"/>
      <w:r>
        <w:rPr>
          <w:lang w:val="en-US"/>
        </w:rPr>
        <w:t>Rondell</w:t>
      </w:r>
      <w:proofErr w:type="spellEnd"/>
      <w:r>
        <w:rPr>
          <w:lang w:val="en-US"/>
        </w:rPr>
        <w:t xml:space="preserve"> v </w:t>
      </w:r>
      <w:proofErr w:type="spellStart"/>
      <w:r>
        <w:rPr>
          <w:lang w:val="en-US"/>
        </w:rPr>
        <w:t>Worsely</w:t>
      </w:r>
      <w:proofErr w:type="spellEnd"/>
      <w:r>
        <w:rPr>
          <w:lang w:val="en-US"/>
        </w:rPr>
        <w:t xml:space="preserve"> [1967]3 ALL ER 993 at 1029; </w:t>
      </w:r>
      <w:proofErr w:type="spellStart"/>
      <w:r>
        <w:rPr>
          <w:lang w:val="en-US"/>
        </w:rPr>
        <w:t>Stropincky</w:t>
      </w:r>
      <w:proofErr w:type="spellEnd"/>
      <w:r>
        <w:rPr>
          <w:lang w:val="en-US"/>
        </w:rPr>
        <w:t xml:space="preserve"> v </w:t>
      </w:r>
      <w:proofErr w:type="spellStart"/>
      <w:r>
        <w:rPr>
          <w:lang w:val="en-US"/>
        </w:rPr>
        <w:t>Nathonson</w:t>
      </w:r>
      <w:proofErr w:type="spellEnd"/>
      <w:r>
        <w:rPr>
          <w:lang w:val="en-US"/>
        </w:rPr>
        <w:t xml:space="preserve"> 19M.D.L.R</w:t>
      </w:r>
    </w:p>
  </w:footnote>
  <w:footnote w:id="9">
    <w:p w:rsidR="00235730" w:rsidRDefault="004C3BEF">
      <w:pPr>
        <w:pStyle w:val="FootnoteText"/>
        <w:rPr>
          <w:lang w:val="en-US"/>
        </w:rPr>
      </w:pPr>
      <w:r>
        <w:rPr>
          <w:rStyle w:val="FootnoteReference"/>
        </w:rPr>
        <w:footnoteRef/>
      </w:r>
      <w:r>
        <w:t xml:space="preserve"> ‘</w:t>
      </w:r>
      <w:r>
        <w:rPr>
          <w:lang w:val="en-US"/>
        </w:rPr>
        <w:t>Professional Ethics: A Kenyan Perspective ‘ Professor Tom Ojienda and Katarina Juma.</w:t>
      </w:r>
    </w:p>
  </w:footnote>
  <w:footnote w:id="10">
    <w:p w:rsidR="00235730" w:rsidRDefault="004C3BEF">
      <w:pPr>
        <w:pStyle w:val="FootnoteText"/>
        <w:rPr>
          <w:lang w:val="en-US"/>
        </w:rPr>
      </w:pPr>
      <w:r>
        <w:rPr>
          <w:rStyle w:val="FootnoteReference"/>
        </w:rPr>
        <w:footnoteRef/>
      </w:r>
      <w:r>
        <w:t xml:space="preserve"> </w:t>
      </w:r>
      <w:proofErr w:type="gramStart"/>
      <w:r>
        <w:rPr>
          <w:lang w:val="en-US"/>
        </w:rPr>
        <w:t>Ibid.,</w:t>
      </w:r>
      <w:proofErr w:type="gramEnd"/>
      <w:r>
        <w:rPr>
          <w:lang w:val="en-US"/>
        </w:rPr>
        <w:t xml:space="preserve"> Note 9.</w:t>
      </w:r>
    </w:p>
  </w:footnote>
  <w:footnote w:id="11">
    <w:p w:rsidR="00235730" w:rsidRDefault="004C3BEF">
      <w:pPr>
        <w:pStyle w:val="FootnoteText"/>
        <w:rPr>
          <w:lang w:val="en-US"/>
        </w:rPr>
      </w:pPr>
      <w:r>
        <w:rPr>
          <w:rStyle w:val="FootnoteReference"/>
        </w:rPr>
        <w:footnoteRef/>
      </w:r>
      <w:r>
        <w:t xml:space="preserve"> </w:t>
      </w:r>
      <w:r>
        <w:rPr>
          <w:lang w:val="en-US"/>
        </w:rPr>
        <w:t xml:space="preserve">‘Lawyers conflict of interest’ </w:t>
      </w:r>
      <w:proofErr w:type="spellStart"/>
      <w:r>
        <w:rPr>
          <w:lang w:val="en-US"/>
        </w:rPr>
        <w:t>Ramone</w:t>
      </w:r>
      <w:proofErr w:type="spellEnd"/>
      <w:r>
        <w:rPr>
          <w:lang w:val="en-US"/>
        </w:rPr>
        <w:t xml:space="preserve"> </w:t>
      </w:r>
      <w:proofErr w:type="spellStart"/>
      <w:r>
        <w:rPr>
          <w:lang w:val="en-US"/>
        </w:rPr>
        <w:t>Mullerat</w:t>
      </w:r>
      <w:proofErr w:type="spellEnd"/>
      <w:r>
        <w:rPr>
          <w:lang w:val="en-US"/>
        </w:rPr>
        <w:t>.</w:t>
      </w:r>
    </w:p>
  </w:footnote>
  <w:footnote w:id="12">
    <w:p w:rsidR="00235730" w:rsidRDefault="004C3BEF">
      <w:pPr>
        <w:pStyle w:val="FootnoteText"/>
        <w:rPr>
          <w:lang w:val="en-US"/>
        </w:rPr>
      </w:pPr>
      <w:r>
        <w:rPr>
          <w:rStyle w:val="FootnoteReference"/>
        </w:rPr>
        <w:footnoteRef/>
      </w:r>
      <w:r>
        <w:t xml:space="preserve"> </w:t>
      </w:r>
      <w:proofErr w:type="gramStart"/>
      <w:r>
        <w:rPr>
          <w:lang w:val="en-US"/>
        </w:rPr>
        <w:t>Ibid.,</w:t>
      </w:r>
      <w:proofErr w:type="gramEnd"/>
      <w:r>
        <w:rPr>
          <w:lang w:val="en-US"/>
        </w:rPr>
        <w:t xml:space="preserve"> Note 9.</w:t>
      </w:r>
    </w:p>
  </w:footnote>
  <w:footnote w:id="13">
    <w:p w:rsidR="00235730" w:rsidRDefault="004C3BEF">
      <w:pPr>
        <w:pStyle w:val="FootnoteText"/>
        <w:rPr>
          <w:lang w:val="en-US"/>
        </w:rPr>
      </w:pPr>
      <w:r>
        <w:rPr>
          <w:rStyle w:val="FootnoteReference"/>
        </w:rPr>
        <w:footnoteRef/>
      </w:r>
      <w:r>
        <w:t xml:space="preserve"> </w:t>
      </w:r>
      <w:proofErr w:type="gramStart"/>
      <w:r>
        <w:rPr>
          <w:lang w:val="en-US"/>
        </w:rPr>
        <w:t>Rule 16 of the 1988 International Code of Ethics.</w:t>
      </w:r>
      <w:proofErr w:type="gramEnd"/>
    </w:p>
  </w:footnote>
  <w:footnote w:id="14">
    <w:p w:rsidR="00235730" w:rsidRDefault="004C3BEF">
      <w:pPr>
        <w:pStyle w:val="FootnoteText"/>
        <w:rPr>
          <w:lang w:val="en-US"/>
        </w:rPr>
      </w:pPr>
      <w:r>
        <w:rPr>
          <w:rStyle w:val="FootnoteReference"/>
        </w:rPr>
        <w:footnoteRef/>
      </w:r>
      <w:r>
        <w:t xml:space="preserve"> </w:t>
      </w:r>
      <w:r>
        <w:rPr>
          <w:lang w:val="en-US"/>
        </w:rPr>
        <w:t>Application made through Notice of Motion.</w:t>
      </w:r>
    </w:p>
  </w:footnote>
  <w:footnote w:id="15">
    <w:p w:rsidR="00235730" w:rsidRDefault="004C3BEF">
      <w:pPr>
        <w:pStyle w:val="FootnoteText"/>
        <w:rPr>
          <w:lang w:val="en-US"/>
        </w:rPr>
      </w:pPr>
      <w:r>
        <w:rPr>
          <w:rStyle w:val="FootnoteReference"/>
        </w:rPr>
        <w:footnoteRef/>
      </w:r>
      <w:r>
        <w:t xml:space="preserve"> </w:t>
      </w:r>
      <w:r>
        <w:rPr>
          <w:lang w:val="en-US"/>
        </w:rPr>
        <w:t>Civil Appeal No. 71 of 1988</w:t>
      </w:r>
    </w:p>
  </w:footnote>
  <w:footnote w:id="16">
    <w:p w:rsidR="00235730" w:rsidRDefault="004C3BEF">
      <w:pPr>
        <w:pStyle w:val="FootnoteText"/>
        <w:rPr>
          <w:lang w:val="en-US"/>
        </w:rPr>
      </w:pPr>
      <w:r>
        <w:rPr>
          <w:rStyle w:val="FootnoteReference"/>
        </w:rPr>
        <w:footnoteRef/>
      </w:r>
      <w:r>
        <w:t xml:space="preserve"> </w:t>
      </w:r>
      <w:r>
        <w:rPr>
          <w:lang w:val="en-US"/>
        </w:rPr>
        <w:t>(1994)EA 244 at 250</w:t>
      </w:r>
    </w:p>
  </w:footnote>
  <w:footnote w:id="17">
    <w:p w:rsidR="00235730" w:rsidRDefault="004C3BEF">
      <w:pPr>
        <w:pStyle w:val="FootnoteText"/>
        <w:rPr>
          <w:lang w:val="en-US"/>
        </w:rPr>
      </w:pPr>
      <w:r>
        <w:rPr>
          <w:rStyle w:val="FootnoteReference"/>
        </w:rPr>
        <w:footnoteRef/>
      </w:r>
      <w:r>
        <w:t xml:space="preserve"> </w:t>
      </w:r>
      <w:r>
        <w:rPr>
          <w:lang w:val="en-US"/>
        </w:rPr>
        <w:t>(2006) eKLR</w:t>
      </w:r>
    </w:p>
  </w:footnote>
  <w:footnote w:id="18">
    <w:p w:rsidR="00235730" w:rsidRDefault="004C3BEF">
      <w:pPr>
        <w:pStyle w:val="FootnoteText"/>
        <w:rPr>
          <w:lang w:val="en-US"/>
        </w:rPr>
      </w:pPr>
      <w:r>
        <w:rPr>
          <w:rStyle w:val="FootnoteReference"/>
        </w:rPr>
        <w:footnoteRef/>
      </w:r>
      <w:r>
        <w:t xml:space="preserve"> </w:t>
      </w:r>
      <w:r>
        <w:rPr>
          <w:lang w:val="en-US"/>
        </w:rPr>
        <w:t>(2005) eKLR</w:t>
      </w:r>
    </w:p>
  </w:footnote>
  <w:footnote w:id="19">
    <w:p w:rsidR="00235730" w:rsidRDefault="004C3BEF">
      <w:pPr>
        <w:pStyle w:val="FootnoteText"/>
        <w:rPr>
          <w:lang w:val="en-US"/>
        </w:rPr>
      </w:pPr>
      <w:r>
        <w:rPr>
          <w:rStyle w:val="FootnoteReference"/>
        </w:rPr>
        <w:footnoteRef/>
      </w:r>
      <w:r>
        <w:t xml:space="preserve"> Civil Appeal 136/2005</w:t>
      </w:r>
    </w:p>
  </w:footnote>
  <w:footnote w:id="20">
    <w:p w:rsidR="00235730" w:rsidRDefault="004C3BEF">
      <w:pPr>
        <w:pStyle w:val="FootnoteText"/>
        <w:rPr>
          <w:lang w:val="en-US"/>
        </w:rPr>
      </w:pPr>
      <w:r>
        <w:rPr>
          <w:rStyle w:val="FootnoteReference"/>
        </w:rPr>
        <w:footnoteRef/>
      </w:r>
      <w:r>
        <w:t xml:space="preserve"> </w:t>
      </w:r>
      <w:r>
        <w:rPr>
          <w:lang w:val="en-US"/>
        </w:rPr>
        <w:t>2012 eKLR</w:t>
      </w:r>
    </w:p>
  </w:footnote>
  <w:footnote w:id="21">
    <w:p w:rsidR="00235730" w:rsidRDefault="004C3BEF">
      <w:pPr>
        <w:pStyle w:val="FootnoteText"/>
        <w:rPr>
          <w:lang w:val="en-US"/>
        </w:rPr>
      </w:pPr>
      <w:r>
        <w:rPr>
          <w:rStyle w:val="FootnoteReference"/>
        </w:rPr>
        <w:footnoteRef/>
      </w:r>
      <w:r>
        <w:t xml:space="preserve"> </w:t>
      </w:r>
      <w:r>
        <w:rPr>
          <w:lang w:val="en-US"/>
        </w:rPr>
        <w:t>2007 eKLR</w:t>
      </w:r>
    </w:p>
  </w:footnote>
  <w:footnote w:id="22">
    <w:p w:rsidR="00235730" w:rsidRDefault="004C3BEF">
      <w:pPr>
        <w:pStyle w:val="FootnoteText"/>
        <w:rPr>
          <w:lang w:val="en-US"/>
        </w:rPr>
      </w:pPr>
      <w:r>
        <w:rPr>
          <w:rStyle w:val="FootnoteReference"/>
        </w:rPr>
        <w:footnoteRef/>
      </w:r>
      <w:r>
        <w:t xml:space="preserve"> </w:t>
      </w:r>
      <w:r>
        <w:rPr>
          <w:lang w:val="en-US"/>
        </w:rPr>
        <w:t>Civil Suit 546/1998</w:t>
      </w:r>
    </w:p>
  </w:footnote>
  <w:footnote w:id="23">
    <w:p w:rsidR="00235730" w:rsidRDefault="004C3BEF">
      <w:pPr>
        <w:pStyle w:val="FootnoteText"/>
        <w:rPr>
          <w:lang w:val="en-US"/>
        </w:rPr>
      </w:pPr>
      <w:r>
        <w:rPr>
          <w:rStyle w:val="FootnoteReference"/>
        </w:rPr>
        <w:footnoteRef/>
      </w:r>
      <w:r>
        <w:t xml:space="preserve"> </w:t>
      </w:r>
      <w:r>
        <w:rPr>
          <w:lang w:val="en-US"/>
        </w:rPr>
        <w:t>Ibid.,n3</w:t>
      </w:r>
    </w:p>
  </w:footnote>
  <w:footnote w:id="24">
    <w:p w:rsidR="00235730" w:rsidRDefault="004C3BEF">
      <w:pPr>
        <w:pStyle w:val="FootnoteText"/>
        <w:rPr>
          <w:lang w:val="en-US"/>
        </w:rPr>
      </w:pPr>
      <w:r>
        <w:rPr>
          <w:rStyle w:val="FootnoteReference"/>
        </w:rPr>
        <w:footnoteRef/>
      </w:r>
      <w:r>
        <w:t xml:space="preserve"> </w:t>
      </w:r>
      <w:r>
        <w:rPr>
          <w:lang w:val="en-US"/>
        </w:rPr>
        <w:t>Ibid.,9</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7050D"/>
    <w:multiLevelType w:val="hybridMultilevel"/>
    <w:tmpl w:val="5B60E7B0"/>
    <w:lvl w:ilvl="0" w:tplc="0441000F">
      <w:start w:val="1"/>
      <w:numFmt w:val="decimal"/>
      <w:lvlText w:val="%1."/>
      <w:lvlJc w:val="left"/>
      <w:pPr>
        <w:ind w:left="720" w:hanging="360"/>
      </w:p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start w:val="1"/>
      <w:numFmt w:val="decimal"/>
      <w:lvlText w:val="%4."/>
      <w:lvlJc w:val="left"/>
      <w:pPr>
        <w:ind w:left="2880" w:hanging="360"/>
      </w:pPr>
    </w:lvl>
    <w:lvl w:ilvl="4" w:tplc="04410019">
      <w:start w:val="1"/>
      <w:numFmt w:val="lowerLetter"/>
      <w:lvlText w:val="%5."/>
      <w:lvlJc w:val="left"/>
      <w:pPr>
        <w:ind w:left="3600" w:hanging="360"/>
      </w:pPr>
    </w:lvl>
    <w:lvl w:ilvl="5" w:tplc="0441001B">
      <w:start w:val="1"/>
      <w:numFmt w:val="lowerRoman"/>
      <w:lvlText w:val="%6."/>
      <w:lvlJc w:val="right"/>
      <w:pPr>
        <w:ind w:left="4320" w:hanging="180"/>
      </w:pPr>
    </w:lvl>
    <w:lvl w:ilvl="6" w:tplc="0441000F">
      <w:start w:val="1"/>
      <w:numFmt w:val="decimal"/>
      <w:lvlText w:val="%7."/>
      <w:lvlJc w:val="left"/>
      <w:pPr>
        <w:ind w:left="5040" w:hanging="360"/>
      </w:pPr>
    </w:lvl>
    <w:lvl w:ilvl="7" w:tplc="04410019">
      <w:start w:val="1"/>
      <w:numFmt w:val="lowerLetter"/>
      <w:lvlText w:val="%8."/>
      <w:lvlJc w:val="left"/>
      <w:pPr>
        <w:ind w:left="5760" w:hanging="360"/>
      </w:pPr>
    </w:lvl>
    <w:lvl w:ilvl="8" w:tplc="0441001B">
      <w:start w:val="1"/>
      <w:numFmt w:val="lowerRoman"/>
      <w:lvlText w:val="%9."/>
      <w:lvlJc w:val="right"/>
      <w:pPr>
        <w:ind w:left="6480" w:hanging="180"/>
      </w:pPr>
    </w:lvl>
  </w:abstractNum>
  <w:abstractNum w:abstractNumId="1">
    <w:nsid w:val="079477BB"/>
    <w:multiLevelType w:val="hybridMultilevel"/>
    <w:tmpl w:val="200E1346"/>
    <w:lvl w:ilvl="0" w:tplc="0441001B">
      <w:start w:val="1"/>
      <w:numFmt w:val="lowerRoman"/>
      <w:lvlText w:val="%1."/>
      <w:lvlJc w:val="right"/>
      <w:pPr>
        <w:ind w:left="1080" w:hanging="360"/>
      </w:pPr>
    </w:lvl>
    <w:lvl w:ilvl="1" w:tplc="04410019">
      <w:start w:val="1"/>
      <w:numFmt w:val="lowerLetter"/>
      <w:lvlText w:val="%2."/>
      <w:lvlJc w:val="left"/>
      <w:pPr>
        <w:ind w:left="1800" w:hanging="360"/>
      </w:pPr>
    </w:lvl>
    <w:lvl w:ilvl="2" w:tplc="0441001B">
      <w:start w:val="1"/>
      <w:numFmt w:val="lowerRoman"/>
      <w:lvlText w:val="%3."/>
      <w:lvlJc w:val="right"/>
      <w:pPr>
        <w:ind w:left="2520" w:hanging="180"/>
      </w:pPr>
    </w:lvl>
    <w:lvl w:ilvl="3" w:tplc="0441000F">
      <w:start w:val="1"/>
      <w:numFmt w:val="decimal"/>
      <w:lvlText w:val="%4."/>
      <w:lvlJc w:val="left"/>
      <w:pPr>
        <w:ind w:left="3240" w:hanging="360"/>
      </w:pPr>
    </w:lvl>
    <w:lvl w:ilvl="4" w:tplc="04410019">
      <w:start w:val="1"/>
      <w:numFmt w:val="lowerLetter"/>
      <w:lvlText w:val="%5."/>
      <w:lvlJc w:val="left"/>
      <w:pPr>
        <w:ind w:left="3960" w:hanging="360"/>
      </w:pPr>
    </w:lvl>
    <w:lvl w:ilvl="5" w:tplc="0441001B">
      <w:start w:val="1"/>
      <w:numFmt w:val="lowerRoman"/>
      <w:lvlText w:val="%6."/>
      <w:lvlJc w:val="right"/>
      <w:pPr>
        <w:ind w:left="4680" w:hanging="180"/>
      </w:pPr>
    </w:lvl>
    <w:lvl w:ilvl="6" w:tplc="0441000F">
      <w:start w:val="1"/>
      <w:numFmt w:val="decimal"/>
      <w:lvlText w:val="%7."/>
      <w:lvlJc w:val="left"/>
      <w:pPr>
        <w:ind w:left="5400" w:hanging="360"/>
      </w:pPr>
    </w:lvl>
    <w:lvl w:ilvl="7" w:tplc="04410019">
      <w:start w:val="1"/>
      <w:numFmt w:val="lowerLetter"/>
      <w:lvlText w:val="%8."/>
      <w:lvlJc w:val="left"/>
      <w:pPr>
        <w:ind w:left="6120" w:hanging="360"/>
      </w:pPr>
    </w:lvl>
    <w:lvl w:ilvl="8" w:tplc="0441001B">
      <w:start w:val="1"/>
      <w:numFmt w:val="lowerRoman"/>
      <w:lvlText w:val="%9."/>
      <w:lvlJc w:val="right"/>
      <w:pPr>
        <w:ind w:left="6840" w:hanging="180"/>
      </w:pPr>
    </w:lvl>
  </w:abstractNum>
  <w:abstractNum w:abstractNumId="2">
    <w:nsid w:val="0BBB2C39"/>
    <w:multiLevelType w:val="hybridMultilevel"/>
    <w:tmpl w:val="742053D4"/>
    <w:lvl w:ilvl="0" w:tplc="0409001B">
      <w:start w:val="1"/>
      <w:numFmt w:val="lowerRoman"/>
      <w:lvlText w:val="%1."/>
      <w:lvlJc w:val="right"/>
      <w:pPr>
        <w:ind w:left="2484" w:hanging="360"/>
      </w:pPr>
    </w:lvl>
    <w:lvl w:ilvl="1" w:tplc="04090019" w:tentative="1">
      <w:start w:val="1"/>
      <w:numFmt w:val="lowerLetter"/>
      <w:lvlText w:val="%2."/>
      <w:lvlJc w:val="left"/>
      <w:pPr>
        <w:ind w:left="3204" w:hanging="360"/>
      </w:pPr>
    </w:lvl>
    <w:lvl w:ilvl="2" w:tplc="0409001B" w:tentative="1">
      <w:start w:val="1"/>
      <w:numFmt w:val="lowerRoman"/>
      <w:lvlText w:val="%3."/>
      <w:lvlJc w:val="right"/>
      <w:pPr>
        <w:ind w:left="3924" w:hanging="180"/>
      </w:pPr>
    </w:lvl>
    <w:lvl w:ilvl="3" w:tplc="0409000F" w:tentative="1">
      <w:start w:val="1"/>
      <w:numFmt w:val="decimal"/>
      <w:lvlText w:val="%4."/>
      <w:lvlJc w:val="left"/>
      <w:pPr>
        <w:ind w:left="4644" w:hanging="360"/>
      </w:pPr>
    </w:lvl>
    <w:lvl w:ilvl="4" w:tplc="04090019" w:tentative="1">
      <w:start w:val="1"/>
      <w:numFmt w:val="lowerLetter"/>
      <w:lvlText w:val="%5."/>
      <w:lvlJc w:val="left"/>
      <w:pPr>
        <w:ind w:left="5364" w:hanging="360"/>
      </w:pPr>
    </w:lvl>
    <w:lvl w:ilvl="5" w:tplc="0409001B" w:tentative="1">
      <w:start w:val="1"/>
      <w:numFmt w:val="lowerRoman"/>
      <w:lvlText w:val="%6."/>
      <w:lvlJc w:val="right"/>
      <w:pPr>
        <w:ind w:left="6084" w:hanging="180"/>
      </w:pPr>
    </w:lvl>
    <w:lvl w:ilvl="6" w:tplc="0409000F" w:tentative="1">
      <w:start w:val="1"/>
      <w:numFmt w:val="decimal"/>
      <w:lvlText w:val="%7."/>
      <w:lvlJc w:val="left"/>
      <w:pPr>
        <w:ind w:left="6804" w:hanging="360"/>
      </w:pPr>
    </w:lvl>
    <w:lvl w:ilvl="7" w:tplc="04090019" w:tentative="1">
      <w:start w:val="1"/>
      <w:numFmt w:val="lowerLetter"/>
      <w:lvlText w:val="%8."/>
      <w:lvlJc w:val="left"/>
      <w:pPr>
        <w:ind w:left="7524" w:hanging="360"/>
      </w:pPr>
    </w:lvl>
    <w:lvl w:ilvl="8" w:tplc="0409001B" w:tentative="1">
      <w:start w:val="1"/>
      <w:numFmt w:val="lowerRoman"/>
      <w:lvlText w:val="%9."/>
      <w:lvlJc w:val="right"/>
      <w:pPr>
        <w:ind w:left="8244" w:hanging="180"/>
      </w:pPr>
    </w:lvl>
  </w:abstractNum>
  <w:abstractNum w:abstractNumId="3">
    <w:nsid w:val="131A05F7"/>
    <w:multiLevelType w:val="hybridMultilevel"/>
    <w:tmpl w:val="F2E28780"/>
    <w:lvl w:ilvl="0" w:tplc="0441001B">
      <w:start w:val="1"/>
      <w:numFmt w:val="lowerRoman"/>
      <w:lvlText w:val="%1."/>
      <w:lvlJc w:val="right"/>
      <w:pPr>
        <w:ind w:left="1140" w:hanging="360"/>
      </w:pPr>
    </w:lvl>
    <w:lvl w:ilvl="1" w:tplc="04410019">
      <w:start w:val="1"/>
      <w:numFmt w:val="lowerLetter"/>
      <w:lvlText w:val="%2."/>
      <w:lvlJc w:val="left"/>
      <w:pPr>
        <w:ind w:left="1860" w:hanging="360"/>
      </w:pPr>
    </w:lvl>
    <w:lvl w:ilvl="2" w:tplc="0441001B">
      <w:start w:val="1"/>
      <w:numFmt w:val="lowerRoman"/>
      <w:lvlText w:val="%3."/>
      <w:lvlJc w:val="right"/>
      <w:pPr>
        <w:ind w:left="2580" w:hanging="180"/>
      </w:pPr>
    </w:lvl>
    <w:lvl w:ilvl="3" w:tplc="0441000F">
      <w:start w:val="1"/>
      <w:numFmt w:val="decimal"/>
      <w:lvlText w:val="%4."/>
      <w:lvlJc w:val="left"/>
      <w:pPr>
        <w:ind w:left="3300" w:hanging="360"/>
      </w:pPr>
    </w:lvl>
    <w:lvl w:ilvl="4" w:tplc="04410019">
      <w:start w:val="1"/>
      <w:numFmt w:val="lowerLetter"/>
      <w:lvlText w:val="%5."/>
      <w:lvlJc w:val="left"/>
      <w:pPr>
        <w:ind w:left="4020" w:hanging="360"/>
      </w:pPr>
    </w:lvl>
    <w:lvl w:ilvl="5" w:tplc="0441001B">
      <w:start w:val="1"/>
      <w:numFmt w:val="lowerRoman"/>
      <w:lvlText w:val="%6."/>
      <w:lvlJc w:val="right"/>
      <w:pPr>
        <w:ind w:left="4740" w:hanging="180"/>
      </w:pPr>
    </w:lvl>
    <w:lvl w:ilvl="6" w:tplc="0441000F">
      <w:start w:val="1"/>
      <w:numFmt w:val="decimal"/>
      <w:lvlText w:val="%7."/>
      <w:lvlJc w:val="left"/>
      <w:pPr>
        <w:ind w:left="5460" w:hanging="360"/>
      </w:pPr>
    </w:lvl>
    <w:lvl w:ilvl="7" w:tplc="04410019">
      <w:start w:val="1"/>
      <w:numFmt w:val="lowerLetter"/>
      <w:lvlText w:val="%8."/>
      <w:lvlJc w:val="left"/>
      <w:pPr>
        <w:ind w:left="6180" w:hanging="360"/>
      </w:pPr>
    </w:lvl>
    <w:lvl w:ilvl="8" w:tplc="0441001B">
      <w:start w:val="1"/>
      <w:numFmt w:val="lowerRoman"/>
      <w:lvlText w:val="%9."/>
      <w:lvlJc w:val="right"/>
      <w:pPr>
        <w:ind w:left="6900" w:hanging="180"/>
      </w:pPr>
    </w:lvl>
  </w:abstractNum>
  <w:abstractNum w:abstractNumId="4">
    <w:nsid w:val="177359E9"/>
    <w:multiLevelType w:val="hybridMultilevel"/>
    <w:tmpl w:val="7D0E17F2"/>
    <w:lvl w:ilvl="0" w:tplc="94CA9332">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F66342E"/>
    <w:multiLevelType w:val="hybridMultilevel"/>
    <w:tmpl w:val="E8E40F08"/>
    <w:lvl w:ilvl="0" w:tplc="0441001B">
      <w:start w:val="1"/>
      <w:numFmt w:val="lowerRoman"/>
      <w:lvlText w:val="%1."/>
      <w:lvlJc w:val="right"/>
      <w:pPr>
        <w:ind w:left="1080" w:hanging="360"/>
      </w:pPr>
    </w:lvl>
    <w:lvl w:ilvl="1" w:tplc="04410019">
      <w:start w:val="1"/>
      <w:numFmt w:val="lowerLetter"/>
      <w:lvlText w:val="%2."/>
      <w:lvlJc w:val="left"/>
      <w:pPr>
        <w:ind w:left="1800" w:hanging="360"/>
      </w:pPr>
    </w:lvl>
    <w:lvl w:ilvl="2" w:tplc="0441001B">
      <w:start w:val="1"/>
      <w:numFmt w:val="lowerRoman"/>
      <w:lvlText w:val="%3."/>
      <w:lvlJc w:val="right"/>
      <w:pPr>
        <w:ind w:left="2520" w:hanging="180"/>
      </w:pPr>
    </w:lvl>
    <w:lvl w:ilvl="3" w:tplc="0441000F">
      <w:start w:val="1"/>
      <w:numFmt w:val="decimal"/>
      <w:lvlText w:val="%4."/>
      <w:lvlJc w:val="left"/>
      <w:pPr>
        <w:ind w:left="3240" w:hanging="360"/>
      </w:pPr>
    </w:lvl>
    <w:lvl w:ilvl="4" w:tplc="04410019">
      <w:start w:val="1"/>
      <w:numFmt w:val="lowerLetter"/>
      <w:lvlText w:val="%5."/>
      <w:lvlJc w:val="left"/>
      <w:pPr>
        <w:ind w:left="3960" w:hanging="360"/>
      </w:pPr>
    </w:lvl>
    <w:lvl w:ilvl="5" w:tplc="0441001B">
      <w:start w:val="1"/>
      <w:numFmt w:val="lowerRoman"/>
      <w:lvlText w:val="%6."/>
      <w:lvlJc w:val="right"/>
      <w:pPr>
        <w:ind w:left="4680" w:hanging="180"/>
      </w:pPr>
    </w:lvl>
    <w:lvl w:ilvl="6" w:tplc="0441000F">
      <w:start w:val="1"/>
      <w:numFmt w:val="decimal"/>
      <w:lvlText w:val="%7."/>
      <w:lvlJc w:val="left"/>
      <w:pPr>
        <w:ind w:left="5400" w:hanging="360"/>
      </w:pPr>
    </w:lvl>
    <w:lvl w:ilvl="7" w:tplc="04410019">
      <w:start w:val="1"/>
      <w:numFmt w:val="lowerLetter"/>
      <w:lvlText w:val="%8."/>
      <w:lvlJc w:val="left"/>
      <w:pPr>
        <w:ind w:left="6120" w:hanging="360"/>
      </w:pPr>
    </w:lvl>
    <w:lvl w:ilvl="8" w:tplc="0441001B">
      <w:start w:val="1"/>
      <w:numFmt w:val="lowerRoman"/>
      <w:lvlText w:val="%9."/>
      <w:lvlJc w:val="right"/>
      <w:pPr>
        <w:ind w:left="6840" w:hanging="180"/>
      </w:pPr>
    </w:lvl>
  </w:abstractNum>
  <w:abstractNum w:abstractNumId="6">
    <w:nsid w:val="26D73FBD"/>
    <w:multiLevelType w:val="hybridMultilevel"/>
    <w:tmpl w:val="FB2EDBAA"/>
    <w:lvl w:ilvl="0" w:tplc="04410013">
      <w:start w:val="1"/>
      <w:numFmt w:val="upperRoman"/>
      <w:lvlText w:val="%1."/>
      <w:lvlJc w:val="right"/>
      <w:pPr>
        <w:ind w:left="1080" w:hanging="360"/>
      </w:pPr>
    </w:lvl>
    <w:lvl w:ilvl="1" w:tplc="04410019">
      <w:start w:val="1"/>
      <w:numFmt w:val="lowerLetter"/>
      <w:lvlText w:val="%2."/>
      <w:lvlJc w:val="left"/>
      <w:pPr>
        <w:ind w:left="1800" w:hanging="360"/>
      </w:pPr>
    </w:lvl>
    <w:lvl w:ilvl="2" w:tplc="0441001B">
      <w:start w:val="1"/>
      <w:numFmt w:val="lowerRoman"/>
      <w:lvlText w:val="%3."/>
      <w:lvlJc w:val="right"/>
      <w:pPr>
        <w:ind w:left="2520" w:hanging="180"/>
      </w:pPr>
    </w:lvl>
    <w:lvl w:ilvl="3" w:tplc="0441000F">
      <w:start w:val="1"/>
      <w:numFmt w:val="decimal"/>
      <w:lvlText w:val="%4."/>
      <w:lvlJc w:val="left"/>
      <w:pPr>
        <w:ind w:left="3240" w:hanging="360"/>
      </w:pPr>
    </w:lvl>
    <w:lvl w:ilvl="4" w:tplc="04410019">
      <w:start w:val="1"/>
      <w:numFmt w:val="lowerLetter"/>
      <w:lvlText w:val="%5."/>
      <w:lvlJc w:val="left"/>
      <w:pPr>
        <w:ind w:left="3960" w:hanging="360"/>
      </w:pPr>
    </w:lvl>
    <w:lvl w:ilvl="5" w:tplc="0441001B">
      <w:start w:val="1"/>
      <w:numFmt w:val="lowerRoman"/>
      <w:lvlText w:val="%6."/>
      <w:lvlJc w:val="right"/>
      <w:pPr>
        <w:ind w:left="4680" w:hanging="180"/>
      </w:pPr>
    </w:lvl>
    <w:lvl w:ilvl="6" w:tplc="0441000F">
      <w:start w:val="1"/>
      <w:numFmt w:val="decimal"/>
      <w:lvlText w:val="%7."/>
      <w:lvlJc w:val="left"/>
      <w:pPr>
        <w:ind w:left="5400" w:hanging="360"/>
      </w:pPr>
    </w:lvl>
    <w:lvl w:ilvl="7" w:tplc="04410019">
      <w:start w:val="1"/>
      <w:numFmt w:val="lowerLetter"/>
      <w:lvlText w:val="%8."/>
      <w:lvlJc w:val="left"/>
      <w:pPr>
        <w:ind w:left="6120" w:hanging="360"/>
      </w:pPr>
    </w:lvl>
    <w:lvl w:ilvl="8" w:tplc="0441001B">
      <w:start w:val="1"/>
      <w:numFmt w:val="lowerRoman"/>
      <w:lvlText w:val="%9."/>
      <w:lvlJc w:val="right"/>
      <w:pPr>
        <w:ind w:left="6840" w:hanging="180"/>
      </w:pPr>
    </w:lvl>
  </w:abstractNum>
  <w:abstractNum w:abstractNumId="7">
    <w:nsid w:val="290435FD"/>
    <w:multiLevelType w:val="hybridMultilevel"/>
    <w:tmpl w:val="0E74EEDA"/>
    <w:lvl w:ilvl="0" w:tplc="04410013">
      <w:start w:val="1"/>
      <w:numFmt w:val="upperRoman"/>
      <w:lvlText w:val="%1."/>
      <w:lvlJc w:val="right"/>
      <w:pPr>
        <w:ind w:left="1080" w:hanging="360"/>
      </w:pPr>
    </w:lvl>
    <w:lvl w:ilvl="1" w:tplc="04410019">
      <w:start w:val="1"/>
      <w:numFmt w:val="lowerLetter"/>
      <w:lvlText w:val="%2."/>
      <w:lvlJc w:val="left"/>
      <w:pPr>
        <w:ind w:left="1800" w:hanging="360"/>
      </w:pPr>
    </w:lvl>
    <w:lvl w:ilvl="2" w:tplc="0441001B">
      <w:start w:val="1"/>
      <w:numFmt w:val="lowerRoman"/>
      <w:lvlText w:val="%3."/>
      <w:lvlJc w:val="right"/>
      <w:pPr>
        <w:ind w:left="2520" w:hanging="180"/>
      </w:pPr>
    </w:lvl>
    <w:lvl w:ilvl="3" w:tplc="0441000F">
      <w:start w:val="1"/>
      <w:numFmt w:val="decimal"/>
      <w:lvlText w:val="%4."/>
      <w:lvlJc w:val="left"/>
      <w:pPr>
        <w:ind w:left="3240" w:hanging="360"/>
      </w:pPr>
    </w:lvl>
    <w:lvl w:ilvl="4" w:tplc="04410019">
      <w:start w:val="1"/>
      <w:numFmt w:val="lowerLetter"/>
      <w:lvlText w:val="%5."/>
      <w:lvlJc w:val="left"/>
      <w:pPr>
        <w:ind w:left="3960" w:hanging="360"/>
      </w:pPr>
    </w:lvl>
    <w:lvl w:ilvl="5" w:tplc="0441001B">
      <w:start w:val="1"/>
      <w:numFmt w:val="lowerRoman"/>
      <w:lvlText w:val="%6."/>
      <w:lvlJc w:val="right"/>
      <w:pPr>
        <w:ind w:left="4680" w:hanging="180"/>
      </w:pPr>
    </w:lvl>
    <w:lvl w:ilvl="6" w:tplc="0441000F">
      <w:start w:val="1"/>
      <w:numFmt w:val="decimal"/>
      <w:lvlText w:val="%7."/>
      <w:lvlJc w:val="left"/>
      <w:pPr>
        <w:ind w:left="5400" w:hanging="360"/>
      </w:pPr>
    </w:lvl>
    <w:lvl w:ilvl="7" w:tplc="04410019">
      <w:start w:val="1"/>
      <w:numFmt w:val="lowerLetter"/>
      <w:lvlText w:val="%8."/>
      <w:lvlJc w:val="left"/>
      <w:pPr>
        <w:ind w:left="6120" w:hanging="360"/>
      </w:pPr>
    </w:lvl>
    <w:lvl w:ilvl="8" w:tplc="0441001B">
      <w:start w:val="1"/>
      <w:numFmt w:val="lowerRoman"/>
      <w:lvlText w:val="%9."/>
      <w:lvlJc w:val="right"/>
      <w:pPr>
        <w:ind w:left="6840" w:hanging="180"/>
      </w:pPr>
    </w:lvl>
  </w:abstractNum>
  <w:abstractNum w:abstractNumId="8">
    <w:nsid w:val="42CD692F"/>
    <w:multiLevelType w:val="hybridMultilevel"/>
    <w:tmpl w:val="E9DA0538"/>
    <w:lvl w:ilvl="0" w:tplc="0441000F">
      <w:start w:val="1"/>
      <w:numFmt w:val="decimal"/>
      <w:lvlText w:val="%1."/>
      <w:lvlJc w:val="left"/>
      <w:pPr>
        <w:ind w:left="720" w:hanging="360"/>
      </w:p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start w:val="1"/>
      <w:numFmt w:val="decimal"/>
      <w:lvlText w:val="%4."/>
      <w:lvlJc w:val="left"/>
      <w:pPr>
        <w:ind w:left="2880" w:hanging="360"/>
      </w:pPr>
    </w:lvl>
    <w:lvl w:ilvl="4" w:tplc="04410019">
      <w:start w:val="1"/>
      <w:numFmt w:val="lowerLetter"/>
      <w:lvlText w:val="%5."/>
      <w:lvlJc w:val="left"/>
      <w:pPr>
        <w:ind w:left="3600" w:hanging="360"/>
      </w:pPr>
    </w:lvl>
    <w:lvl w:ilvl="5" w:tplc="0441001B">
      <w:start w:val="1"/>
      <w:numFmt w:val="lowerRoman"/>
      <w:lvlText w:val="%6."/>
      <w:lvlJc w:val="right"/>
      <w:pPr>
        <w:ind w:left="4320" w:hanging="180"/>
      </w:pPr>
    </w:lvl>
    <w:lvl w:ilvl="6" w:tplc="0441000F">
      <w:start w:val="1"/>
      <w:numFmt w:val="decimal"/>
      <w:lvlText w:val="%7."/>
      <w:lvlJc w:val="left"/>
      <w:pPr>
        <w:ind w:left="5040" w:hanging="360"/>
      </w:pPr>
    </w:lvl>
    <w:lvl w:ilvl="7" w:tplc="04410019">
      <w:start w:val="1"/>
      <w:numFmt w:val="lowerLetter"/>
      <w:lvlText w:val="%8."/>
      <w:lvlJc w:val="left"/>
      <w:pPr>
        <w:ind w:left="5760" w:hanging="360"/>
      </w:pPr>
    </w:lvl>
    <w:lvl w:ilvl="8" w:tplc="0441001B">
      <w:start w:val="1"/>
      <w:numFmt w:val="lowerRoman"/>
      <w:lvlText w:val="%9."/>
      <w:lvlJc w:val="right"/>
      <w:pPr>
        <w:ind w:left="6480" w:hanging="180"/>
      </w:pPr>
    </w:lvl>
  </w:abstractNum>
  <w:abstractNum w:abstractNumId="9">
    <w:nsid w:val="566B1125"/>
    <w:multiLevelType w:val="hybridMultilevel"/>
    <w:tmpl w:val="4DAE6574"/>
    <w:lvl w:ilvl="0" w:tplc="04410001">
      <w:start w:val="1"/>
      <w:numFmt w:val="bullet"/>
      <w:lvlText w:val=""/>
      <w:lvlJc w:val="left"/>
      <w:pPr>
        <w:ind w:left="1080" w:hanging="360"/>
      </w:pPr>
      <w:rPr>
        <w:rFonts w:ascii="Symbol" w:hAnsi="Symbol"/>
      </w:rPr>
    </w:lvl>
    <w:lvl w:ilvl="1" w:tplc="04410003">
      <w:start w:val="1"/>
      <w:numFmt w:val="bullet"/>
      <w:lvlText w:val="o"/>
      <w:lvlJc w:val="left"/>
      <w:pPr>
        <w:ind w:left="1800" w:hanging="360"/>
      </w:pPr>
      <w:rPr>
        <w:rFonts w:ascii="Courier New" w:hAnsi="Courier New" w:cs="Courier New"/>
      </w:rPr>
    </w:lvl>
    <w:lvl w:ilvl="2" w:tplc="04410005">
      <w:start w:val="1"/>
      <w:numFmt w:val="bullet"/>
      <w:lvlText w:val=""/>
      <w:lvlJc w:val="left"/>
      <w:pPr>
        <w:ind w:left="2520" w:hanging="360"/>
      </w:pPr>
      <w:rPr>
        <w:rFonts w:ascii="Wingdings" w:hAnsi="Wingdings"/>
      </w:rPr>
    </w:lvl>
    <w:lvl w:ilvl="3" w:tplc="04410001">
      <w:start w:val="1"/>
      <w:numFmt w:val="bullet"/>
      <w:lvlText w:val=""/>
      <w:lvlJc w:val="left"/>
      <w:pPr>
        <w:ind w:left="3240" w:hanging="360"/>
      </w:pPr>
      <w:rPr>
        <w:rFonts w:ascii="Symbol" w:hAnsi="Symbol"/>
      </w:rPr>
    </w:lvl>
    <w:lvl w:ilvl="4" w:tplc="04410003">
      <w:start w:val="1"/>
      <w:numFmt w:val="bullet"/>
      <w:lvlText w:val="o"/>
      <w:lvlJc w:val="left"/>
      <w:pPr>
        <w:ind w:left="3960" w:hanging="360"/>
      </w:pPr>
      <w:rPr>
        <w:rFonts w:ascii="Courier New" w:hAnsi="Courier New" w:cs="Courier New"/>
      </w:rPr>
    </w:lvl>
    <w:lvl w:ilvl="5" w:tplc="04410005">
      <w:start w:val="1"/>
      <w:numFmt w:val="bullet"/>
      <w:lvlText w:val=""/>
      <w:lvlJc w:val="left"/>
      <w:pPr>
        <w:ind w:left="4680" w:hanging="360"/>
      </w:pPr>
      <w:rPr>
        <w:rFonts w:ascii="Wingdings" w:hAnsi="Wingdings"/>
      </w:rPr>
    </w:lvl>
    <w:lvl w:ilvl="6" w:tplc="04410001">
      <w:start w:val="1"/>
      <w:numFmt w:val="bullet"/>
      <w:lvlText w:val=""/>
      <w:lvlJc w:val="left"/>
      <w:pPr>
        <w:ind w:left="5400" w:hanging="360"/>
      </w:pPr>
      <w:rPr>
        <w:rFonts w:ascii="Symbol" w:hAnsi="Symbol"/>
      </w:rPr>
    </w:lvl>
    <w:lvl w:ilvl="7" w:tplc="04410003">
      <w:start w:val="1"/>
      <w:numFmt w:val="bullet"/>
      <w:lvlText w:val="o"/>
      <w:lvlJc w:val="left"/>
      <w:pPr>
        <w:ind w:left="6120" w:hanging="360"/>
      </w:pPr>
      <w:rPr>
        <w:rFonts w:ascii="Courier New" w:hAnsi="Courier New" w:cs="Courier New"/>
      </w:rPr>
    </w:lvl>
    <w:lvl w:ilvl="8" w:tplc="04410005">
      <w:start w:val="1"/>
      <w:numFmt w:val="bullet"/>
      <w:lvlText w:val=""/>
      <w:lvlJc w:val="left"/>
      <w:pPr>
        <w:ind w:left="6840" w:hanging="360"/>
      </w:pPr>
      <w:rPr>
        <w:rFonts w:ascii="Wingdings" w:hAnsi="Wingdings"/>
      </w:rPr>
    </w:lvl>
  </w:abstractNum>
  <w:abstractNum w:abstractNumId="10">
    <w:nsid w:val="58DB0A92"/>
    <w:multiLevelType w:val="hybridMultilevel"/>
    <w:tmpl w:val="7054C6D0"/>
    <w:lvl w:ilvl="0" w:tplc="04410017">
      <w:start w:val="1"/>
      <w:numFmt w:val="lowerLetter"/>
      <w:lvlText w:val="%1)"/>
      <w:lvlJc w:val="left"/>
      <w:pPr>
        <w:ind w:left="1080" w:hanging="360"/>
      </w:pPr>
    </w:lvl>
    <w:lvl w:ilvl="1" w:tplc="04410019">
      <w:start w:val="1"/>
      <w:numFmt w:val="lowerLetter"/>
      <w:lvlText w:val="%2."/>
      <w:lvlJc w:val="left"/>
      <w:pPr>
        <w:ind w:left="1800" w:hanging="360"/>
      </w:pPr>
    </w:lvl>
    <w:lvl w:ilvl="2" w:tplc="0441001B">
      <w:start w:val="1"/>
      <w:numFmt w:val="lowerRoman"/>
      <w:lvlText w:val="%3."/>
      <w:lvlJc w:val="right"/>
      <w:pPr>
        <w:ind w:left="2520" w:hanging="180"/>
      </w:pPr>
    </w:lvl>
    <w:lvl w:ilvl="3" w:tplc="0441000F">
      <w:start w:val="1"/>
      <w:numFmt w:val="decimal"/>
      <w:lvlText w:val="%4."/>
      <w:lvlJc w:val="left"/>
      <w:pPr>
        <w:ind w:left="3240" w:hanging="360"/>
      </w:pPr>
    </w:lvl>
    <w:lvl w:ilvl="4" w:tplc="04410019">
      <w:start w:val="1"/>
      <w:numFmt w:val="lowerLetter"/>
      <w:lvlText w:val="%5."/>
      <w:lvlJc w:val="left"/>
      <w:pPr>
        <w:ind w:left="3960" w:hanging="360"/>
      </w:pPr>
    </w:lvl>
    <w:lvl w:ilvl="5" w:tplc="0441001B">
      <w:start w:val="1"/>
      <w:numFmt w:val="lowerRoman"/>
      <w:lvlText w:val="%6."/>
      <w:lvlJc w:val="right"/>
      <w:pPr>
        <w:ind w:left="4680" w:hanging="180"/>
      </w:pPr>
    </w:lvl>
    <w:lvl w:ilvl="6" w:tplc="0441000F">
      <w:start w:val="1"/>
      <w:numFmt w:val="decimal"/>
      <w:lvlText w:val="%7."/>
      <w:lvlJc w:val="left"/>
      <w:pPr>
        <w:ind w:left="5400" w:hanging="360"/>
      </w:pPr>
    </w:lvl>
    <w:lvl w:ilvl="7" w:tplc="04410019">
      <w:start w:val="1"/>
      <w:numFmt w:val="lowerLetter"/>
      <w:lvlText w:val="%8."/>
      <w:lvlJc w:val="left"/>
      <w:pPr>
        <w:ind w:left="6120" w:hanging="360"/>
      </w:pPr>
    </w:lvl>
    <w:lvl w:ilvl="8" w:tplc="0441001B">
      <w:start w:val="1"/>
      <w:numFmt w:val="lowerRoman"/>
      <w:lvlText w:val="%9."/>
      <w:lvlJc w:val="right"/>
      <w:pPr>
        <w:ind w:left="6840" w:hanging="180"/>
      </w:pPr>
    </w:lvl>
  </w:abstractNum>
  <w:abstractNum w:abstractNumId="11">
    <w:nsid w:val="5C0210AA"/>
    <w:multiLevelType w:val="hybridMultilevel"/>
    <w:tmpl w:val="EF0063D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8321559"/>
    <w:multiLevelType w:val="hybridMultilevel"/>
    <w:tmpl w:val="724A0294"/>
    <w:lvl w:ilvl="0" w:tplc="04410001">
      <w:start w:val="1"/>
      <w:numFmt w:val="bullet"/>
      <w:lvlText w:val=""/>
      <w:lvlJc w:val="left"/>
      <w:pPr>
        <w:ind w:left="1080" w:hanging="360"/>
      </w:pPr>
      <w:rPr>
        <w:rFonts w:ascii="Symbol" w:hAnsi="Symbol"/>
      </w:rPr>
    </w:lvl>
    <w:lvl w:ilvl="1" w:tplc="04410003">
      <w:start w:val="1"/>
      <w:numFmt w:val="bullet"/>
      <w:lvlText w:val="o"/>
      <w:lvlJc w:val="left"/>
      <w:pPr>
        <w:ind w:left="1800" w:hanging="360"/>
      </w:pPr>
      <w:rPr>
        <w:rFonts w:ascii="Courier New" w:hAnsi="Courier New" w:cs="Courier New"/>
      </w:rPr>
    </w:lvl>
    <w:lvl w:ilvl="2" w:tplc="04410005">
      <w:start w:val="1"/>
      <w:numFmt w:val="bullet"/>
      <w:lvlText w:val=""/>
      <w:lvlJc w:val="left"/>
      <w:pPr>
        <w:ind w:left="2520" w:hanging="360"/>
      </w:pPr>
      <w:rPr>
        <w:rFonts w:ascii="Wingdings" w:hAnsi="Wingdings"/>
      </w:rPr>
    </w:lvl>
    <w:lvl w:ilvl="3" w:tplc="04410001">
      <w:start w:val="1"/>
      <w:numFmt w:val="bullet"/>
      <w:lvlText w:val=""/>
      <w:lvlJc w:val="left"/>
      <w:pPr>
        <w:ind w:left="3240" w:hanging="360"/>
      </w:pPr>
      <w:rPr>
        <w:rFonts w:ascii="Symbol" w:hAnsi="Symbol"/>
      </w:rPr>
    </w:lvl>
    <w:lvl w:ilvl="4" w:tplc="04410003">
      <w:start w:val="1"/>
      <w:numFmt w:val="bullet"/>
      <w:lvlText w:val="o"/>
      <w:lvlJc w:val="left"/>
      <w:pPr>
        <w:ind w:left="3960" w:hanging="360"/>
      </w:pPr>
      <w:rPr>
        <w:rFonts w:ascii="Courier New" w:hAnsi="Courier New" w:cs="Courier New"/>
      </w:rPr>
    </w:lvl>
    <w:lvl w:ilvl="5" w:tplc="04410005">
      <w:start w:val="1"/>
      <w:numFmt w:val="bullet"/>
      <w:lvlText w:val=""/>
      <w:lvlJc w:val="left"/>
      <w:pPr>
        <w:ind w:left="4680" w:hanging="360"/>
      </w:pPr>
      <w:rPr>
        <w:rFonts w:ascii="Wingdings" w:hAnsi="Wingdings"/>
      </w:rPr>
    </w:lvl>
    <w:lvl w:ilvl="6" w:tplc="04410001">
      <w:start w:val="1"/>
      <w:numFmt w:val="bullet"/>
      <w:lvlText w:val=""/>
      <w:lvlJc w:val="left"/>
      <w:pPr>
        <w:ind w:left="5400" w:hanging="360"/>
      </w:pPr>
      <w:rPr>
        <w:rFonts w:ascii="Symbol" w:hAnsi="Symbol"/>
      </w:rPr>
    </w:lvl>
    <w:lvl w:ilvl="7" w:tplc="04410003">
      <w:start w:val="1"/>
      <w:numFmt w:val="bullet"/>
      <w:lvlText w:val="o"/>
      <w:lvlJc w:val="left"/>
      <w:pPr>
        <w:ind w:left="6120" w:hanging="360"/>
      </w:pPr>
      <w:rPr>
        <w:rFonts w:ascii="Courier New" w:hAnsi="Courier New" w:cs="Courier New"/>
      </w:rPr>
    </w:lvl>
    <w:lvl w:ilvl="8" w:tplc="04410005">
      <w:start w:val="1"/>
      <w:numFmt w:val="bullet"/>
      <w:lvlText w:val=""/>
      <w:lvlJc w:val="left"/>
      <w:pPr>
        <w:ind w:left="6840" w:hanging="360"/>
      </w:pPr>
      <w:rPr>
        <w:rFonts w:ascii="Wingdings" w:hAnsi="Wingdings"/>
      </w:rPr>
    </w:lvl>
  </w:abstractNum>
  <w:abstractNum w:abstractNumId="13">
    <w:nsid w:val="68EC76B3"/>
    <w:multiLevelType w:val="hybridMultilevel"/>
    <w:tmpl w:val="131ED82C"/>
    <w:lvl w:ilvl="0" w:tplc="0441000B">
      <w:start w:val="1"/>
      <w:numFmt w:val="bullet"/>
      <w:lvlText w:val=""/>
      <w:lvlJc w:val="left"/>
      <w:pPr>
        <w:ind w:left="1080" w:hanging="360"/>
      </w:pPr>
      <w:rPr>
        <w:rFonts w:ascii="Wingdings" w:hAnsi="Wingdings"/>
      </w:rPr>
    </w:lvl>
    <w:lvl w:ilvl="1" w:tplc="04410003">
      <w:start w:val="1"/>
      <w:numFmt w:val="bullet"/>
      <w:lvlText w:val="o"/>
      <w:lvlJc w:val="left"/>
      <w:pPr>
        <w:ind w:left="1800" w:hanging="360"/>
      </w:pPr>
      <w:rPr>
        <w:rFonts w:ascii="Courier New" w:hAnsi="Courier New" w:cs="Courier New"/>
      </w:rPr>
    </w:lvl>
    <w:lvl w:ilvl="2" w:tplc="04410005">
      <w:start w:val="1"/>
      <w:numFmt w:val="bullet"/>
      <w:lvlText w:val=""/>
      <w:lvlJc w:val="left"/>
      <w:pPr>
        <w:ind w:left="2520" w:hanging="360"/>
      </w:pPr>
      <w:rPr>
        <w:rFonts w:ascii="Wingdings" w:hAnsi="Wingdings"/>
      </w:rPr>
    </w:lvl>
    <w:lvl w:ilvl="3" w:tplc="04410001">
      <w:start w:val="1"/>
      <w:numFmt w:val="bullet"/>
      <w:lvlText w:val=""/>
      <w:lvlJc w:val="left"/>
      <w:pPr>
        <w:ind w:left="3240" w:hanging="360"/>
      </w:pPr>
      <w:rPr>
        <w:rFonts w:ascii="Symbol" w:hAnsi="Symbol"/>
      </w:rPr>
    </w:lvl>
    <w:lvl w:ilvl="4" w:tplc="04410003">
      <w:start w:val="1"/>
      <w:numFmt w:val="bullet"/>
      <w:lvlText w:val="o"/>
      <w:lvlJc w:val="left"/>
      <w:pPr>
        <w:ind w:left="3960" w:hanging="360"/>
      </w:pPr>
      <w:rPr>
        <w:rFonts w:ascii="Courier New" w:hAnsi="Courier New" w:cs="Courier New"/>
      </w:rPr>
    </w:lvl>
    <w:lvl w:ilvl="5" w:tplc="04410005">
      <w:start w:val="1"/>
      <w:numFmt w:val="bullet"/>
      <w:lvlText w:val=""/>
      <w:lvlJc w:val="left"/>
      <w:pPr>
        <w:ind w:left="4680" w:hanging="360"/>
      </w:pPr>
      <w:rPr>
        <w:rFonts w:ascii="Wingdings" w:hAnsi="Wingdings"/>
      </w:rPr>
    </w:lvl>
    <w:lvl w:ilvl="6" w:tplc="04410001">
      <w:start w:val="1"/>
      <w:numFmt w:val="bullet"/>
      <w:lvlText w:val=""/>
      <w:lvlJc w:val="left"/>
      <w:pPr>
        <w:ind w:left="5400" w:hanging="360"/>
      </w:pPr>
      <w:rPr>
        <w:rFonts w:ascii="Symbol" w:hAnsi="Symbol"/>
      </w:rPr>
    </w:lvl>
    <w:lvl w:ilvl="7" w:tplc="04410003">
      <w:start w:val="1"/>
      <w:numFmt w:val="bullet"/>
      <w:lvlText w:val="o"/>
      <w:lvlJc w:val="left"/>
      <w:pPr>
        <w:ind w:left="6120" w:hanging="360"/>
      </w:pPr>
      <w:rPr>
        <w:rFonts w:ascii="Courier New" w:hAnsi="Courier New" w:cs="Courier New"/>
      </w:rPr>
    </w:lvl>
    <w:lvl w:ilvl="8" w:tplc="04410005">
      <w:start w:val="1"/>
      <w:numFmt w:val="bullet"/>
      <w:lvlText w:val=""/>
      <w:lvlJc w:val="left"/>
      <w:pPr>
        <w:ind w:left="6840" w:hanging="360"/>
      </w:pPr>
      <w:rPr>
        <w:rFonts w:ascii="Wingdings" w:hAnsi="Wingdings"/>
      </w:rPr>
    </w:lvl>
  </w:abstractNum>
  <w:num w:numId="1">
    <w:abstractNumId w:val="0"/>
  </w:num>
  <w:num w:numId="2">
    <w:abstractNumId w:val="7"/>
  </w:num>
  <w:num w:numId="3">
    <w:abstractNumId w:val="12"/>
  </w:num>
  <w:num w:numId="4">
    <w:abstractNumId w:val="9"/>
  </w:num>
  <w:num w:numId="5">
    <w:abstractNumId w:val="10"/>
  </w:num>
  <w:num w:numId="6">
    <w:abstractNumId w:val="5"/>
  </w:num>
  <w:num w:numId="7">
    <w:abstractNumId w:val="3"/>
  </w:num>
  <w:num w:numId="8">
    <w:abstractNumId w:val="6"/>
  </w:num>
  <w:num w:numId="9">
    <w:abstractNumId w:val="8"/>
  </w:num>
  <w:num w:numId="10">
    <w:abstractNumId w:val="13"/>
  </w:num>
  <w:num w:numId="11">
    <w:abstractNumId w:val="1"/>
  </w:num>
  <w:num w:numId="12">
    <w:abstractNumId w:val="4"/>
  </w:num>
  <w:num w:numId="13">
    <w:abstractNumId w:val="2"/>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08"/>
  <w:hyphenationZone w:val="425"/>
  <w:displayHorizontalDrawingGridEvery w:val="0"/>
  <w:displayVerticalDrawingGridEvery w:val="2"/>
  <w:doNotUseMarginsForDrawingGridOrigin/>
  <w:noPunctuationKerning/>
  <w:characterSpacingControl w:val="doNotCompress"/>
  <w:doNotDemarcateInvalidXml/>
  <w:footnotePr>
    <w:footnote w:id="-1"/>
    <w:footnote w:id="0"/>
  </w:footnotePr>
  <w:endnotePr>
    <w:endnote w:id="-1"/>
    <w:endnote w:id="0"/>
  </w:endnotePr>
  <w:compat>
    <w:spaceForUL/>
    <w:doNotLeaveBackslashAlone/>
    <w:ulTrailSpace/>
    <w:doNotExpandShiftReturn/>
    <w:adjustLineHeightInTable/>
    <w:useFELayout/>
  </w:compat>
  <w:rsids>
    <w:rsidRoot w:val="00235730"/>
    <w:rsid w:val="000D5E12"/>
    <w:rsid w:val="00235730"/>
    <w:rsid w:val="002B6950"/>
    <w:rsid w:val="003939DC"/>
    <w:rsid w:val="003B0B63"/>
    <w:rsid w:val="003E4D34"/>
    <w:rsid w:val="00426193"/>
    <w:rsid w:val="004C3BEF"/>
    <w:rsid w:val="00571623"/>
    <w:rsid w:val="007F6F82"/>
    <w:rsid w:val="00912696"/>
    <w:rsid w:val="0094302D"/>
    <w:rsid w:val="00A6459E"/>
    <w:rsid w:val="00B92D03"/>
    <w:rsid w:val="00D65489"/>
    <w:rsid w:val="00F82A16"/>
    <w:rsid w:val="00FE69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5730"/>
    <w:pPr>
      <w:spacing w:after="200"/>
      <w:ind w:left="360"/>
      <w:jc w:val="both"/>
    </w:pPr>
    <w:rPr>
      <w:rFonts w:ascii="Calibri" w:eastAsia="Calibri" w:hAnsi="Calibri"/>
      <w:sz w:val="22"/>
      <w:szCs w:val="22"/>
      <w:lang w:val="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35730"/>
    <w:pPr>
      <w:tabs>
        <w:tab w:val="center" w:pos="4536"/>
        <w:tab w:val="right" w:pos="9072"/>
      </w:tabs>
      <w:spacing w:after="0"/>
    </w:pPr>
  </w:style>
  <w:style w:type="paragraph" w:styleId="ListParagraph">
    <w:name w:val="List Paragraph"/>
    <w:basedOn w:val="Normal"/>
    <w:qFormat/>
    <w:rsid w:val="00235730"/>
    <w:pPr>
      <w:ind w:left="720"/>
    </w:pPr>
  </w:style>
  <w:style w:type="character" w:styleId="FootnoteReference">
    <w:name w:val="footnote reference"/>
    <w:basedOn w:val="DefaultParagraphFont"/>
    <w:rsid w:val="00235730"/>
    <w:rPr>
      <w:vertAlign w:val="superscript"/>
    </w:rPr>
  </w:style>
  <w:style w:type="paragraph" w:styleId="FootnoteText">
    <w:name w:val="footnote text"/>
    <w:basedOn w:val="Normal"/>
    <w:rsid w:val="00235730"/>
    <w:pPr>
      <w:spacing w:after="0"/>
    </w:pPr>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2642</Words>
  <Characters>15066</Characters>
  <Application>Microsoft Office Word</Application>
  <DocSecurity>0</DocSecurity>
  <Lines>125</Lines>
  <Paragraphs>35</Paragraphs>
  <Slides>0</Slides>
  <Notes>0</Notes>
  <HiddenSlides>0</HiddenSlides>
  <MMClips>0</MMClips>
  <ScaleCrop>false</ScaleCrop>
  <Company>Hewlett-Packard</Company>
  <LinksUpToDate>false</LinksUpToDate>
  <CharactersWithSpaces>17673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dc:creator>
  <cp:lastModifiedBy>Steve</cp:lastModifiedBy>
  <cp:revision>2</cp:revision>
  <dcterms:created xsi:type="dcterms:W3CDTF">2013-04-17T06:17:00Z</dcterms:created>
  <dcterms:modified xsi:type="dcterms:W3CDTF">2013-04-17T06:17:00Z</dcterms:modified>
  <cp:version>12.0000</cp:version>
</cp:coreProperties>
</file>