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3508A" w:rsidRDefault="00054F76">
      <w:pPr>
        <w:spacing w:line="360" w:lineRule="auto"/>
        <w:jc w:val="both"/>
        <w:rPr>
          <w:rFonts w:ascii="Times New Roman" w:eastAsia="Times New Roman" w:hAnsi="Times New Roman" w:cs="Times New Roman"/>
          <w:sz w:val="24"/>
        </w:rPr>
      </w:pPr>
      <w:r>
        <w:rPr>
          <w:rFonts w:ascii="Times New Roman" w:eastAsia="Times New Roman" w:hAnsi="Times New Roman" w:cs="Times New Roman"/>
          <w:sz w:val="24"/>
        </w:rPr>
        <w:t>DIVISION OF WORK</w:t>
      </w:r>
    </w:p>
    <w:p w:rsidR="0053508A" w:rsidRDefault="00054F76">
      <w:pPr>
        <w:spacing w:line="360" w:lineRule="auto"/>
        <w:jc w:val="both"/>
        <w:rPr>
          <w:rFonts w:ascii="Times New Roman" w:eastAsia="Times New Roman" w:hAnsi="Times New Roman" w:cs="Times New Roman"/>
          <w:sz w:val="24"/>
        </w:rPr>
      </w:pPr>
      <w:r>
        <w:rPr>
          <w:rFonts w:ascii="Times New Roman" w:eastAsia="Times New Roman" w:hAnsi="Times New Roman" w:cs="Times New Roman"/>
          <w:sz w:val="24"/>
        </w:rPr>
        <w:t>1) Introduction</w:t>
      </w:r>
    </w:p>
    <w:p w:rsidR="0053508A" w:rsidRDefault="00054F76">
      <w:pPr>
        <w:spacing w:line="360" w:lineRule="auto"/>
        <w:jc w:val="both"/>
        <w:rPr>
          <w:rFonts w:ascii="Times New Roman" w:eastAsia="Times New Roman" w:hAnsi="Times New Roman" w:cs="Times New Roman"/>
          <w:sz w:val="24"/>
        </w:rPr>
      </w:pPr>
      <w:proofErr w:type="gramStart"/>
      <w:r>
        <w:rPr>
          <w:rFonts w:ascii="Times New Roman" w:eastAsia="Times New Roman" w:hAnsi="Times New Roman" w:cs="Times New Roman"/>
          <w:sz w:val="24"/>
        </w:rPr>
        <w:t>2)Origin</w:t>
      </w:r>
      <w:proofErr w:type="gramEnd"/>
      <w:r>
        <w:rPr>
          <w:rFonts w:ascii="Times New Roman" w:eastAsia="Times New Roman" w:hAnsi="Times New Roman" w:cs="Times New Roman"/>
          <w:sz w:val="24"/>
        </w:rPr>
        <w:t xml:space="preserve"> of the oxygen principle</w:t>
      </w:r>
    </w:p>
    <w:p w:rsidR="0053508A" w:rsidRDefault="00054F76">
      <w:pPr>
        <w:spacing w:line="360" w:lineRule="auto"/>
        <w:jc w:val="both"/>
        <w:rPr>
          <w:rFonts w:ascii="Times New Roman" w:eastAsia="Times New Roman" w:hAnsi="Times New Roman" w:cs="Times New Roman"/>
          <w:sz w:val="24"/>
        </w:rPr>
      </w:pPr>
      <w:r>
        <w:rPr>
          <w:rFonts w:ascii="Times New Roman" w:eastAsia="Times New Roman" w:hAnsi="Times New Roman" w:cs="Times New Roman"/>
          <w:sz w:val="24"/>
        </w:rPr>
        <w:t>3) Provisions of law that provide for the application of the overriding objective</w:t>
      </w:r>
    </w:p>
    <w:p w:rsidR="0053508A" w:rsidRDefault="00054F76">
      <w:pPr>
        <w:spacing w:line="360" w:lineRule="auto"/>
        <w:jc w:val="both"/>
        <w:rPr>
          <w:rFonts w:ascii="Times New Roman" w:eastAsia="Times New Roman" w:hAnsi="Times New Roman" w:cs="Times New Roman"/>
          <w:sz w:val="24"/>
        </w:rPr>
      </w:pPr>
      <w:r>
        <w:rPr>
          <w:rFonts w:ascii="Times New Roman" w:eastAsia="Times New Roman" w:hAnsi="Times New Roman" w:cs="Times New Roman"/>
          <w:sz w:val="24"/>
        </w:rPr>
        <w:t>4) How the courts have dealt with the principle since it was introduced in Kenya (application in case law)</w:t>
      </w:r>
    </w:p>
    <w:p w:rsidR="0053508A" w:rsidRDefault="0053508A">
      <w:pPr>
        <w:spacing w:line="360" w:lineRule="auto"/>
        <w:jc w:val="both"/>
        <w:rPr>
          <w:rFonts w:ascii="Times New Roman" w:eastAsia="Times New Roman" w:hAnsi="Times New Roman" w:cs="Times New Roman"/>
          <w:sz w:val="24"/>
        </w:rPr>
      </w:pPr>
    </w:p>
    <w:p w:rsidR="0053508A" w:rsidRDefault="0053508A">
      <w:pPr>
        <w:spacing w:line="360" w:lineRule="auto"/>
        <w:jc w:val="both"/>
        <w:rPr>
          <w:rFonts w:ascii="Times New Roman" w:eastAsia="Times New Roman" w:hAnsi="Times New Roman" w:cs="Times New Roman"/>
          <w:sz w:val="24"/>
        </w:rPr>
      </w:pPr>
    </w:p>
    <w:p w:rsidR="0053508A" w:rsidRDefault="0053508A">
      <w:pPr>
        <w:spacing w:line="360" w:lineRule="auto"/>
        <w:jc w:val="both"/>
        <w:rPr>
          <w:rFonts w:ascii="Times New Roman" w:eastAsia="Times New Roman" w:hAnsi="Times New Roman" w:cs="Times New Roman"/>
          <w:sz w:val="24"/>
        </w:rPr>
      </w:pPr>
    </w:p>
    <w:p w:rsidR="0053508A" w:rsidRDefault="0053508A">
      <w:pPr>
        <w:spacing w:line="360" w:lineRule="auto"/>
        <w:jc w:val="both"/>
        <w:rPr>
          <w:rFonts w:ascii="Times New Roman" w:eastAsia="Times New Roman" w:hAnsi="Times New Roman" w:cs="Times New Roman"/>
          <w:sz w:val="24"/>
        </w:rPr>
      </w:pPr>
    </w:p>
    <w:p w:rsidR="0053508A" w:rsidRDefault="00054F76">
      <w:pPr>
        <w:spacing w:line="360" w:lineRule="auto"/>
        <w:jc w:val="both"/>
        <w:rPr>
          <w:rFonts w:ascii="Times New Roman" w:eastAsia="Times New Roman" w:hAnsi="Times New Roman" w:cs="Times New Roman"/>
          <w:sz w:val="24"/>
        </w:rPr>
      </w:pPr>
      <w:r>
        <w:rPr>
          <w:rFonts w:ascii="Times New Roman" w:eastAsia="Times New Roman" w:hAnsi="Times New Roman" w:cs="Times New Roman"/>
          <w:sz w:val="24"/>
        </w:rPr>
        <w:t xml:space="preserve"> </w:t>
      </w:r>
      <w:r>
        <w:rPr>
          <w:rFonts w:ascii="Times New Roman" w:eastAsia="Times New Roman" w:hAnsi="Times New Roman" w:cs="Times New Roman"/>
          <w:b/>
          <w:sz w:val="24"/>
        </w:rPr>
        <w:t>INTRODUCTION</w:t>
      </w:r>
    </w:p>
    <w:p w:rsidR="0053508A" w:rsidRDefault="00054F76">
      <w:pPr>
        <w:spacing w:line="360" w:lineRule="auto"/>
        <w:jc w:val="both"/>
        <w:rPr>
          <w:rFonts w:ascii="Times New Roman" w:eastAsia="Times New Roman" w:hAnsi="Times New Roman" w:cs="Times New Roman"/>
          <w:sz w:val="24"/>
        </w:rPr>
      </w:pPr>
      <w:r>
        <w:rPr>
          <w:rFonts w:ascii="Times New Roman" w:eastAsia="Times New Roman" w:hAnsi="Times New Roman" w:cs="Times New Roman"/>
          <w:sz w:val="24"/>
        </w:rPr>
        <w:t>The Overriding Objective also known as the (Oxygen Principle) was formulated in a bid to cure the mischief of legal technicalities where there is a tug of war between the procedural dictates of the law and the dictates of normative and su</w:t>
      </w:r>
      <w:r>
        <w:rPr>
          <w:rFonts w:ascii="Times New Roman" w:eastAsia="Times New Roman" w:hAnsi="Times New Roman" w:cs="Times New Roman"/>
          <w:sz w:val="24"/>
        </w:rPr>
        <w:t xml:space="preserve">bstantive law in litigation. Legal technicalities are strict rules of procedure, points of law or small set of rules as contrasted with intent or purpose of the substantive law. This is the court’s definition of the term technicality in the case of </w:t>
      </w:r>
      <w:r>
        <w:rPr>
          <w:rFonts w:ascii="Times New Roman" w:eastAsia="Times New Roman" w:hAnsi="Times New Roman" w:cs="Times New Roman"/>
          <w:b/>
          <w:sz w:val="24"/>
        </w:rPr>
        <w:t xml:space="preserve">James </w:t>
      </w:r>
      <w:proofErr w:type="spellStart"/>
      <w:r>
        <w:rPr>
          <w:rFonts w:ascii="Times New Roman" w:eastAsia="Times New Roman" w:hAnsi="Times New Roman" w:cs="Times New Roman"/>
          <w:b/>
          <w:sz w:val="24"/>
        </w:rPr>
        <w:t>M</w:t>
      </w:r>
      <w:r>
        <w:rPr>
          <w:rFonts w:ascii="Times New Roman" w:eastAsia="Times New Roman" w:hAnsi="Times New Roman" w:cs="Times New Roman"/>
          <w:b/>
          <w:sz w:val="24"/>
        </w:rPr>
        <w:t>uriithi</w:t>
      </w:r>
      <w:proofErr w:type="spellEnd"/>
      <w:r>
        <w:rPr>
          <w:rFonts w:ascii="Times New Roman" w:eastAsia="Times New Roman" w:hAnsi="Times New Roman" w:cs="Times New Roman"/>
          <w:b/>
          <w:sz w:val="24"/>
        </w:rPr>
        <w:t xml:space="preserve"> </w:t>
      </w:r>
      <w:proofErr w:type="spellStart"/>
      <w:r>
        <w:rPr>
          <w:rFonts w:ascii="Times New Roman" w:eastAsia="Times New Roman" w:hAnsi="Times New Roman" w:cs="Times New Roman"/>
          <w:b/>
          <w:sz w:val="24"/>
        </w:rPr>
        <w:t>Ngotho</w:t>
      </w:r>
      <w:proofErr w:type="spellEnd"/>
      <w:r>
        <w:rPr>
          <w:rFonts w:ascii="Times New Roman" w:eastAsia="Times New Roman" w:hAnsi="Times New Roman" w:cs="Times New Roman"/>
          <w:b/>
          <w:sz w:val="24"/>
        </w:rPr>
        <w:t xml:space="preserve"> &amp; 4 others v Judicial Service Commission</w:t>
      </w:r>
      <w:r>
        <w:rPr>
          <w:rFonts w:ascii="Times New Roman" w:eastAsia="Times New Roman" w:hAnsi="Times New Roman" w:cs="Times New Roman"/>
          <w:sz w:val="24"/>
        </w:rPr>
        <w:t>. The technicalities ensure strict adherence to the letter of the law and may prevent the spirit, intent or purpose of substantive law from being enforced. Some of the technicalities which govern the l</w:t>
      </w:r>
      <w:r>
        <w:rPr>
          <w:rFonts w:ascii="Times New Roman" w:eastAsia="Times New Roman" w:hAnsi="Times New Roman" w:cs="Times New Roman"/>
          <w:sz w:val="24"/>
        </w:rPr>
        <w:t>egal procedure either enables or restricts access to justice in courts. Examples of these technicalities include: statutes of time limitation, rules of appellate procedure, civil procedure and stay of proceedings.</w:t>
      </w:r>
    </w:p>
    <w:p w:rsidR="0053508A" w:rsidRDefault="00054F76">
      <w:pPr>
        <w:spacing w:line="360" w:lineRule="auto"/>
        <w:jc w:val="both"/>
        <w:rPr>
          <w:rFonts w:ascii="Times New Roman" w:eastAsia="Times New Roman" w:hAnsi="Times New Roman" w:cs="Times New Roman"/>
          <w:sz w:val="24"/>
        </w:rPr>
      </w:pPr>
      <w:r>
        <w:rPr>
          <w:rFonts w:ascii="Times New Roman" w:eastAsia="Times New Roman" w:hAnsi="Times New Roman" w:cs="Times New Roman"/>
          <w:sz w:val="24"/>
        </w:rPr>
        <w:t xml:space="preserve"> In an attempt to cure the mischief, the K</w:t>
      </w:r>
      <w:r>
        <w:rPr>
          <w:rFonts w:ascii="Times New Roman" w:eastAsia="Times New Roman" w:hAnsi="Times New Roman" w:cs="Times New Roman"/>
          <w:sz w:val="24"/>
        </w:rPr>
        <w:t>enyan legislature enacted the Statute law Miscellaneous Amendment Act of 2009 which amended various provisions of the law including, the Civil Procedure Act and the Appellate Jurisdiction Act. This was designed to enable the Kenyan courts of law to be guid</w:t>
      </w:r>
      <w:r>
        <w:rPr>
          <w:rFonts w:ascii="Times New Roman" w:eastAsia="Times New Roman" w:hAnsi="Times New Roman" w:cs="Times New Roman"/>
          <w:sz w:val="24"/>
        </w:rPr>
        <w:t xml:space="preserve">ed by the overriding objectives of the various Acts in civil dispute resolution. The amendment, made by the introduction of </w:t>
      </w:r>
      <w:r>
        <w:rPr>
          <w:rFonts w:ascii="Times New Roman" w:eastAsia="Times New Roman" w:hAnsi="Times New Roman" w:cs="Times New Roman"/>
          <w:b/>
          <w:sz w:val="24"/>
        </w:rPr>
        <w:t xml:space="preserve">Sections 1A and 1B to the Civil Procedure Act </w:t>
      </w:r>
      <w:r>
        <w:rPr>
          <w:rFonts w:ascii="Times New Roman" w:eastAsia="Times New Roman" w:hAnsi="Times New Roman" w:cs="Times New Roman"/>
          <w:b/>
          <w:sz w:val="24"/>
        </w:rPr>
        <w:lastRenderedPageBreak/>
        <w:t>Cap 21</w:t>
      </w:r>
      <w:r>
        <w:rPr>
          <w:rFonts w:ascii="Times New Roman" w:eastAsia="Times New Roman" w:hAnsi="Times New Roman" w:cs="Times New Roman"/>
          <w:sz w:val="24"/>
        </w:rPr>
        <w:t xml:space="preserve"> and </w:t>
      </w:r>
      <w:r>
        <w:rPr>
          <w:rFonts w:ascii="Times New Roman" w:eastAsia="Times New Roman" w:hAnsi="Times New Roman" w:cs="Times New Roman"/>
          <w:b/>
          <w:sz w:val="24"/>
        </w:rPr>
        <w:t>sections 3A and 3B to the Appellate Jurisdiction Act (CAP 9),</w:t>
      </w:r>
      <w:r>
        <w:rPr>
          <w:rFonts w:ascii="Times New Roman" w:eastAsia="Times New Roman" w:hAnsi="Times New Roman" w:cs="Times New Roman"/>
          <w:sz w:val="24"/>
        </w:rPr>
        <w:t xml:space="preserve"> lay down the </w:t>
      </w:r>
      <w:r>
        <w:rPr>
          <w:rFonts w:ascii="Times New Roman" w:eastAsia="Times New Roman" w:hAnsi="Times New Roman" w:cs="Times New Roman"/>
          <w:sz w:val="24"/>
        </w:rPr>
        <w:t xml:space="preserve">overriding objective of civil litigation in Kenya. </w:t>
      </w:r>
    </w:p>
    <w:p w:rsidR="0053508A" w:rsidRDefault="00054F76">
      <w:pPr>
        <w:spacing w:line="360" w:lineRule="auto"/>
        <w:jc w:val="both"/>
        <w:rPr>
          <w:rFonts w:ascii="Times New Roman" w:eastAsia="Times New Roman" w:hAnsi="Times New Roman" w:cs="Times New Roman"/>
          <w:b/>
          <w:sz w:val="24"/>
        </w:rPr>
      </w:pPr>
      <w:r>
        <w:rPr>
          <w:rFonts w:ascii="Times New Roman" w:eastAsia="Times New Roman" w:hAnsi="Times New Roman" w:cs="Times New Roman"/>
          <w:sz w:val="24"/>
        </w:rPr>
        <w:t xml:space="preserve"> </w:t>
      </w:r>
      <w:r>
        <w:rPr>
          <w:rFonts w:ascii="Times New Roman" w:eastAsia="Times New Roman" w:hAnsi="Times New Roman" w:cs="Times New Roman"/>
          <w:b/>
          <w:sz w:val="24"/>
        </w:rPr>
        <w:t>THE ORIGIN OF THE OVERRIDING OBJECTIVE PRINCIPLES</w:t>
      </w:r>
    </w:p>
    <w:p w:rsidR="0053508A" w:rsidRDefault="00054F76">
      <w:pPr>
        <w:spacing w:line="360" w:lineRule="auto"/>
        <w:jc w:val="both"/>
        <w:rPr>
          <w:rFonts w:ascii="Times New Roman" w:eastAsia="Times New Roman" w:hAnsi="Times New Roman" w:cs="Times New Roman"/>
          <w:sz w:val="18"/>
        </w:rPr>
      </w:pPr>
      <w:r>
        <w:rPr>
          <w:rFonts w:ascii="Times New Roman" w:eastAsia="Times New Roman" w:hAnsi="Times New Roman" w:cs="Times New Roman"/>
          <w:sz w:val="24"/>
        </w:rPr>
        <w:t>Like most laws applicable in Kenya, the overriding objective principles originated from England. They were first provided for in the report prepared by a</w:t>
      </w:r>
      <w:r>
        <w:rPr>
          <w:rFonts w:ascii="Times New Roman" w:eastAsia="Times New Roman" w:hAnsi="Times New Roman" w:cs="Times New Roman"/>
          <w:sz w:val="24"/>
        </w:rPr>
        <w:t xml:space="preserve"> committee headed by Lord Woolf. The Overriding Objective principles were later adopted in the Civil Procedure Rules of England and Wales and replicated in several other commonwealth countries. Common law is applicable in Kenya by virtue of Section 3 (1) d</w:t>
      </w:r>
      <w:r>
        <w:rPr>
          <w:rFonts w:ascii="Times New Roman" w:eastAsia="Times New Roman" w:hAnsi="Times New Roman" w:cs="Times New Roman"/>
          <w:sz w:val="24"/>
        </w:rPr>
        <w:t>.</w:t>
      </w:r>
    </w:p>
    <w:p w:rsidR="0053508A" w:rsidRDefault="00054F76">
      <w:pPr>
        <w:spacing w:line="360" w:lineRule="auto"/>
        <w:jc w:val="both"/>
        <w:rPr>
          <w:rFonts w:ascii="Times New Roman" w:eastAsia="Times New Roman" w:hAnsi="Times New Roman" w:cs="Times New Roman"/>
          <w:sz w:val="24"/>
        </w:rPr>
      </w:pPr>
      <w:proofErr w:type="gramStart"/>
      <w:r>
        <w:rPr>
          <w:rFonts w:ascii="Times New Roman" w:eastAsia="Times New Roman" w:hAnsi="Times New Roman" w:cs="Times New Roman"/>
          <w:b/>
          <w:sz w:val="24"/>
          <w:u w:val="single"/>
        </w:rPr>
        <w:t>Provisions of law that provide for the application of the overriding objective</w:t>
      </w:r>
      <w:r>
        <w:rPr>
          <w:rFonts w:ascii="Times New Roman" w:eastAsia="Times New Roman" w:hAnsi="Times New Roman" w:cs="Times New Roman"/>
          <w:b/>
          <w:sz w:val="24"/>
        </w:rPr>
        <w:t>.</w:t>
      </w:r>
      <w:proofErr w:type="gramEnd"/>
      <w:r>
        <w:rPr>
          <w:rFonts w:ascii="Times New Roman" w:eastAsia="Times New Roman" w:hAnsi="Times New Roman" w:cs="Times New Roman"/>
          <w:sz w:val="24"/>
        </w:rPr>
        <w:t xml:space="preserve"> The Constitution of Kenya 2010 under article 159(2) (d) of the Constitution states that in exercise of judicial authority the courts are now required to administer justice wi</w:t>
      </w:r>
      <w:r>
        <w:rPr>
          <w:rFonts w:ascii="Times New Roman" w:eastAsia="Times New Roman" w:hAnsi="Times New Roman" w:cs="Times New Roman"/>
          <w:sz w:val="24"/>
        </w:rPr>
        <w:t>thout undue regard to procedural technicalities.</w:t>
      </w:r>
    </w:p>
    <w:p w:rsidR="0053508A" w:rsidRDefault="00054F76">
      <w:pPr>
        <w:pageBreakBefore/>
        <w:spacing w:after="0" w:line="360" w:lineRule="auto"/>
        <w:rPr>
          <w:rFonts w:ascii="Times New Roman" w:eastAsia="Times New Roman" w:hAnsi="Times New Roman" w:cs="Times New Roman"/>
          <w:color w:val="000000"/>
          <w:sz w:val="24"/>
        </w:rPr>
      </w:pPr>
      <w:r>
        <w:rPr>
          <w:rFonts w:ascii="Times New Roman" w:eastAsia="Times New Roman" w:hAnsi="Times New Roman" w:cs="Times New Roman"/>
          <w:color w:val="000000"/>
          <w:sz w:val="24"/>
        </w:rPr>
        <w:lastRenderedPageBreak/>
        <w:t xml:space="preserve">The following are the amended statutes that guide the courts in the application of the overriding objective in Kenya. </w:t>
      </w:r>
      <w:r>
        <w:rPr>
          <w:rFonts w:ascii="Times New Roman" w:eastAsia="Times New Roman" w:hAnsi="Times New Roman" w:cs="Times New Roman"/>
          <w:b/>
          <w:color w:val="000000"/>
          <w:sz w:val="24"/>
        </w:rPr>
        <w:t>Section 1A (1) of the Civil Procedure Act</w:t>
      </w:r>
      <w:r>
        <w:rPr>
          <w:rFonts w:ascii="Times New Roman" w:eastAsia="Times New Roman" w:hAnsi="Times New Roman" w:cs="Times New Roman"/>
          <w:color w:val="000000"/>
          <w:sz w:val="24"/>
        </w:rPr>
        <w:t xml:space="preserve"> states the overriding objective of the Act. It provides that the Act and the rules made hereunder are to facilitate the </w:t>
      </w:r>
      <w:r>
        <w:rPr>
          <w:rFonts w:ascii="Times New Roman" w:eastAsia="Times New Roman" w:hAnsi="Times New Roman" w:cs="Times New Roman"/>
          <w:b/>
          <w:color w:val="000000"/>
          <w:sz w:val="24"/>
        </w:rPr>
        <w:t>just, expeditious, proportionate and affordable resolution of the civil disputes</w:t>
      </w:r>
      <w:r>
        <w:rPr>
          <w:rFonts w:ascii="Times New Roman" w:eastAsia="Times New Roman" w:hAnsi="Times New Roman" w:cs="Times New Roman"/>
          <w:color w:val="000000"/>
          <w:sz w:val="24"/>
        </w:rPr>
        <w:t>. Additionally, it provides that the court shall in the</w:t>
      </w:r>
      <w:r>
        <w:rPr>
          <w:rFonts w:ascii="Times New Roman" w:eastAsia="Times New Roman" w:hAnsi="Times New Roman" w:cs="Times New Roman"/>
          <w:color w:val="000000"/>
          <w:sz w:val="24"/>
        </w:rPr>
        <w:t xml:space="preserve"> exercise of its powers under this Act or the interpretation of any of its </w:t>
      </w:r>
      <w:proofErr w:type="gramStart"/>
      <w:r>
        <w:rPr>
          <w:rFonts w:ascii="Times New Roman" w:eastAsia="Times New Roman" w:hAnsi="Times New Roman" w:cs="Times New Roman"/>
          <w:color w:val="000000"/>
          <w:sz w:val="24"/>
        </w:rPr>
        <w:t>provisions,</w:t>
      </w:r>
      <w:proofErr w:type="gramEnd"/>
      <w:r>
        <w:rPr>
          <w:rFonts w:ascii="Times New Roman" w:eastAsia="Times New Roman" w:hAnsi="Times New Roman" w:cs="Times New Roman"/>
          <w:color w:val="000000"/>
          <w:sz w:val="24"/>
        </w:rPr>
        <w:t xml:space="preserve"> seek to give effect to the overriding objective. </w:t>
      </w:r>
    </w:p>
    <w:p w:rsidR="0053508A" w:rsidRDefault="00054F76">
      <w:pPr>
        <w:spacing w:after="0" w:line="360" w:lineRule="auto"/>
        <w:rPr>
          <w:rFonts w:ascii="Times New Roman" w:eastAsia="Times New Roman" w:hAnsi="Times New Roman" w:cs="Times New Roman"/>
          <w:color w:val="000000"/>
          <w:sz w:val="24"/>
        </w:rPr>
      </w:pPr>
      <w:r>
        <w:rPr>
          <w:rFonts w:ascii="Times New Roman" w:eastAsia="Times New Roman" w:hAnsi="Times New Roman" w:cs="Times New Roman"/>
          <w:b/>
          <w:color w:val="000000"/>
          <w:sz w:val="24"/>
        </w:rPr>
        <w:t xml:space="preserve"> Section 1A (3)</w:t>
      </w:r>
      <w:r>
        <w:rPr>
          <w:rFonts w:ascii="Times New Roman" w:eastAsia="Times New Roman" w:hAnsi="Times New Roman" w:cs="Times New Roman"/>
          <w:color w:val="000000"/>
          <w:sz w:val="24"/>
        </w:rPr>
        <w:t xml:space="preserve"> provides that a party to civil proceedings or an advocate for such a party, is under a duty to assist t</w:t>
      </w:r>
      <w:r>
        <w:rPr>
          <w:rFonts w:ascii="Times New Roman" w:eastAsia="Times New Roman" w:hAnsi="Times New Roman" w:cs="Times New Roman"/>
          <w:color w:val="000000"/>
          <w:sz w:val="24"/>
        </w:rPr>
        <w:t>he court to further the overriding objective and, to that effect, to participate in the processes of the Court and to comply with the directions or orders of the Court.</w:t>
      </w:r>
    </w:p>
    <w:p w:rsidR="0053508A" w:rsidRDefault="00054F76">
      <w:pPr>
        <w:spacing w:after="0" w:line="360" w:lineRule="auto"/>
        <w:rPr>
          <w:rFonts w:ascii="Times New Roman" w:eastAsia="Times New Roman" w:hAnsi="Times New Roman" w:cs="Times New Roman"/>
          <w:color w:val="000000"/>
          <w:sz w:val="24"/>
        </w:rPr>
      </w:pPr>
      <w:r>
        <w:rPr>
          <w:rFonts w:ascii="Times New Roman" w:eastAsia="Times New Roman" w:hAnsi="Times New Roman" w:cs="Times New Roman"/>
          <w:b/>
          <w:color w:val="000000"/>
          <w:sz w:val="24"/>
        </w:rPr>
        <w:t xml:space="preserve">Section 3A of the Appellate Jurisdictions Act </w:t>
      </w:r>
      <w:r>
        <w:rPr>
          <w:rFonts w:ascii="Times New Roman" w:eastAsia="Times New Roman" w:hAnsi="Times New Roman" w:cs="Times New Roman"/>
          <w:color w:val="000000"/>
          <w:sz w:val="24"/>
        </w:rPr>
        <w:t>has similar provisions to the above provi</w:t>
      </w:r>
      <w:r>
        <w:rPr>
          <w:rFonts w:ascii="Times New Roman" w:eastAsia="Times New Roman" w:hAnsi="Times New Roman" w:cs="Times New Roman"/>
          <w:color w:val="000000"/>
          <w:sz w:val="24"/>
        </w:rPr>
        <w:t>sions of the Civil Procedure Act. There has emerged new jurisprudence with regard to the interpretation and the application of Civil Procedure rules both with regard to cases which are on trial and on appeal. The courts as the primary interpreters of the l</w:t>
      </w:r>
      <w:r>
        <w:rPr>
          <w:rFonts w:ascii="Times New Roman" w:eastAsia="Times New Roman" w:hAnsi="Times New Roman" w:cs="Times New Roman"/>
          <w:color w:val="000000"/>
          <w:sz w:val="24"/>
        </w:rPr>
        <w:t xml:space="preserve">aw have played a massive role in the interpretation of the Overriding Objective in the application of the rules of Civil Procedure. </w:t>
      </w:r>
    </w:p>
    <w:p w:rsidR="0053508A" w:rsidRDefault="00054F76">
      <w:pPr>
        <w:spacing w:line="360" w:lineRule="auto"/>
        <w:jc w:val="both"/>
        <w:rPr>
          <w:rFonts w:ascii="Times New Roman" w:eastAsia="Times New Roman" w:hAnsi="Times New Roman" w:cs="Times New Roman"/>
          <w:sz w:val="24"/>
        </w:rPr>
      </w:pPr>
      <w:r>
        <w:rPr>
          <w:rFonts w:ascii="Times New Roman" w:eastAsia="Times New Roman" w:hAnsi="Times New Roman" w:cs="Times New Roman"/>
          <w:sz w:val="24"/>
        </w:rPr>
        <w:t>The court must seek to give effect to the overriding objective when it exercises any power given to it by the Rules in acco</w:t>
      </w:r>
      <w:r>
        <w:rPr>
          <w:rFonts w:ascii="Times New Roman" w:eastAsia="Times New Roman" w:hAnsi="Times New Roman" w:cs="Times New Roman"/>
          <w:sz w:val="24"/>
        </w:rPr>
        <w:t>rdance with sections 1A and 1B of the Civil Procedure Act and sections 3A and 3B of the Appellate Jurisdiction Act.</w:t>
      </w:r>
    </w:p>
    <w:p w:rsidR="0053508A" w:rsidRDefault="00054F76">
      <w:pPr>
        <w:spacing w:line="360" w:lineRule="auto"/>
        <w:jc w:val="both"/>
        <w:rPr>
          <w:rFonts w:ascii="Times New Roman" w:eastAsia="Times New Roman" w:hAnsi="Times New Roman" w:cs="Times New Roman"/>
          <w:sz w:val="24"/>
        </w:rPr>
      </w:pPr>
      <w:r>
        <w:rPr>
          <w:rFonts w:ascii="Times New Roman" w:eastAsia="Times New Roman" w:hAnsi="Times New Roman" w:cs="Times New Roman"/>
          <w:sz w:val="24"/>
        </w:rPr>
        <w:t>The amendments can be seen to settle the long-running contest in Kenyan jurisprudence between form and substance. The oxygen principle clear</w:t>
      </w:r>
      <w:r>
        <w:rPr>
          <w:rFonts w:ascii="Times New Roman" w:eastAsia="Times New Roman" w:hAnsi="Times New Roman" w:cs="Times New Roman"/>
          <w:sz w:val="24"/>
        </w:rPr>
        <w:t xml:space="preserve">ly directs the court to favor substance over form. This position has been espoused in case law. In </w:t>
      </w:r>
      <w:proofErr w:type="spellStart"/>
      <w:r>
        <w:rPr>
          <w:rFonts w:ascii="Times New Roman" w:eastAsia="Times New Roman" w:hAnsi="Times New Roman" w:cs="Times New Roman"/>
          <w:b/>
          <w:sz w:val="24"/>
          <w:u w:val="single"/>
        </w:rPr>
        <w:t>Chemwolo</w:t>
      </w:r>
      <w:proofErr w:type="spellEnd"/>
      <w:r>
        <w:rPr>
          <w:rFonts w:ascii="Times New Roman" w:eastAsia="Times New Roman" w:hAnsi="Times New Roman" w:cs="Times New Roman"/>
          <w:b/>
          <w:sz w:val="24"/>
          <w:u w:val="single"/>
        </w:rPr>
        <w:t xml:space="preserve"> &amp; </w:t>
      </w:r>
      <w:proofErr w:type="spellStart"/>
      <w:r>
        <w:rPr>
          <w:rFonts w:ascii="Times New Roman" w:eastAsia="Times New Roman" w:hAnsi="Times New Roman" w:cs="Times New Roman"/>
          <w:b/>
          <w:sz w:val="24"/>
          <w:u w:val="single"/>
        </w:rPr>
        <w:t>Anor.v</w:t>
      </w:r>
      <w:proofErr w:type="spellEnd"/>
      <w:r>
        <w:rPr>
          <w:rFonts w:ascii="Times New Roman" w:eastAsia="Times New Roman" w:hAnsi="Times New Roman" w:cs="Times New Roman"/>
          <w:b/>
          <w:sz w:val="24"/>
          <w:u w:val="single"/>
        </w:rPr>
        <w:t xml:space="preserve"> </w:t>
      </w:r>
      <w:proofErr w:type="spellStart"/>
      <w:r>
        <w:rPr>
          <w:rFonts w:ascii="Times New Roman" w:eastAsia="Times New Roman" w:hAnsi="Times New Roman" w:cs="Times New Roman"/>
          <w:b/>
          <w:sz w:val="24"/>
          <w:u w:val="single"/>
        </w:rPr>
        <w:t>Kubende</w:t>
      </w:r>
      <w:proofErr w:type="spellEnd"/>
      <w:r>
        <w:rPr>
          <w:rFonts w:ascii="Times New Roman" w:eastAsia="Times New Roman" w:hAnsi="Times New Roman" w:cs="Times New Roman"/>
          <w:sz w:val="24"/>
        </w:rPr>
        <w:t>, where the court held that the primary concern of the court is to do justice. Courts at some instances have embraced substantive ju</w:t>
      </w:r>
      <w:r>
        <w:rPr>
          <w:rFonts w:ascii="Times New Roman" w:eastAsia="Times New Roman" w:hAnsi="Times New Roman" w:cs="Times New Roman"/>
          <w:sz w:val="24"/>
        </w:rPr>
        <w:t xml:space="preserve">stice in preference to strictly following the rules of procedure. In </w:t>
      </w:r>
      <w:proofErr w:type="spellStart"/>
      <w:r>
        <w:rPr>
          <w:rFonts w:ascii="Times New Roman" w:eastAsia="Times New Roman" w:hAnsi="Times New Roman" w:cs="Times New Roman"/>
          <w:b/>
          <w:sz w:val="24"/>
          <w:u w:val="single"/>
        </w:rPr>
        <w:t>Githere</w:t>
      </w:r>
      <w:proofErr w:type="spellEnd"/>
      <w:r>
        <w:rPr>
          <w:rFonts w:ascii="Times New Roman" w:eastAsia="Times New Roman" w:hAnsi="Times New Roman" w:cs="Times New Roman"/>
          <w:b/>
          <w:sz w:val="24"/>
          <w:u w:val="single"/>
        </w:rPr>
        <w:t xml:space="preserve"> v </w:t>
      </w:r>
      <w:proofErr w:type="spellStart"/>
      <w:r>
        <w:rPr>
          <w:rFonts w:ascii="Times New Roman" w:eastAsia="Times New Roman" w:hAnsi="Times New Roman" w:cs="Times New Roman"/>
          <w:b/>
          <w:sz w:val="24"/>
          <w:u w:val="single"/>
        </w:rPr>
        <w:t>Kimungu</w:t>
      </w:r>
      <w:proofErr w:type="spellEnd"/>
      <w:r>
        <w:rPr>
          <w:rFonts w:ascii="Times New Roman" w:eastAsia="Times New Roman" w:hAnsi="Times New Roman" w:cs="Times New Roman"/>
          <w:sz w:val="24"/>
        </w:rPr>
        <w:t xml:space="preserve"> where justice </w:t>
      </w:r>
      <w:proofErr w:type="spellStart"/>
      <w:r>
        <w:rPr>
          <w:rFonts w:ascii="Times New Roman" w:eastAsia="Times New Roman" w:hAnsi="Times New Roman" w:cs="Times New Roman"/>
          <w:sz w:val="24"/>
        </w:rPr>
        <w:t>Hancox</w:t>
      </w:r>
      <w:proofErr w:type="spellEnd"/>
      <w:r>
        <w:rPr>
          <w:rFonts w:ascii="Times New Roman" w:eastAsia="Times New Roman" w:hAnsi="Times New Roman" w:cs="Times New Roman"/>
          <w:sz w:val="24"/>
        </w:rPr>
        <w:t xml:space="preserve"> said that; </w:t>
      </w:r>
    </w:p>
    <w:p w:rsidR="0053508A" w:rsidRDefault="00054F76">
      <w:pPr>
        <w:spacing w:line="360" w:lineRule="auto"/>
        <w:ind w:firstLine="720"/>
        <w:jc w:val="both"/>
        <w:rPr>
          <w:rFonts w:ascii="Times New Roman" w:eastAsia="Times New Roman" w:hAnsi="Times New Roman" w:cs="Times New Roman"/>
          <w:sz w:val="24"/>
        </w:rPr>
      </w:pPr>
      <w:r>
        <w:rPr>
          <w:rFonts w:ascii="Times New Roman" w:eastAsia="Times New Roman" w:hAnsi="Times New Roman" w:cs="Times New Roman"/>
          <w:sz w:val="24"/>
        </w:rPr>
        <w:t>“</w:t>
      </w:r>
      <w:r>
        <w:rPr>
          <w:rFonts w:ascii="Times New Roman" w:eastAsia="Times New Roman" w:hAnsi="Times New Roman" w:cs="Times New Roman"/>
          <w:i/>
          <w:sz w:val="24"/>
        </w:rPr>
        <w:t>the relation of rules of practice to the administration of justice is intended to be that of a handmaiden rather than a mistress and th</w:t>
      </w:r>
      <w:r>
        <w:rPr>
          <w:rFonts w:ascii="Times New Roman" w:eastAsia="Times New Roman" w:hAnsi="Times New Roman" w:cs="Times New Roman"/>
          <w:i/>
          <w:sz w:val="24"/>
        </w:rPr>
        <w:t>at the court should not be too far bound and tied by the rules, which are intended as general rules of procedure, as to be compelled to do that which will cause injustice in a particular case.”</w:t>
      </w:r>
    </w:p>
    <w:p w:rsidR="0053508A" w:rsidRDefault="00054F76">
      <w:pPr>
        <w:spacing w:line="360" w:lineRule="auto"/>
        <w:jc w:val="both"/>
        <w:rPr>
          <w:rFonts w:ascii="Times New Roman" w:eastAsia="Times New Roman" w:hAnsi="Times New Roman" w:cs="Times New Roman"/>
          <w:sz w:val="24"/>
        </w:rPr>
      </w:pPr>
      <w:r>
        <w:rPr>
          <w:rFonts w:ascii="Times New Roman" w:eastAsia="Times New Roman" w:hAnsi="Times New Roman" w:cs="Times New Roman"/>
          <w:sz w:val="24"/>
        </w:rPr>
        <w:t>These rigid procedural technicalities have been noted and reme</w:t>
      </w:r>
      <w:r>
        <w:rPr>
          <w:rFonts w:ascii="Times New Roman" w:eastAsia="Times New Roman" w:hAnsi="Times New Roman" w:cs="Times New Roman"/>
          <w:sz w:val="24"/>
        </w:rPr>
        <w:t>died by section 1A, 1B and 3A of the Civil Procedure Act.</w:t>
      </w:r>
    </w:p>
    <w:p w:rsidR="0053508A" w:rsidRDefault="00054F76">
      <w:pPr>
        <w:spacing w:line="360" w:lineRule="auto"/>
        <w:jc w:val="both"/>
        <w:rPr>
          <w:rFonts w:ascii="Times New Roman" w:eastAsia="Times New Roman" w:hAnsi="Times New Roman" w:cs="Times New Roman"/>
          <w:sz w:val="24"/>
        </w:rPr>
      </w:pPr>
      <w:r>
        <w:rPr>
          <w:rFonts w:ascii="Times New Roman" w:eastAsia="Times New Roman" w:hAnsi="Times New Roman" w:cs="Times New Roman"/>
          <w:sz w:val="24"/>
        </w:rPr>
        <w:lastRenderedPageBreak/>
        <w:t>The principal aim of the oxygen principle is to attain justice and fairness in the circumstances of each case; reduce cost and delay; deal with each matter in ways which are proportionate; and ensur</w:t>
      </w:r>
      <w:r>
        <w:rPr>
          <w:rFonts w:ascii="Times New Roman" w:eastAsia="Times New Roman" w:hAnsi="Times New Roman" w:cs="Times New Roman"/>
          <w:sz w:val="24"/>
        </w:rPr>
        <w:t>ing that the parties are on an equal footing and finally, allotting to each case an appropriate share of the courts’ resources, while taking into account the need to allot resources to other cases.</w:t>
      </w:r>
    </w:p>
    <w:p w:rsidR="0053508A" w:rsidRDefault="00054F76">
      <w:pPr>
        <w:spacing w:line="360" w:lineRule="auto"/>
        <w:jc w:val="both"/>
        <w:rPr>
          <w:rFonts w:ascii="Times New Roman" w:eastAsia="Times New Roman" w:hAnsi="Times New Roman" w:cs="Times New Roman"/>
          <w:sz w:val="24"/>
        </w:rPr>
      </w:pPr>
      <w:r>
        <w:rPr>
          <w:rFonts w:ascii="Times New Roman" w:eastAsia="Times New Roman" w:hAnsi="Times New Roman" w:cs="Times New Roman"/>
          <w:sz w:val="24"/>
        </w:rPr>
        <w:t xml:space="preserve"> HOW THE COURTS HAVE DEALT WITH THE PRINCIPLE SINCE IT WAS</w:t>
      </w:r>
      <w:r>
        <w:rPr>
          <w:rFonts w:ascii="Times New Roman" w:eastAsia="Times New Roman" w:hAnsi="Times New Roman" w:cs="Times New Roman"/>
          <w:sz w:val="24"/>
        </w:rPr>
        <w:t xml:space="preserve"> FORMALLY INTRODUCED IN KENYA (APPLICATION IN CASE LAW)</w:t>
      </w:r>
    </w:p>
    <w:p w:rsidR="0053508A" w:rsidRDefault="00054F76">
      <w:pPr>
        <w:spacing w:line="360" w:lineRule="auto"/>
        <w:jc w:val="both"/>
        <w:rPr>
          <w:rFonts w:ascii="Times New Roman" w:eastAsia="Times New Roman" w:hAnsi="Times New Roman" w:cs="Times New Roman"/>
          <w:sz w:val="24"/>
        </w:rPr>
      </w:pPr>
      <w:r>
        <w:rPr>
          <w:rFonts w:ascii="Times New Roman" w:eastAsia="Times New Roman" w:hAnsi="Times New Roman" w:cs="Times New Roman"/>
          <w:sz w:val="24"/>
        </w:rPr>
        <w:t>An application for appeal should not be struck out as a result of procedural technicalities. Courts must not automatically strike out a pleading but must first examine whether the striking out will be</w:t>
      </w:r>
      <w:r>
        <w:rPr>
          <w:rFonts w:ascii="Times New Roman" w:eastAsia="Times New Roman" w:hAnsi="Times New Roman" w:cs="Times New Roman"/>
          <w:sz w:val="24"/>
        </w:rPr>
        <w:t xml:space="preserve"> in conformity with the overriding objectives. The Court of Appeal called to apply the oxygen principle in </w:t>
      </w:r>
      <w:proofErr w:type="spellStart"/>
      <w:r>
        <w:rPr>
          <w:rFonts w:ascii="Times New Roman" w:eastAsia="Times New Roman" w:hAnsi="Times New Roman" w:cs="Times New Roman"/>
          <w:b/>
          <w:sz w:val="24"/>
          <w:u w:val="single"/>
        </w:rPr>
        <w:t>Kamani</w:t>
      </w:r>
      <w:proofErr w:type="spellEnd"/>
      <w:r>
        <w:rPr>
          <w:rFonts w:ascii="Times New Roman" w:eastAsia="Times New Roman" w:hAnsi="Times New Roman" w:cs="Times New Roman"/>
          <w:b/>
          <w:sz w:val="24"/>
          <w:u w:val="single"/>
        </w:rPr>
        <w:t xml:space="preserve"> v Kenya Anti-Corruption Commission</w:t>
      </w:r>
      <w:r>
        <w:rPr>
          <w:rFonts w:ascii="Times New Roman" w:eastAsia="Times New Roman" w:hAnsi="Times New Roman" w:cs="Times New Roman"/>
          <w:sz w:val="24"/>
        </w:rPr>
        <w:t xml:space="preserve">. In this case, Deepak </w:t>
      </w:r>
      <w:proofErr w:type="spellStart"/>
      <w:r>
        <w:rPr>
          <w:rFonts w:ascii="Times New Roman" w:eastAsia="Times New Roman" w:hAnsi="Times New Roman" w:cs="Times New Roman"/>
          <w:sz w:val="24"/>
        </w:rPr>
        <w:t>Chamanlal</w:t>
      </w:r>
      <w:proofErr w:type="spellEnd"/>
      <w:r>
        <w:rPr>
          <w:rFonts w:ascii="Times New Roman" w:eastAsia="Times New Roman" w:hAnsi="Times New Roman" w:cs="Times New Roman"/>
          <w:sz w:val="24"/>
        </w:rPr>
        <w:t xml:space="preserve"> </w:t>
      </w:r>
      <w:proofErr w:type="spellStart"/>
      <w:r>
        <w:rPr>
          <w:rFonts w:ascii="Times New Roman" w:eastAsia="Times New Roman" w:hAnsi="Times New Roman" w:cs="Times New Roman"/>
          <w:sz w:val="24"/>
        </w:rPr>
        <w:t>Kamani</w:t>
      </w:r>
      <w:proofErr w:type="spellEnd"/>
      <w:r>
        <w:rPr>
          <w:rFonts w:ascii="Times New Roman" w:eastAsia="Times New Roman" w:hAnsi="Times New Roman" w:cs="Times New Roman"/>
          <w:sz w:val="24"/>
        </w:rPr>
        <w:t xml:space="preserve"> had applied for the appeal to be struck out on a technicality. The t</w:t>
      </w:r>
      <w:r>
        <w:rPr>
          <w:rFonts w:ascii="Times New Roman" w:eastAsia="Times New Roman" w:hAnsi="Times New Roman" w:cs="Times New Roman"/>
          <w:sz w:val="24"/>
        </w:rPr>
        <w:t xml:space="preserve">echnical objection raised by </w:t>
      </w:r>
      <w:proofErr w:type="spellStart"/>
      <w:r>
        <w:rPr>
          <w:rFonts w:ascii="Times New Roman" w:eastAsia="Times New Roman" w:hAnsi="Times New Roman" w:cs="Times New Roman"/>
          <w:sz w:val="24"/>
        </w:rPr>
        <w:t>Kamani</w:t>
      </w:r>
      <w:proofErr w:type="spellEnd"/>
      <w:r>
        <w:rPr>
          <w:rFonts w:ascii="Times New Roman" w:eastAsia="Times New Roman" w:hAnsi="Times New Roman" w:cs="Times New Roman"/>
          <w:sz w:val="24"/>
        </w:rPr>
        <w:t xml:space="preserve"> was that some primary documents, including hand-written notes of two trial judges, had been omitted from the appeal record. The appellant forgot to include parts of the magistrates’ notes and thus the respondent wanted t</w:t>
      </w:r>
      <w:r>
        <w:rPr>
          <w:rFonts w:ascii="Times New Roman" w:eastAsia="Times New Roman" w:hAnsi="Times New Roman" w:cs="Times New Roman"/>
          <w:sz w:val="24"/>
        </w:rPr>
        <w:t>he case struck out. The court of appeal applied overriding objectives in considering what it would cost the court to strike out the matter. The court therefore declined to strike out the appeal because it would cost the court more, and granted the appellan</w:t>
      </w:r>
      <w:r>
        <w:rPr>
          <w:rFonts w:ascii="Times New Roman" w:eastAsia="Times New Roman" w:hAnsi="Times New Roman" w:cs="Times New Roman"/>
          <w:sz w:val="24"/>
        </w:rPr>
        <w:t xml:space="preserve">t leave to file a supplementary record of appeal to include the omitted documents and then proceed. </w:t>
      </w:r>
    </w:p>
    <w:p w:rsidR="0053508A" w:rsidRDefault="00054F76">
      <w:pPr>
        <w:spacing w:line="360" w:lineRule="auto"/>
        <w:jc w:val="both"/>
        <w:rPr>
          <w:rFonts w:ascii="Times New Roman" w:eastAsia="Times New Roman" w:hAnsi="Times New Roman" w:cs="Times New Roman"/>
          <w:sz w:val="24"/>
        </w:rPr>
      </w:pPr>
      <w:r>
        <w:rPr>
          <w:rFonts w:ascii="Times New Roman" w:eastAsia="Times New Roman" w:hAnsi="Times New Roman" w:cs="Times New Roman"/>
          <w:sz w:val="24"/>
        </w:rPr>
        <w:t xml:space="preserve">The Constitution has an impact on the application of procedure. Article 159(2) (d) of the Constitution states that courts are now required </w:t>
      </w:r>
      <w:proofErr w:type="gramStart"/>
      <w:r>
        <w:rPr>
          <w:rFonts w:ascii="Times New Roman" w:eastAsia="Times New Roman" w:hAnsi="Times New Roman" w:cs="Times New Roman"/>
          <w:sz w:val="24"/>
        </w:rPr>
        <w:t>to administer</w:t>
      </w:r>
      <w:proofErr w:type="gramEnd"/>
      <w:r>
        <w:rPr>
          <w:rFonts w:ascii="Times New Roman" w:eastAsia="Times New Roman" w:hAnsi="Times New Roman" w:cs="Times New Roman"/>
          <w:sz w:val="24"/>
        </w:rPr>
        <w:t xml:space="preserve"> justice without undue regard to procedural technicalities. It should be noted however, </w:t>
      </w:r>
      <w:r>
        <w:rPr>
          <w:rFonts w:ascii="Times New Roman" w:eastAsia="Times New Roman" w:hAnsi="Times New Roman" w:cs="Times New Roman"/>
          <w:i/>
          <w:sz w:val="24"/>
        </w:rPr>
        <w:t>that Article 159</w:t>
      </w:r>
      <w:r>
        <w:rPr>
          <w:rFonts w:ascii="Times New Roman" w:eastAsia="Times New Roman" w:hAnsi="Times New Roman" w:cs="Times New Roman"/>
          <w:i/>
          <w:sz w:val="24"/>
        </w:rPr>
        <w:t xml:space="preserve">(2) is not a </w:t>
      </w:r>
      <w:proofErr w:type="spellStart"/>
      <w:r>
        <w:rPr>
          <w:rFonts w:ascii="Times New Roman" w:eastAsia="Times New Roman" w:hAnsi="Times New Roman" w:cs="Times New Roman"/>
          <w:i/>
          <w:sz w:val="24"/>
        </w:rPr>
        <w:t>licence</w:t>
      </w:r>
      <w:proofErr w:type="spellEnd"/>
      <w:r>
        <w:rPr>
          <w:rFonts w:ascii="Times New Roman" w:eastAsia="Times New Roman" w:hAnsi="Times New Roman" w:cs="Times New Roman"/>
          <w:i/>
          <w:sz w:val="24"/>
        </w:rPr>
        <w:t xml:space="preserve"> to ignore existing procedural laws that have stood the test of time.</w:t>
      </w:r>
      <w:r>
        <w:rPr>
          <w:rFonts w:ascii="Times New Roman" w:eastAsia="Times New Roman" w:hAnsi="Times New Roman" w:cs="Times New Roman"/>
          <w:sz w:val="24"/>
        </w:rPr>
        <w:t xml:space="preserve"> One seeking to rely on this article must prove that there is no desire to uphold technicalities. In </w:t>
      </w:r>
      <w:r>
        <w:rPr>
          <w:rFonts w:ascii="Times New Roman" w:eastAsia="Times New Roman" w:hAnsi="Times New Roman" w:cs="Times New Roman"/>
          <w:b/>
          <w:sz w:val="24"/>
        </w:rPr>
        <w:t>Westmont Power (9K) Limited v Commissioner of Income Tax Nairobi</w:t>
      </w:r>
      <w:r>
        <w:rPr>
          <w:rFonts w:ascii="Times New Roman" w:eastAsia="Times New Roman" w:hAnsi="Times New Roman" w:cs="Times New Roman"/>
          <w:sz w:val="24"/>
        </w:rPr>
        <w:t xml:space="preserve"> the court of appeal sought to strike out an appeal. The court stated that sections 3A and 3B of the Appellate Jurisdiction Act cannot be invoked as a matter of course so as to excuse all and any kind of failing on the part of a party to abide by the requi</w:t>
      </w:r>
      <w:r>
        <w:rPr>
          <w:rFonts w:ascii="Times New Roman" w:eastAsia="Times New Roman" w:hAnsi="Times New Roman" w:cs="Times New Roman"/>
          <w:sz w:val="24"/>
        </w:rPr>
        <w:t>rements of the rules made to regulate appeals of the appellate court.</w:t>
      </w:r>
    </w:p>
    <w:p w:rsidR="0053508A" w:rsidRDefault="00054F76">
      <w:pPr>
        <w:spacing w:line="360" w:lineRule="auto"/>
        <w:jc w:val="both"/>
        <w:rPr>
          <w:rFonts w:ascii="Times New Roman" w:eastAsia="Times New Roman" w:hAnsi="Times New Roman" w:cs="Times New Roman"/>
          <w:sz w:val="24"/>
        </w:rPr>
      </w:pPr>
      <w:r>
        <w:rPr>
          <w:rFonts w:ascii="Times New Roman" w:eastAsia="Times New Roman" w:hAnsi="Times New Roman" w:cs="Times New Roman"/>
          <w:sz w:val="24"/>
        </w:rPr>
        <w:t xml:space="preserve"> The court also quoted Article 159(2) (d) in Board</w:t>
      </w:r>
      <w:r>
        <w:rPr>
          <w:rFonts w:ascii="Times New Roman" w:eastAsia="Times New Roman" w:hAnsi="Times New Roman" w:cs="Times New Roman"/>
          <w:b/>
          <w:sz w:val="24"/>
        </w:rPr>
        <w:t xml:space="preserve"> of Trustees of National Social Security Fund v </w:t>
      </w:r>
      <w:proofErr w:type="spellStart"/>
      <w:r>
        <w:rPr>
          <w:rFonts w:ascii="Times New Roman" w:eastAsia="Times New Roman" w:hAnsi="Times New Roman" w:cs="Times New Roman"/>
          <w:b/>
          <w:sz w:val="24"/>
        </w:rPr>
        <w:t>Meshack</w:t>
      </w:r>
      <w:proofErr w:type="spellEnd"/>
      <w:r>
        <w:rPr>
          <w:rFonts w:ascii="Times New Roman" w:eastAsia="Times New Roman" w:hAnsi="Times New Roman" w:cs="Times New Roman"/>
          <w:b/>
          <w:sz w:val="24"/>
        </w:rPr>
        <w:t xml:space="preserve"> </w:t>
      </w:r>
      <w:proofErr w:type="spellStart"/>
      <w:r>
        <w:rPr>
          <w:rFonts w:ascii="Times New Roman" w:eastAsia="Times New Roman" w:hAnsi="Times New Roman" w:cs="Times New Roman"/>
          <w:b/>
          <w:sz w:val="24"/>
        </w:rPr>
        <w:t>Owino</w:t>
      </w:r>
      <w:proofErr w:type="spellEnd"/>
      <w:r>
        <w:rPr>
          <w:rFonts w:ascii="Times New Roman" w:eastAsia="Times New Roman" w:hAnsi="Times New Roman" w:cs="Times New Roman"/>
          <w:b/>
          <w:sz w:val="24"/>
        </w:rPr>
        <w:t xml:space="preserve"> </w:t>
      </w:r>
      <w:proofErr w:type="spellStart"/>
      <w:r>
        <w:rPr>
          <w:rFonts w:ascii="Times New Roman" w:eastAsia="Times New Roman" w:hAnsi="Times New Roman" w:cs="Times New Roman"/>
          <w:b/>
          <w:sz w:val="24"/>
        </w:rPr>
        <w:t>Onyango</w:t>
      </w:r>
      <w:proofErr w:type="spellEnd"/>
      <w:r>
        <w:rPr>
          <w:rFonts w:ascii="Times New Roman" w:eastAsia="Times New Roman" w:hAnsi="Times New Roman" w:cs="Times New Roman"/>
          <w:b/>
          <w:sz w:val="24"/>
        </w:rPr>
        <w:t xml:space="preserve"> </w:t>
      </w:r>
      <w:r>
        <w:rPr>
          <w:rFonts w:ascii="Times New Roman" w:eastAsia="Times New Roman" w:hAnsi="Times New Roman" w:cs="Times New Roman"/>
          <w:sz w:val="24"/>
        </w:rPr>
        <w:t xml:space="preserve">where the applicant sought leave to institute review </w:t>
      </w:r>
      <w:r>
        <w:rPr>
          <w:rFonts w:ascii="Times New Roman" w:eastAsia="Times New Roman" w:hAnsi="Times New Roman" w:cs="Times New Roman"/>
          <w:sz w:val="24"/>
        </w:rPr>
        <w:lastRenderedPageBreak/>
        <w:t xml:space="preserve">proceedings. </w:t>
      </w:r>
      <w:r>
        <w:rPr>
          <w:rFonts w:ascii="Times New Roman" w:eastAsia="Times New Roman" w:hAnsi="Times New Roman" w:cs="Times New Roman"/>
          <w:sz w:val="24"/>
        </w:rPr>
        <w:t>Further, the court stated that it is required to give effect to the overriding objective of civil litigation enshrined in the Appellate Jurisdiction Act (Cap 9 of the Laws of Kenya) which is, among other things, to facilitate the just and expeditious resol</w:t>
      </w:r>
      <w:r>
        <w:rPr>
          <w:rFonts w:ascii="Times New Roman" w:eastAsia="Times New Roman" w:hAnsi="Times New Roman" w:cs="Times New Roman"/>
          <w:sz w:val="24"/>
        </w:rPr>
        <w:t>ution of appeals. Thus, it would be against the policy of the law to strike out the appeal on a mere technicality raised in support of the application. Court stated; “The furthering of the oxygen principle by the courts is not likely to be helped or assist</w:t>
      </w:r>
      <w:r>
        <w:rPr>
          <w:rFonts w:ascii="Times New Roman" w:eastAsia="Times New Roman" w:hAnsi="Times New Roman" w:cs="Times New Roman"/>
          <w:sz w:val="24"/>
        </w:rPr>
        <w:t>ed where advocates or the parties in the applications fail to lay the basis for the application of the oxygen principle or fail to comply with the rules practice directions or court order. In the case of applications seeking the invocation of the oxygen pr</w:t>
      </w:r>
      <w:r>
        <w:rPr>
          <w:rFonts w:ascii="Times New Roman" w:eastAsia="Times New Roman" w:hAnsi="Times New Roman" w:cs="Times New Roman"/>
          <w:sz w:val="24"/>
        </w:rPr>
        <w:t>inciple a firm basis whether factual or legal must be laid and expressed in the application.”</w:t>
      </w:r>
    </w:p>
    <w:p w:rsidR="0053508A" w:rsidRDefault="00054F76">
      <w:pPr>
        <w:spacing w:line="360" w:lineRule="auto"/>
        <w:jc w:val="both"/>
        <w:rPr>
          <w:rFonts w:ascii="Times New Roman" w:eastAsia="Times New Roman" w:hAnsi="Times New Roman" w:cs="Times New Roman"/>
          <w:sz w:val="24"/>
        </w:rPr>
      </w:pPr>
      <w:proofErr w:type="gramStart"/>
      <w:r>
        <w:rPr>
          <w:rFonts w:ascii="Times New Roman" w:eastAsia="Times New Roman" w:hAnsi="Times New Roman" w:cs="Times New Roman"/>
          <w:sz w:val="24"/>
        </w:rPr>
        <w:t xml:space="preserve">In  </w:t>
      </w:r>
      <w:r>
        <w:rPr>
          <w:rFonts w:ascii="Times New Roman" w:eastAsia="Times New Roman" w:hAnsi="Times New Roman" w:cs="Times New Roman"/>
          <w:b/>
          <w:sz w:val="24"/>
        </w:rPr>
        <w:t>Kenya</w:t>
      </w:r>
      <w:proofErr w:type="gramEnd"/>
      <w:r>
        <w:rPr>
          <w:rFonts w:ascii="Times New Roman" w:eastAsia="Times New Roman" w:hAnsi="Times New Roman" w:cs="Times New Roman"/>
          <w:b/>
          <w:sz w:val="24"/>
        </w:rPr>
        <w:t xml:space="preserve"> Commercial Bank Limited v Kenya Planters Co-operative Union </w:t>
      </w:r>
      <w:r>
        <w:rPr>
          <w:rFonts w:ascii="Times New Roman" w:eastAsia="Times New Roman" w:hAnsi="Times New Roman" w:cs="Times New Roman"/>
          <w:sz w:val="24"/>
        </w:rPr>
        <w:t>the applicants sought an extension of time to file an application seeking leave to appeal ci</w:t>
      </w:r>
      <w:r>
        <w:rPr>
          <w:rFonts w:ascii="Times New Roman" w:eastAsia="Times New Roman" w:hAnsi="Times New Roman" w:cs="Times New Roman"/>
          <w:sz w:val="24"/>
        </w:rPr>
        <w:t xml:space="preserve">ting grounds like rejection of bound application by the registry officials because it was in two different </w:t>
      </w:r>
      <w:proofErr w:type="spellStart"/>
      <w:r>
        <w:rPr>
          <w:rFonts w:ascii="Times New Roman" w:eastAsia="Times New Roman" w:hAnsi="Times New Roman" w:cs="Times New Roman"/>
          <w:sz w:val="24"/>
        </w:rPr>
        <w:t>colours</w:t>
      </w:r>
      <w:proofErr w:type="spellEnd"/>
      <w:r>
        <w:rPr>
          <w:rFonts w:ascii="Times New Roman" w:eastAsia="Times New Roman" w:hAnsi="Times New Roman" w:cs="Times New Roman"/>
          <w:sz w:val="24"/>
        </w:rPr>
        <w:t xml:space="preserve"> instead of one, and due to long Easter holiday the applicant was not able to instruct the advocates in ample time to enable preparation and f</w:t>
      </w:r>
      <w:r>
        <w:rPr>
          <w:rFonts w:ascii="Times New Roman" w:eastAsia="Times New Roman" w:hAnsi="Times New Roman" w:cs="Times New Roman"/>
          <w:sz w:val="24"/>
        </w:rPr>
        <w:t>iling of the application within the statutory limit of fourteen days. The court held that technicalities of procedure non-compliant precedents or the exercise of power in a manner that would defeat the court’s core business of acting justly would have to g</w:t>
      </w:r>
      <w:r>
        <w:rPr>
          <w:rFonts w:ascii="Times New Roman" w:eastAsia="Times New Roman" w:hAnsi="Times New Roman" w:cs="Times New Roman"/>
          <w:sz w:val="24"/>
        </w:rPr>
        <w:t xml:space="preserve">ive way. The appeal for filing of the application which was otherwise </w:t>
      </w:r>
      <w:proofErr w:type="gramStart"/>
      <w:r>
        <w:rPr>
          <w:rFonts w:ascii="Times New Roman" w:eastAsia="Times New Roman" w:hAnsi="Times New Roman" w:cs="Times New Roman"/>
          <w:sz w:val="24"/>
        </w:rPr>
        <w:t>time</w:t>
      </w:r>
      <w:proofErr w:type="gramEnd"/>
      <w:r>
        <w:rPr>
          <w:rFonts w:ascii="Times New Roman" w:eastAsia="Times New Roman" w:hAnsi="Times New Roman" w:cs="Times New Roman"/>
          <w:sz w:val="24"/>
        </w:rPr>
        <w:t xml:space="preserve"> barred by the rules of procedure was allowed.</w:t>
      </w:r>
    </w:p>
    <w:p w:rsidR="0053508A" w:rsidRDefault="00054F76">
      <w:pPr>
        <w:spacing w:line="360" w:lineRule="auto"/>
        <w:jc w:val="both"/>
        <w:rPr>
          <w:rFonts w:ascii="Times New Roman" w:eastAsia="Times New Roman" w:hAnsi="Times New Roman" w:cs="Times New Roman"/>
          <w:sz w:val="24"/>
        </w:rPr>
      </w:pPr>
      <w:r>
        <w:rPr>
          <w:rFonts w:ascii="Times New Roman" w:eastAsia="Times New Roman" w:hAnsi="Times New Roman" w:cs="Times New Roman"/>
          <w:sz w:val="24"/>
        </w:rPr>
        <w:t>The application of the oxygen principle has to have the backing of a factual or legal foundation and what is important is to do justice</w:t>
      </w:r>
      <w:r>
        <w:rPr>
          <w:rFonts w:ascii="Times New Roman" w:eastAsia="Times New Roman" w:hAnsi="Times New Roman" w:cs="Times New Roman"/>
          <w:sz w:val="24"/>
        </w:rPr>
        <w:t xml:space="preserve"> on the basis of facts of a particular matter. In the case of </w:t>
      </w:r>
      <w:r>
        <w:rPr>
          <w:rFonts w:ascii="Times New Roman" w:eastAsia="Times New Roman" w:hAnsi="Times New Roman" w:cs="Times New Roman"/>
          <w:b/>
          <w:sz w:val="24"/>
        </w:rPr>
        <w:t>African Safari Club Limited v Safe Rentals Limited, Court of Appeal</w:t>
      </w:r>
      <w:r>
        <w:rPr>
          <w:rFonts w:ascii="Times New Roman" w:eastAsia="Times New Roman" w:hAnsi="Times New Roman" w:cs="Times New Roman"/>
          <w:sz w:val="24"/>
        </w:rPr>
        <w:t xml:space="preserve"> sought to imply that the oxygen principles cast away the old rules and that the court is now required to engage in balancing t</w:t>
      </w:r>
      <w:r>
        <w:rPr>
          <w:rFonts w:ascii="Times New Roman" w:eastAsia="Times New Roman" w:hAnsi="Times New Roman" w:cs="Times New Roman"/>
          <w:sz w:val="24"/>
        </w:rPr>
        <w:t xml:space="preserve">he interests and hardships of the parties with a view to placing the parties on an equal footing. The applicant applied to the Court of Appeal for stay of execution after the High Court granted rather onerous condition for the stay of execution of a </w:t>
      </w:r>
      <w:proofErr w:type="spellStart"/>
      <w:r>
        <w:rPr>
          <w:rFonts w:ascii="Times New Roman" w:eastAsia="Times New Roman" w:hAnsi="Times New Roman" w:cs="Times New Roman"/>
          <w:sz w:val="24"/>
        </w:rPr>
        <w:t>judgem</w:t>
      </w:r>
      <w:r>
        <w:rPr>
          <w:rFonts w:ascii="Times New Roman" w:eastAsia="Times New Roman" w:hAnsi="Times New Roman" w:cs="Times New Roman"/>
          <w:sz w:val="24"/>
        </w:rPr>
        <w:t>ent</w:t>
      </w:r>
      <w:proofErr w:type="spellEnd"/>
      <w:r>
        <w:rPr>
          <w:rFonts w:ascii="Times New Roman" w:eastAsia="Times New Roman" w:hAnsi="Times New Roman" w:cs="Times New Roman"/>
          <w:sz w:val="24"/>
        </w:rPr>
        <w:t xml:space="preserve"> amounting to </w:t>
      </w:r>
      <w:proofErr w:type="spellStart"/>
      <w:r>
        <w:rPr>
          <w:rFonts w:ascii="Times New Roman" w:eastAsia="Times New Roman" w:hAnsi="Times New Roman" w:cs="Times New Roman"/>
          <w:sz w:val="24"/>
        </w:rPr>
        <w:t>KShs</w:t>
      </w:r>
      <w:proofErr w:type="spellEnd"/>
      <w:r>
        <w:rPr>
          <w:rFonts w:ascii="Times New Roman" w:eastAsia="Times New Roman" w:hAnsi="Times New Roman" w:cs="Times New Roman"/>
          <w:sz w:val="24"/>
        </w:rPr>
        <w:t xml:space="preserve"> 141,862,365.98. Such an amount was too large that it would virtually cripple the </w:t>
      </w:r>
      <w:proofErr w:type="spellStart"/>
      <w:r>
        <w:rPr>
          <w:rFonts w:ascii="Times New Roman" w:eastAsia="Times New Roman" w:hAnsi="Times New Roman" w:cs="Times New Roman"/>
          <w:sz w:val="24"/>
        </w:rPr>
        <w:t>judgement</w:t>
      </w:r>
      <w:proofErr w:type="spellEnd"/>
      <w:r>
        <w:rPr>
          <w:rFonts w:ascii="Times New Roman" w:eastAsia="Times New Roman" w:hAnsi="Times New Roman" w:cs="Times New Roman"/>
          <w:sz w:val="24"/>
        </w:rPr>
        <w:t xml:space="preserve"> debtor if the court did not stop execution. On the other hand, if the company was wound up, the </w:t>
      </w:r>
      <w:proofErr w:type="spellStart"/>
      <w:r>
        <w:rPr>
          <w:rFonts w:ascii="Times New Roman" w:eastAsia="Times New Roman" w:hAnsi="Times New Roman" w:cs="Times New Roman"/>
          <w:sz w:val="24"/>
        </w:rPr>
        <w:t>judgement</w:t>
      </w:r>
      <w:proofErr w:type="spellEnd"/>
      <w:r>
        <w:rPr>
          <w:rFonts w:ascii="Times New Roman" w:eastAsia="Times New Roman" w:hAnsi="Times New Roman" w:cs="Times New Roman"/>
          <w:sz w:val="24"/>
        </w:rPr>
        <w:t xml:space="preserve"> creditor stood to lose substantially.</w:t>
      </w:r>
      <w:r>
        <w:rPr>
          <w:rFonts w:ascii="Times New Roman" w:eastAsia="Times New Roman" w:hAnsi="Times New Roman" w:cs="Times New Roman"/>
          <w:sz w:val="24"/>
        </w:rPr>
        <w:t xml:space="preserve"> A balance had to be placed between the interests and hardships of both parties. Further, the rules of procedure including rule 5(2)(b) have considerable value in terms of administration of justice but new challenges brought about by the </w:t>
      </w:r>
      <w:r>
        <w:rPr>
          <w:rFonts w:ascii="Times New Roman" w:eastAsia="Times New Roman" w:hAnsi="Times New Roman" w:cs="Times New Roman"/>
          <w:sz w:val="24"/>
        </w:rPr>
        <w:lastRenderedPageBreak/>
        <w:t>enactment of the o</w:t>
      </w:r>
      <w:r>
        <w:rPr>
          <w:rFonts w:ascii="Times New Roman" w:eastAsia="Times New Roman" w:hAnsi="Times New Roman" w:cs="Times New Roman"/>
          <w:sz w:val="24"/>
        </w:rPr>
        <w:t xml:space="preserve">xygen principle brings into focus the fundamental purpose of civil procedure which is to enable the court deal with cases justly and fairly. The court thus ordered the applicant to pay the respondent </w:t>
      </w:r>
      <w:proofErr w:type="spellStart"/>
      <w:r>
        <w:rPr>
          <w:rFonts w:ascii="Times New Roman" w:eastAsia="Times New Roman" w:hAnsi="Times New Roman" w:cs="Times New Roman"/>
          <w:sz w:val="24"/>
        </w:rPr>
        <w:t>Kshs</w:t>
      </w:r>
      <w:proofErr w:type="spellEnd"/>
      <w:r>
        <w:rPr>
          <w:rFonts w:ascii="Times New Roman" w:eastAsia="Times New Roman" w:hAnsi="Times New Roman" w:cs="Times New Roman"/>
          <w:sz w:val="24"/>
        </w:rPr>
        <w:t xml:space="preserve"> 7,218,664 and provide security by way of deposit of</w:t>
      </w:r>
      <w:r>
        <w:rPr>
          <w:rFonts w:ascii="Times New Roman" w:eastAsia="Times New Roman" w:hAnsi="Times New Roman" w:cs="Times New Roman"/>
          <w:sz w:val="24"/>
        </w:rPr>
        <w:t xml:space="preserve"> title valued at least </w:t>
      </w:r>
      <w:proofErr w:type="spellStart"/>
      <w:r>
        <w:rPr>
          <w:rFonts w:ascii="Times New Roman" w:eastAsia="Times New Roman" w:hAnsi="Times New Roman" w:cs="Times New Roman"/>
          <w:sz w:val="24"/>
        </w:rPr>
        <w:t>Kshs</w:t>
      </w:r>
      <w:proofErr w:type="spellEnd"/>
      <w:r>
        <w:rPr>
          <w:rFonts w:ascii="Times New Roman" w:eastAsia="Times New Roman" w:hAnsi="Times New Roman" w:cs="Times New Roman"/>
          <w:sz w:val="24"/>
        </w:rPr>
        <w:t xml:space="preserve"> 50 million.</w:t>
      </w:r>
    </w:p>
    <w:p w:rsidR="0053508A" w:rsidRDefault="00054F76">
      <w:pPr>
        <w:spacing w:line="360" w:lineRule="auto"/>
        <w:jc w:val="both"/>
        <w:rPr>
          <w:rFonts w:ascii="Times New Roman" w:eastAsia="Times New Roman" w:hAnsi="Times New Roman" w:cs="Times New Roman"/>
          <w:sz w:val="24"/>
        </w:rPr>
      </w:pPr>
      <w:r>
        <w:rPr>
          <w:rFonts w:ascii="Times New Roman" w:eastAsia="Times New Roman" w:hAnsi="Times New Roman" w:cs="Times New Roman"/>
          <w:sz w:val="24"/>
        </w:rPr>
        <w:t xml:space="preserve">In </w:t>
      </w:r>
      <w:r>
        <w:rPr>
          <w:rFonts w:ascii="Times New Roman" w:eastAsia="Times New Roman" w:hAnsi="Times New Roman" w:cs="Times New Roman"/>
          <w:b/>
          <w:sz w:val="24"/>
        </w:rPr>
        <w:t xml:space="preserve">A.G.R v Attorney General and 2 </w:t>
      </w:r>
      <w:proofErr w:type="gramStart"/>
      <w:r>
        <w:rPr>
          <w:rFonts w:ascii="Times New Roman" w:eastAsia="Times New Roman" w:hAnsi="Times New Roman" w:cs="Times New Roman"/>
          <w:b/>
          <w:sz w:val="24"/>
        </w:rPr>
        <w:t>Others</w:t>
      </w:r>
      <w:proofErr w:type="gramEnd"/>
      <w:r>
        <w:rPr>
          <w:rFonts w:ascii="Times New Roman" w:eastAsia="Times New Roman" w:hAnsi="Times New Roman" w:cs="Times New Roman"/>
          <w:sz w:val="24"/>
        </w:rPr>
        <w:t>, the applicant sought to be granted leave to sue the defendant out of time based on section 5 of Public Authorities Limitations Act Cap 30, section 1A and 1B of the Civil Proc</w:t>
      </w:r>
      <w:r>
        <w:rPr>
          <w:rFonts w:ascii="Times New Roman" w:eastAsia="Times New Roman" w:hAnsi="Times New Roman" w:cs="Times New Roman"/>
          <w:sz w:val="24"/>
        </w:rPr>
        <w:t>edure Act and Section 50 r of the Civil Procedure Act. He could not sue within 1 year limitation period due to inability to obtain necessary letters of administration within the prescribed period. The applicant had not quoted the relevant provisions of the</w:t>
      </w:r>
      <w:r>
        <w:rPr>
          <w:rFonts w:ascii="Times New Roman" w:eastAsia="Times New Roman" w:hAnsi="Times New Roman" w:cs="Times New Roman"/>
          <w:sz w:val="24"/>
        </w:rPr>
        <w:t xml:space="preserve"> law in view of order 51 rule 10(1) and (2) and article 159(2)(d) of the Constitution. The court upheld substantive justice and stated that failure to quote relevant sections does not affect the substance of the application.</w:t>
      </w:r>
    </w:p>
    <w:p w:rsidR="0053508A" w:rsidRDefault="00054F76">
      <w:pPr>
        <w:spacing w:line="360" w:lineRule="auto"/>
        <w:jc w:val="both"/>
        <w:rPr>
          <w:rFonts w:ascii="Times New Roman" w:eastAsia="Times New Roman" w:hAnsi="Times New Roman" w:cs="Times New Roman"/>
          <w:sz w:val="24"/>
        </w:rPr>
      </w:pPr>
      <w:r>
        <w:rPr>
          <w:rFonts w:ascii="Times New Roman" w:eastAsia="Times New Roman" w:hAnsi="Times New Roman" w:cs="Times New Roman"/>
          <w:sz w:val="24"/>
        </w:rPr>
        <w:t>However, there are instances in</w:t>
      </w:r>
      <w:r>
        <w:rPr>
          <w:rFonts w:ascii="Times New Roman" w:eastAsia="Times New Roman" w:hAnsi="Times New Roman" w:cs="Times New Roman"/>
          <w:sz w:val="24"/>
        </w:rPr>
        <w:t xml:space="preserve"> which the court held that the oxygen principle would not apply. In </w:t>
      </w:r>
      <w:r>
        <w:rPr>
          <w:rFonts w:ascii="Times New Roman" w:eastAsia="Times New Roman" w:hAnsi="Times New Roman" w:cs="Times New Roman"/>
          <w:b/>
          <w:sz w:val="24"/>
        </w:rPr>
        <w:t>Pepco v Carte</w:t>
      </w:r>
      <w:r>
        <w:rPr>
          <w:rFonts w:ascii="Times New Roman" w:eastAsia="Times New Roman" w:hAnsi="Times New Roman" w:cs="Times New Roman"/>
          <w:b/>
          <w:i/>
          <w:sz w:val="24"/>
        </w:rPr>
        <w:t xml:space="preserve">r </w:t>
      </w:r>
      <w:r>
        <w:rPr>
          <w:rFonts w:ascii="Times New Roman" w:eastAsia="Times New Roman" w:hAnsi="Times New Roman" w:cs="Times New Roman"/>
          <w:sz w:val="24"/>
        </w:rPr>
        <w:t>the court held that the overriding objectives principle could not apply to an incurably defective application. In that case, a party named “Pepco Construction Company Limite</w:t>
      </w:r>
      <w:r>
        <w:rPr>
          <w:rFonts w:ascii="Times New Roman" w:eastAsia="Times New Roman" w:hAnsi="Times New Roman" w:cs="Times New Roman"/>
          <w:sz w:val="24"/>
        </w:rPr>
        <w:t>d” was mistakenly described in the Notice of Appeal as “Pepco Construction &amp; Transport Co Ltd”, the pre-amended name in the file. These defects were held to be incurable; the court stated that those errors were not the sort of errors that could be cured by</w:t>
      </w:r>
      <w:r>
        <w:rPr>
          <w:rFonts w:ascii="Times New Roman" w:eastAsia="Times New Roman" w:hAnsi="Times New Roman" w:cs="Times New Roman"/>
          <w:sz w:val="24"/>
        </w:rPr>
        <w:t xml:space="preserve"> the overriding objectives.</w:t>
      </w:r>
    </w:p>
    <w:p w:rsidR="0053508A" w:rsidRDefault="00054F76">
      <w:pPr>
        <w:spacing w:line="360" w:lineRule="auto"/>
        <w:jc w:val="both"/>
        <w:rPr>
          <w:rFonts w:ascii="Times New Roman" w:eastAsia="Times New Roman" w:hAnsi="Times New Roman" w:cs="Times New Roman"/>
          <w:sz w:val="24"/>
        </w:rPr>
      </w:pPr>
      <w:r>
        <w:rPr>
          <w:rFonts w:ascii="Times New Roman" w:eastAsia="Times New Roman" w:hAnsi="Times New Roman" w:cs="Times New Roman"/>
          <w:sz w:val="24"/>
        </w:rPr>
        <w:t xml:space="preserve">In the case of </w:t>
      </w:r>
      <w:r>
        <w:rPr>
          <w:rFonts w:ascii="Times New Roman" w:eastAsia="Times New Roman" w:hAnsi="Times New Roman" w:cs="Times New Roman"/>
          <w:b/>
          <w:sz w:val="24"/>
        </w:rPr>
        <w:t xml:space="preserve">AG v </w:t>
      </w:r>
      <w:proofErr w:type="spellStart"/>
      <w:r>
        <w:rPr>
          <w:rFonts w:ascii="Times New Roman" w:eastAsia="Times New Roman" w:hAnsi="Times New Roman" w:cs="Times New Roman"/>
          <w:b/>
          <w:sz w:val="24"/>
        </w:rPr>
        <w:t>Pattni</w:t>
      </w:r>
      <w:proofErr w:type="spellEnd"/>
      <w:r>
        <w:rPr>
          <w:rFonts w:ascii="Times New Roman" w:eastAsia="Times New Roman" w:hAnsi="Times New Roman" w:cs="Times New Roman"/>
          <w:sz w:val="24"/>
        </w:rPr>
        <w:t xml:space="preserve">, the Notice of Appeal mistakenly referred to the appellant as the respondent and misdated the ruling in question. The court ruled that the notice of appeal which the applicant wished to correct seemed </w:t>
      </w:r>
      <w:r>
        <w:rPr>
          <w:rFonts w:ascii="Times New Roman" w:eastAsia="Times New Roman" w:hAnsi="Times New Roman" w:cs="Times New Roman"/>
          <w:sz w:val="24"/>
        </w:rPr>
        <w:t>to be incurably defective, which was a serious mistake. The court stated that it had no power to validate an invalid notice of appeal.</w:t>
      </w:r>
    </w:p>
    <w:p w:rsidR="0053508A" w:rsidRDefault="00054F76">
      <w:pPr>
        <w:spacing w:line="360" w:lineRule="auto"/>
        <w:jc w:val="both"/>
        <w:rPr>
          <w:rFonts w:ascii="Times New Roman" w:eastAsia="Times New Roman" w:hAnsi="Times New Roman" w:cs="Times New Roman"/>
          <w:sz w:val="24"/>
        </w:rPr>
      </w:pPr>
      <w:r>
        <w:rPr>
          <w:rFonts w:ascii="Times New Roman" w:eastAsia="Times New Roman" w:hAnsi="Times New Roman" w:cs="Times New Roman"/>
          <w:sz w:val="24"/>
        </w:rPr>
        <w:t>In</w:t>
      </w:r>
      <w:r>
        <w:rPr>
          <w:rFonts w:ascii="Times New Roman" w:eastAsia="Times New Roman" w:hAnsi="Times New Roman" w:cs="Times New Roman"/>
          <w:b/>
          <w:i/>
          <w:sz w:val="24"/>
        </w:rPr>
        <w:t xml:space="preserve"> Ali </w:t>
      </w:r>
      <w:proofErr w:type="spellStart"/>
      <w:r>
        <w:rPr>
          <w:rFonts w:ascii="Times New Roman" w:eastAsia="Times New Roman" w:hAnsi="Times New Roman" w:cs="Times New Roman"/>
          <w:b/>
          <w:sz w:val="24"/>
        </w:rPr>
        <w:t>Abdi</w:t>
      </w:r>
      <w:proofErr w:type="spellEnd"/>
      <w:r>
        <w:rPr>
          <w:rFonts w:ascii="Times New Roman" w:eastAsia="Times New Roman" w:hAnsi="Times New Roman" w:cs="Times New Roman"/>
          <w:b/>
          <w:sz w:val="24"/>
        </w:rPr>
        <w:t xml:space="preserve"> Sheikh v Edward </w:t>
      </w:r>
      <w:proofErr w:type="spellStart"/>
      <w:r>
        <w:rPr>
          <w:rFonts w:ascii="Times New Roman" w:eastAsia="Times New Roman" w:hAnsi="Times New Roman" w:cs="Times New Roman"/>
          <w:b/>
          <w:sz w:val="24"/>
        </w:rPr>
        <w:t>NderituWainaina</w:t>
      </w:r>
      <w:proofErr w:type="spellEnd"/>
      <w:r>
        <w:rPr>
          <w:rFonts w:ascii="Times New Roman" w:eastAsia="Times New Roman" w:hAnsi="Times New Roman" w:cs="Times New Roman"/>
          <w:sz w:val="24"/>
        </w:rPr>
        <w:t>, the learned judge stated that, lack of jurisdiction could not be cured eithe</w:t>
      </w:r>
      <w:r>
        <w:rPr>
          <w:rFonts w:ascii="Times New Roman" w:eastAsia="Times New Roman" w:hAnsi="Times New Roman" w:cs="Times New Roman"/>
          <w:sz w:val="24"/>
        </w:rPr>
        <w:t>r by overriding objective under section 1A and 1B of the Civil Procedure Act or Art 159(2</w:t>
      </w:r>
      <w:proofErr w:type="gramStart"/>
      <w:r>
        <w:rPr>
          <w:rFonts w:ascii="Times New Roman" w:eastAsia="Times New Roman" w:hAnsi="Times New Roman" w:cs="Times New Roman"/>
          <w:sz w:val="24"/>
        </w:rPr>
        <w:t>)(</w:t>
      </w:r>
      <w:proofErr w:type="gramEnd"/>
      <w:r>
        <w:rPr>
          <w:rFonts w:ascii="Times New Roman" w:eastAsia="Times New Roman" w:hAnsi="Times New Roman" w:cs="Times New Roman"/>
          <w:sz w:val="24"/>
        </w:rPr>
        <w:t xml:space="preserve">d) of the constitution. He further stated, “I have no reason to depart from the reasoning that </w:t>
      </w:r>
      <w:r>
        <w:rPr>
          <w:rFonts w:ascii="Times New Roman" w:eastAsia="Times New Roman" w:hAnsi="Times New Roman" w:cs="Times New Roman"/>
          <w:b/>
          <w:sz w:val="24"/>
        </w:rPr>
        <w:t>matters of jurisdiction cannot</w:t>
      </w:r>
      <w:r>
        <w:rPr>
          <w:rFonts w:ascii="Times New Roman" w:eastAsia="Times New Roman" w:hAnsi="Times New Roman" w:cs="Times New Roman"/>
          <w:sz w:val="24"/>
        </w:rPr>
        <w:t xml:space="preserve"> be described </w:t>
      </w:r>
      <w:r>
        <w:rPr>
          <w:rFonts w:ascii="Times New Roman" w:eastAsia="Times New Roman" w:hAnsi="Times New Roman" w:cs="Times New Roman"/>
          <w:b/>
          <w:sz w:val="24"/>
        </w:rPr>
        <w:t>as technicalities of proce</w:t>
      </w:r>
      <w:r>
        <w:rPr>
          <w:rFonts w:ascii="Times New Roman" w:eastAsia="Times New Roman" w:hAnsi="Times New Roman" w:cs="Times New Roman"/>
          <w:b/>
          <w:sz w:val="24"/>
        </w:rPr>
        <w:t>dure.</w:t>
      </w:r>
      <w:r>
        <w:rPr>
          <w:rFonts w:ascii="Times New Roman" w:eastAsia="Times New Roman" w:hAnsi="Times New Roman" w:cs="Times New Roman"/>
          <w:sz w:val="24"/>
        </w:rPr>
        <w:t xml:space="preserve"> They are matters of substance since without jurisdiction they cannot be said to be seized of the dispute.”</w:t>
      </w:r>
    </w:p>
    <w:p w:rsidR="0053508A" w:rsidRDefault="00054F76">
      <w:pPr>
        <w:spacing w:line="360" w:lineRule="auto"/>
        <w:jc w:val="both"/>
        <w:rPr>
          <w:rFonts w:ascii="Times New Roman" w:eastAsia="Times New Roman" w:hAnsi="Times New Roman" w:cs="Times New Roman"/>
          <w:sz w:val="24"/>
        </w:rPr>
      </w:pPr>
      <w:r>
        <w:rPr>
          <w:rFonts w:ascii="Times New Roman" w:eastAsia="Times New Roman" w:hAnsi="Times New Roman" w:cs="Times New Roman"/>
          <w:sz w:val="24"/>
        </w:rPr>
        <w:lastRenderedPageBreak/>
        <w:t xml:space="preserve">The decision of the Supreme Court in, </w:t>
      </w:r>
      <w:proofErr w:type="spellStart"/>
      <w:r>
        <w:rPr>
          <w:rFonts w:ascii="Times New Roman" w:eastAsia="Times New Roman" w:hAnsi="Times New Roman" w:cs="Times New Roman"/>
          <w:b/>
          <w:sz w:val="24"/>
        </w:rPr>
        <w:t>Raila</w:t>
      </w:r>
      <w:proofErr w:type="spellEnd"/>
      <w:r>
        <w:rPr>
          <w:rFonts w:ascii="Times New Roman" w:eastAsia="Times New Roman" w:hAnsi="Times New Roman" w:cs="Times New Roman"/>
          <w:b/>
          <w:sz w:val="24"/>
        </w:rPr>
        <w:t xml:space="preserve"> </w:t>
      </w:r>
      <w:proofErr w:type="spellStart"/>
      <w:r>
        <w:rPr>
          <w:rFonts w:ascii="Times New Roman" w:eastAsia="Times New Roman" w:hAnsi="Times New Roman" w:cs="Times New Roman"/>
          <w:b/>
          <w:sz w:val="24"/>
        </w:rPr>
        <w:t>Odinga</w:t>
      </w:r>
      <w:proofErr w:type="spellEnd"/>
      <w:r>
        <w:rPr>
          <w:rFonts w:ascii="Times New Roman" w:eastAsia="Times New Roman" w:hAnsi="Times New Roman" w:cs="Times New Roman"/>
          <w:b/>
          <w:sz w:val="24"/>
        </w:rPr>
        <w:t>&amp; 5 others v IEBC and &amp; 3 others</w:t>
      </w:r>
      <w:r>
        <w:rPr>
          <w:rFonts w:ascii="Times New Roman" w:eastAsia="Times New Roman" w:hAnsi="Times New Roman" w:cs="Times New Roman"/>
          <w:sz w:val="24"/>
        </w:rPr>
        <w:t>, the applicants filed an affidavit with disregard to the pro</w:t>
      </w:r>
      <w:r>
        <w:rPr>
          <w:rFonts w:ascii="Times New Roman" w:eastAsia="Times New Roman" w:hAnsi="Times New Roman" w:cs="Times New Roman"/>
          <w:sz w:val="24"/>
        </w:rPr>
        <w:t>per time stipulated in the rules of the procedure without leave of the court. The filing was struck out by the Supreme Court where it stated that Article 159(2</w:t>
      </w:r>
      <w:proofErr w:type="gramStart"/>
      <w:r>
        <w:rPr>
          <w:rFonts w:ascii="Times New Roman" w:eastAsia="Times New Roman" w:hAnsi="Times New Roman" w:cs="Times New Roman"/>
          <w:sz w:val="24"/>
        </w:rPr>
        <w:t>)(</w:t>
      </w:r>
      <w:proofErr w:type="gramEnd"/>
      <w:r>
        <w:rPr>
          <w:rFonts w:ascii="Times New Roman" w:eastAsia="Times New Roman" w:hAnsi="Times New Roman" w:cs="Times New Roman"/>
          <w:sz w:val="24"/>
        </w:rPr>
        <w:t>d) of the constitution did not mean that procedural technicalities imposed by the law may be ig</w:t>
      </w:r>
      <w:r>
        <w:rPr>
          <w:rFonts w:ascii="Times New Roman" w:eastAsia="Times New Roman" w:hAnsi="Times New Roman" w:cs="Times New Roman"/>
          <w:sz w:val="24"/>
        </w:rPr>
        <w:t>nored.</w:t>
      </w:r>
    </w:p>
    <w:p w:rsidR="0053508A" w:rsidRDefault="00054F76">
      <w:pPr>
        <w:spacing w:line="360" w:lineRule="auto"/>
        <w:jc w:val="both"/>
        <w:rPr>
          <w:rFonts w:ascii="Times New Roman" w:eastAsia="Times New Roman" w:hAnsi="Times New Roman" w:cs="Times New Roman"/>
          <w:sz w:val="24"/>
        </w:rPr>
      </w:pPr>
      <w:r>
        <w:rPr>
          <w:rFonts w:ascii="Times New Roman" w:eastAsia="Times New Roman" w:hAnsi="Times New Roman" w:cs="Times New Roman"/>
          <w:sz w:val="24"/>
        </w:rPr>
        <w:t xml:space="preserve">In conclusion, procedure can be termed as a handmaiden substance and without proper procedure and procedural </w:t>
      </w:r>
      <w:proofErr w:type="gramStart"/>
      <w:r>
        <w:rPr>
          <w:rFonts w:ascii="Times New Roman" w:eastAsia="Times New Roman" w:hAnsi="Times New Roman" w:cs="Times New Roman"/>
          <w:sz w:val="24"/>
        </w:rPr>
        <w:t>safeguards,</w:t>
      </w:r>
      <w:proofErr w:type="gramEnd"/>
      <w:r>
        <w:rPr>
          <w:rFonts w:ascii="Times New Roman" w:eastAsia="Times New Roman" w:hAnsi="Times New Roman" w:cs="Times New Roman"/>
          <w:sz w:val="24"/>
        </w:rPr>
        <w:t xml:space="preserve"> a party may be disadvantaged by over- reliance on “substantive justice”. Procedure lies at the heart of the law by providing the</w:t>
      </w:r>
      <w:r>
        <w:rPr>
          <w:rFonts w:ascii="Times New Roman" w:eastAsia="Times New Roman" w:hAnsi="Times New Roman" w:cs="Times New Roman"/>
          <w:sz w:val="24"/>
        </w:rPr>
        <w:t xml:space="preserve"> necessary armor to the parties.</w:t>
      </w:r>
    </w:p>
    <w:p w:rsidR="0053508A" w:rsidRDefault="00054F76">
      <w:pPr>
        <w:spacing w:line="360" w:lineRule="auto"/>
        <w:jc w:val="both"/>
        <w:rPr>
          <w:rFonts w:ascii="Times New Roman" w:eastAsia="Times New Roman" w:hAnsi="Times New Roman" w:cs="Times New Roman"/>
          <w:sz w:val="24"/>
        </w:rPr>
      </w:pPr>
      <w:r>
        <w:rPr>
          <w:rFonts w:ascii="Times New Roman" w:eastAsia="Times New Roman" w:hAnsi="Times New Roman" w:cs="Times New Roman"/>
          <w:sz w:val="24"/>
        </w:rPr>
        <w:t>Litigation can be compared to a game where the rules provide a level playing field for the parties with the judge as referee.  Conducting cases on broad principles of justice without regard to technicalities may well lead t</w:t>
      </w:r>
      <w:r>
        <w:rPr>
          <w:rFonts w:ascii="Times New Roman" w:eastAsia="Times New Roman" w:hAnsi="Times New Roman" w:cs="Times New Roman"/>
          <w:sz w:val="24"/>
        </w:rPr>
        <w:t>o uncertainty and injustice</w:t>
      </w:r>
    </w:p>
    <w:sectPr w:rsidR="0053508A">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39"/>
  <w:proofState w:spelling="clean" w:grammar="clean"/>
  <w:defaultTabStop w:val="720"/>
  <w:characterSpacingControl w:val="doNotCompress"/>
  <w:compat>
    <w:useFELayout/>
  </w:compat>
  <w:rsids>
    <w:rsidRoot w:val="0053508A"/>
    <w:rsid w:val="00054F76"/>
    <w:rsid w:val="0053508A"/>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7</Pages>
  <Words>2074</Words>
  <Characters>11828</Characters>
  <Application>Microsoft Office Word</Application>
  <DocSecurity>0</DocSecurity>
  <Lines>98</Lines>
  <Paragraphs>27</Paragraphs>
  <ScaleCrop>false</ScaleCrop>
  <Company/>
  <LinksUpToDate>false</LinksUpToDate>
  <CharactersWithSpaces>13875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Steve</cp:lastModifiedBy>
  <cp:revision>2</cp:revision>
  <dcterms:created xsi:type="dcterms:W3CDTF">2013-08-21T06:53:00Z</dcterms:created>
  <dcterms:modified xsi:type="dcterms:W3CDTF">2013-08-21T06:53:00Z</dcterms:modified>
</cp:coreProperties>
</file>