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5F7A" w:rsidRDefault="00C038FF">
      <w:pPr>
        <w:spacing w:line="360"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KENYA SCHOOL OF LAW</w:t>
      </w:r>
    </w:p>
    <w:p w:rsidR="00CC5F7A" w:rsidRDefault="00C038FF">
      <w:pPr>
        <w:spacing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ADVOCATES TRAINING PROGRAMME.</w:t>
      </w:r>
    </w:p>
    <w:p w:rsidR="00CC5F7A" w:rsidRDefault="00C038FF">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PROBATE AND ADMINISTRATION ASSIGNMENT.</w:t>
      </w:r>
    </w:p>
    <w:p w:rsidR="00CC5F7A" w:rsidRDefault="00C038FF">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CLASS E, FIRM 16.</w:t>
      </w:r>
    </w:p>
    <w:p w:rsidR="00CC5F7A" w:rsidRPr="001079FE" w:rsidRDefault="00C038FF">
      <w:pPr>
        <w:spacing w:line="360" w:lineRule="auto"/>
        <w:jc w:val="both"/>
        <w:rPr>
          <w:rFonts w:ascii="Times New Roman" w:eastAsia="Times New Roman" w:hAnsi="Times New Roman" w:cs="Times New Roman"/>
          <w:sz w:val="24"/>
          <w:szCs w:val="24"/>
          <w:lang w:val="pt-PT"/>
        </w:rPr>
      </w:pPr>
      <w:r w:rsidRPr="001079FE">
        <w:rPr>
          <w:rFonts w:ascii="Times New Roman" w:eastAsia="Times New Roman" w:hAnsi="Times New Roman" w:cs="Times New Roman"/>
          <w:sz w:val="24"/>
          <w:szCs w:val="24"/>
          <w:lang w:val="pt-PT"/>
        </w:rPr>
        <w:t>20220632</w:t>
      </w:r>
      <w:r w:rsidRPr="001079FE">
        <w:rPr>
          <w:rFonts w:ascii="Times New Roman" w:eastAsia="Times New Roman" w:hAnsi="Times New Roman" w:cs="Times New Roman"/>
          <w:sz w:val="24"/>
          <w:szCs w:val="24"/>
          <w:lang w:val="pt-PT"/>
        </w:rPr>
        <w:tab/>
        <w:t xml:space="preserve"> ANN MWANGI.</w:t>
      </w:r>
    </w:p>
    <w:p w:rsidR="00CC5F7A" w:rsidRPr="001079FE" w:rsidRDefault="00C038FF">
      <w:pPr>
        <w:spacing w:line="360" w:lineRule="auto"/>
        <w:jc w:val="both"/>
        <w:rPr>
          <w:rFonts w:ascii="Times New Roman" w:eastAsia="Times New Roman" w:hAnsi="Times New Roman" w:cs="Times New Roman"/>
          <w:sz w:val="24"/>
          <w:szCs w:val="24"/>
          <w:lang w:val="pt-PT"/>
        </w:rPr>
      </w:pPr>
      <w:r w:rsidRPr="001079FE">
        <w:rPr>
          <w:rFonts w:ascii="Times New Roman" w:eastAsia="Times New Roman" w:hAnsi="Times New Roman" w:cs="Times New Roman"/>
          <w:sz w:val="24"/>
          <w:szCs w:val="24"/>
          <w:lang w:val="pt-PT"/>
        </w:rPr>
        <w:t>20221375</w:t>
      </w:r>
      <w:r w:rsidRPr="001079FE">
        <w:rPr>
          <w:rFonts w:ascii="Times New Roman" w:eastAsia="Times New Roman" w:hAnsi="Times New Roman" w:cs="Times New Roman"/>
          <w:sz w:val="24"/>
          <w:szCs w:val="24"/>
          <w:lang w:val="pt-PT"/>
        </w:rPr>
        <w:tab/>
        <w:t xml:space="preserve"> PRESTON KIRAGU.</w:t>
      </w:r>
    </w:p>
    <w:p w:rsidR="00CC5F7A" w:rsidRPr="001079FE" w:rsidRDefault="00C038FF">
      <w:pPr>
        <w:spacing w:line="360" w:lineRule="auto"/>
        <w:jc w:val="both"/>
        <w:rPr>
          <w:rFonts w:ascii="Times New Roman" w:eastAsia="Times New Roman" w:hAnsi="Times New Roman" w:cs="Times New Roman"/>
          <w:sz w:val="24"/>
          <w:szCs w:val="24"/>
          <w:lang w:val="pt-PT"/>
        </w:rPr>
      </w:pPr>
      <w:r w:rsidRPr="001079FE">
        <w:rPr>
          <w:rFonts w:ascii="Times New Roman" w:eastAsia="Times New Roman" w:hAnsi="Times New Roman" w:cs="Times New Roman"/>
          <w:sz w:val="24"/>
          <w:szCs w:val="24"/>
          <w:lang w:val="pt-PT"/>
        </w:rPr>
        <w:t>20220356</w:t>
      </w:r>
      <w:r w:rsidRPr="001079FE">
        <w:rPr>
          <w:rFonts w:ascii="Times New Roman" w:eastAsia="Times New Roman" w:hAnsi="Times New Roman" w:cs="Times New Roman"/>
          <w:sz w:val="24"/>
          <w:szCs w:val="24"/>
          <w:lang w:val="pt-PT"/>
        </w:rPr>
        <w:tab/>
        <w:t xml:space="preserve"> PATRICIA ANGAYA.</w:t>
      </w:r>
    </w:p>
    <w:p w:rsidR="00CC5F7A" w:rsidRPr="001079FE" w:rsidRDefault="00C038FF">
      <w:pPr>
        <w:spacing w:line="360" w:lineRule="auto"/>
        <w:jc w:val="both"/>
        <w:rPr>
          <w:rFonts w:ascii="Times New Roman" w:eastAsia="Times New Roman" w:hAnsi="Times New Roman" w:cs="Times New Roman"/>
          <w:sz w:val="24"/>
          <w:szCs w:val="24"/>
          <w:lang w:val="pt-PT"/>
        </w:rPr>
      </w:pPr>
      <w:r w:rsidRPr="001079FE">
        <w:rPr>
          <w:rFonts w:ascii="Times New Roman" w:eastAsia="Times New Roman" w:hAnsi="Times New Roman" w:cs="Times New Roman"/>
          <w:sz w:val="24"/>
          <w:szCs w:val="24"/>
          <w:lang w:val="pt-PT"/>
        </w:rPr>
        <w:t>20221323</w:t>
      </w:r>
      <w:r w:rsidRPr="001079FE">
        <w:rPr>
          <w:rFonts w:ascii="Times New Roman" w:eastAsia="Times New Roman" w:hAnsi="Times New Roman" w:cs="Times New Roman"/>
          <w:sz w:val="24"/>
          <w:szCs w:val="24"/>
          <w:lang w:val="pt-PT"/>
        </w:rPr>
        <w:tab/>
        <w:t xml:space="preserve"> LUCY KOMU.</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20221229</w:t>
      </w:r>
      <w:r>
        <w:rPr>
          <w:rFonts w:ascii="Times New Roman" w:eastAsia="Times New Roman" w:hAnsi="Times New Roman" w:cs="Times New Roman"/>
          <w:sz w:val="24"/>
          <w:szCs w:val="24"/>
        </w:rPr>
        <w:tab/>
        <w:t xml:space="preserve"> KENEVANS KATHIGIU GICHOBI.</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20221577</w:t>
      </w:r>
      <w:r>
        <w:rPr>
          <w:rFonts w:ascii="Times New Roman" w:eastAsia="Times New Roman" w:hAnsi="Times New Roman" w:cs="Times New Roman"/>
          <w:sz w:val="24"/>
          <w:szCs w:val="24"/>
        </w:rPr>
        <w:tab/>
        <w:t xml:space="preserve"> LAWRENCE SULA.</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20220519</w:t>
      </w:r>
      <w:r>
        <w:rPr>
          <w:rFonts w:ascii="Times New Roman" w:eastAsia="Times New Roman" w:hAnsi="Times New Roman" w:cs="Times New Roman"/>
          <w:sz w:val="24"/>
          <w:szCs w:val="24"/>
        </w:rPr>
        <w:tab/>
        <w:t xml:space="preserve"> IAN ANGAYO.</w:t>
      </w:r>
    </w:p>
    <w:p w:rsidR="00CC5F7A" w:rsidRDefault="00CC5F7A">
      <w:pPr>
        <w:spacing w:line="360" w:lineRule="auto"/>
        <w:jc w:val="both"/>
        <w:rPr>
          <w:rFonts w:ascii="Times New Roman" w:eastAsia="Times New Roman" w:hAnsi="Times New Roman" w:cs="Times New Roman"/>
          <w:sz w:val="24"/>
          <w:szCs w:val="24"/>
        </w:rPr>
      </w:pPr>
    </w:p>
    <w:p w:rsidR="00CC5F7A" w:rsidRDefault="00C038FF">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QUESTION.</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Hussein died in the 26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January 2016. He left a widow and 2 daughters.  He wrote a will in which he left most of his property to his wife and children. He however had just bought some 60 acres piece of land in Kwale which was not covered in his will. Hussein’s wife Samia has filed for grant of probate for estate of her late husband.  Kassim the brother to the deceased has come to your office for advice concerning the estate of his late brother. He further tells you that his late brother had a child out of wedlock and he had a long-term relationship with the child’s mother even though they were not married. All the parties profess the Islamic faith. </w:t>
      </w:r>
    </w:p>
    <w:p w:rsidR="00CC5F7A" w:rsidRDefault="00CC5F7A">
      <w:pPr>
        <w:spacing w:line="360" w:lineRule="auto"/>
        <w:jc w:val="both"/>
        <w:rPr>
          <w:rFonts w:ascii="Times New Roman" w:eastAsia="Times New Roman" w:hAnsi="Times New Roman" w:cs="Times New Roman"/>
          <w:sz w:val="24"/>
          <w:szCs w:val="24"/>
        </w:rPr>
      </w:pPr>
    </w:p>
    <w:p w:rsidR="00CC5F7A" w:rsidRDefault="00CC5F7A">
      <w:pPr>
        <w:spacing w:line="360" w:lineRule="auto"/>
        <w:jc w:val="both"/>
        <w:rPr>
          <w:rFonts w:ascii="Times New Roman" w:eastAsia="Times New Roman" w:hAnsi="Times New Roman" w:cs="Times New Roman"/>
          <w:sz w:val="24"/>
          <w:szCs w:val="24"/>
        </w:rPr>
      </w:pPr>
    </w:p>
    <w:p w:rsidR="00CC5F7A" w:rsidRDefault="00CC5F7A">
      <w:pPr>
        <w:spacing w:line="360" w:lineRule="auto"/>
        <w:jc w:val="both"/>
        <w:rPr>
          <w:rFonts w:ascii="Times New Roman" w:eastAsia="Times New Roman" w:hAnsi="Times New Roman" w:cs="Times New Roman"/>
          <w:sz w:val="24"/>
          <w:szCs w:val="24"/>
        </w:rPr>
      </w:pPr>
    </w:p>
    <w:p w:rsidR="00CC5F7A" w:rsidRPr="00871940" w:rsidRDefault="00C038FF">
      <w:pPr>
        <w:spacing w:line="360" w:lineRule="auto"/>
        <w:jc w:val="both"/>
        <w:rPr>
          <w:rFonts w:ascii="Times New Roman" w:eastAsia="Times New Roman" w:hAnsi="Times New Roman" w:cs="Times New Roman"/>
          <w:b/>
          <w:sz w:val="28"/>
          <w:szCs w:val="28"/>
          <w:u w:val="single"/>
        </w:rPr>
      </w:pPr>
      <w:r w:rsidRPr="00871940">
        <w:rPr>
          <w:rFonts w:ascii="Times New Roman" w:eastAsia="Times New Roman" w:hAnsi="Times New Roman" w:cs="Times New Roman"/>
          <w:b/>
          <w:sz w:val="28"/>
          <w:szCs w:val="28"/>
          <w:u w:val="single"/>
        </w:rPr>
        <w:t>ISSUES FOR DETERMINATION</w:t>
      </w:r>
    </w:p>
    <w:p w:rsidR="00CC5F7A" w:rsidRDefault="00C038FF">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In the above scenario question, we found the following issues to guide us in our discussion</w:t>
      </w:r>
    </w:p>
    <w:p w:rsidR="00CC5F7A" w:rsidRDefault="00C038FF">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Whether the will is valid under Islamic la</w:t>
      </w:r>
      <w:r>
        <w:rPr>
          <w:rFonts w:ascii="Times New Roman" w:eastAsia="Times New Roman" w:hAnsi="Times New Roman" w:cs="Times New Roman"/>
          <w:sz w:val="24"/>
          <w:szCs w:val="24"/>
        </w:rPr>
        <w:t>w?</w:t>
      </w:r>
    </w:p>
    <w:p w:rsidR="00CC5F7A" w:rsidRDefault="00C038FF">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Whether the illegi</w:t>
      </w:r>
      <w:r w:rsidR="0033481C">
        <w:rPr>
          <w:rFonts w:ascii="Times New Roman" w:eastAsia="Times New Roman" w:hAnsi="Times New Roman" w:cs="Times New Roman"/>
          <w:color w:val="000000"/>
          <w:sz w:val="24"/>
          <w:szCs w:val="24"/>
        </w:rPr>
        <w:t xml:space="preserve">timate child is </w:t>
      </w:r>
      <w:r>
        <w:rPr>
          <w:rFonts w:ascii="Times New Roman" w:eastAsia="Times New Roman" w:hAnsi="Times New Roman" w:cs="Times New Roman"/>
          <w:color w:val="000000"/>
          <w:sz w:val="24"/>
          <w:szCs w:val="24"/>
        </w:rPr>
        <w:t>entitled to the deceased estate</w:t>
      </w:r>
      <w:r>
        <w:rPr>
          <w:rFonts w:ascii="Times New Roman" w:eastAsia="Times New Roman" w:hAnsi="Times New Roman" w:cs="Times New Roman"/>
          <w:sz w:val="24"/>
          <w:szCs w:val="24"/>
        </w:rPr>
        <w:t>?</w:t>
      </w:r>
    </w:p>
    <w:p w:rsidR="00CC5F7A" w:rsidRDefault="00C038FF">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Whether Kassim, the brother to the deceased, has a claim to the deceased estate</w:t>
      </w:r>
      <w:r>
        <w:rPr>
          <w:rFonts w:ascii="Times New Roman" w:eastAsia="Times New Roman" w:hAnsi="Times New Roman" w:cs="Times New Roman"/>
          <w:sz w:val="24"/>
          <w:szCs w:val="24"/>
        </w:rPr>
        <w:t>?</w:t>
      </w:r>
    </w:p>
    <w:p w:rsidR="00CC5F7A" w:rsidRDefault="00C038FF">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Whether Samia</w:t>
      </w:r>
      <w:r>
        <w:rPr>
          <w:rFonts w:ascii="Times New Roman" w:eastAsia="Times New Roman" w:hAnsi="Times New Roman" w:cs="Times New Roman"/>
          <w:sz w:val="24"/>
          <w:szCs w:val="24"/>
        </w:rPr>
        <w:t xml:space="preserve"> should </w:t>
      </w:r>
      <w:r>
        <w:rPr>
          <w:rFonts w:ascii="Times New Roman" w:eastAsia="Times New Roman" w:hAnsi="Times New Roman" w:cs="Times New Roman"/>
          <w:color w:val="000000"/>
          <w:sz w:val="24"/>
          <w:szCs w:val="24"/>
        </w:rPr>
        <w:t>be granted the grant of probate?</w:t>
      </w:r>
    </w:p>
    <w:p w:rsidR="00CC5F7A" w:rsidRDefault="00CC5F7A">
      <w:pPr>
        <w:spacing w:after="240" w:line="360" w:lineRule="auto"/>
        <w:jc w:val="both"/>
        <w:rPr>
          <w:rFonts w:ascii="Times New Roman" w:eastAsia="Times New Roman" w:hAnsi="Times New Roman" w:cs="Times New Roman"/>
          <w:b/>
          <w:sz w:val="24"/>
          <w:szCs w:val="24"/>
          <w:u w:val="single"/>
        </w:rPr>
      </w:pPr>
    </w:p>
    <w:p w:rsidR="00CC5F7A" w:rsidRPr="00871940" w:rsidRDefault="00C038FF">
      <w:pPr>
        <w:spacing w:after="240" w:line="360" w:lineRule="auto"/>
        <w:jc w:val="both"/>
        <w:rPr>
          <w:rFonts w:ascii="Times New Roman" w:eastAsia="Times New Roman" w:hAnsi="Times New Roman" w:cs="Times New Roman"/>
          <w:b/>
          <w:sz w:val="28"/>
          <w:szCs w:val="28"/>
          <w:u w:val="single"/>
        </w:rPr>
      </w:pPr>
      <w:r w:rsidRPr="00871940">
        <w:rPr>
          <w:rFonts w:ascii="Times New Roman" w:eastAsia="Times New Roman" w:hAnsi="Times New Roman" w:cs="Times New Roman"/>
          <w:b/>
          <w:sz w:val="28"/>
          <w:szCs w:val="28"/>
          <w:u w:val="single"/>
        </w:rPr>
        <w:t>LAWS APPLICABLE</w:t>
      </w:r>
    </w:p>
    <w:p w:rsidR="00CC5F7A" w:rsidRDefault="00C038F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determining the laws applicable in this scenario, the main consideration was that all the parties profess the Muslim faith.</w:t>
      </w:r>
    </w:p>
    <w:p w:rsidR="00CC5F7A" w:rsidRDefault="00C038FF">
      <w:pPr>
        <w:numPr>
          <w:ilvl w:val="0"/>
          <w:numId w:val="8"/>
        </w:num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Law of Succession Act, 1981.</w:t>
      </w:r>
    </w:p>
    <w:p w:rsidR="00CC5F7A" w:rsidRDefault="001079F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Section </w:t>
      </w:r>
      <w:r w:rsidR="00C038FF">
        <w:rPr>
          <w:rFonts w:ascii="Times New Roman" w:eastAsia="Times New Roman" w:hAnsi="Times New Roman" w:cs="Times New Roman"/>
          <w:sz w:val="24"/>
          <w:szCs w:val="24"/>
        </w:rPr>
        <w:t>2, this Act has universal application to all persons dying testate or intestate except otherwise expressly stated by this Act or other written law of Kenya. Section 2 (3) excludes testamentary and intestate succession of estates belonging to Muslims in its application. However, subsection 4 states that part VII of the Act applies to Muslims dying on, before or after 1</w:t>
      </w:r>
      <w:r w:rsidR="00C038FF">
        <w:rPr>
          <w:rFonts w:ascii="Times New Roman" w:eastAsia="Times New Roman" w:hAnsi="Times New Roman" w:cs="Times New Roman"/>
          <w:sz w:val="24"/>
          <w:szCs w:val="24"/>
          <w:vertAlign w:val="superscript"/>
        </w:rPr>
        <w:t>st</w:t>
      </w:r>
      <w:r w:rsidR="00C038FF">
        <w:rPr>
          <w:rFonts w:ascii="Times New Roman" w:eastAsia="Times New Roman" w:hAnsi="Times New Roman" w:cs="Times New Roman"/>
          <w:sz w:val="24"/>
          <w:szCs w:val="24"/>
        </w:rPr>
        <w:t xml:space="preserve"> January 1991 as long as it is not inconsistent with Muslim law. According to </w:t>
      </w:r>
      <w:r w:rsidR="00C038FF">
        <w:rPr>
          <w:rFonts w:ascii="Times New Roman" w:eastAsia="Times New Roman" w:hAnsi="Times New Roman" w:cs="Times New Roman"/>
          <w:b/>
          <w:i/>
          <w:sz w:val="24"/>
          <w:szCs w:val="24"/>
        </w:rPr>
        <w:t>MustaqAlimohamed</w:t>
      </w:r>
      <w:r>
        <w:rPr>
          <w:rFonts w:ascii="Times New Roman" w:eastAsia="Times New Roman" w:hAnsi="Times New Roman" w:cs="Times New Roman"/>
          <w:b/>
          <w:i/>
          <w:sz w:val="24"/>
          <w:szCs w:val="24"/>
        </w:rPr>
        <w:t xml:space="preserve"> </w:t>
      </w:r>
      <w:r w:rsidR="00C038FF">
        <w:rPr>
          <w:rFonts w:ascii="Times New Roman" w:eastAsia="Times New Roman" w:hAnsi="Times New Roman" w:cs="Times New Roman"/>
          <w:b/>
          <w:i/>
          <w:sz w:val="24"/>
          <w:szCs w:val="24"/>
        </w:rPr>
        <w:t>v Mohamed Iqbal Mohamed &amp; 2 others [2020] eKLR, para 21</w:t>
      </w:r>
      <w:r w:rsidR="00C038FF">
        <w:rPr>
          <w:rFonts w:ascii="Times New Roman" w:eastAsia="Times New Roman" w:hAnsi="Times New Roman" w:cs="Times New Roman"/>
          <w:i/>
          <w:sz w:val="24"/>
          <w:szCs w:val="24"/>
        </w:rPr>
        <w:t>,</w:t>
      </w:r>
      <w:r w:rsidR="00C038FF">
        <w:rPr>
          <w:rFonts w:ascii="Times New Roman" w:eastAsia="Times New Roman" w:hAnsi="Times New Roman" w:cs="Times New Roman"/>
          <w:sz w:val="24"/>
          <w:szCs w:val="24"/>
        </w:rPr>
        <w:t xml:space="preserve"> Part VII applies to Muslims because it contains the procedures of administration. In other words, the substantive part of the Law of Succession Act does not apply to Muslims.</w:t>
      </w:r>
    </w:p>
    <w:p w:rsidR="00CC5F7A" w:rsidRDefault="00C038FF">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Section 50 of the Act gives the Chief justice power in consultation with the Chief Kadhi to make rules of court regarding the estate of a deceased Muslim. These rules are in section 164 of The Kadhi Court Rules of Procedure 2020. Appeals from the Kadhi’s Court can be entertained by the High Court. Thereafter, appeals to the court of appeal can only be heard after obtaining leave and if the issue is a point of Muslim Law. This is highlighted </w:t>
      </w:r>
      <w:r>
        <w:rPr>
          <w:rFonts w:ascii="Times New Roman" w:eastAsia="Times New Roman" w:hAnsi="Times New Roman" w:cs="Times New Roman"/>
          <w:b/>
          <w:i/>
          <w:sz w:val="24"/>
          <w:szCs w:val="24"/>
        </w:rPr>
        <w:t>in the matter of Habakkuk Ochieng Adede Nairobi HCSC no 71OF 2000.</w:t>
      </w:r>
    </w:p>
    <w:p w:rsidR="00CC5F7A" w:rsidRDefault="00C038FF">
      <w:pPr>
        <w:numPr>
          <w:ilvl w:val="0"/>
          <w:numId w:val="1"/>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·The Constitution of Kenya, 2010</w:t>
      </w:r>
    </w:p>
    <w:p w:rsidR="00CC5F7A" w:rsidRDefault="00C038F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preamble of the Constitution of Kenya states that we the people of Kenya are proud of our religious diversity. Article 2 of the Constitution states that it is the supreme law and binds all persons. Article 24 on the limitations of fundamental rights subsection 4 states that the provisions of the chapter shall be qualified to the extent strictly necessary for the application of Muslim law before Kadhi’s court.</w:t>
      </w:r>
    </w:p>
    <w:p w:rsidR="00CC5F7A" w:rsidRDefault="00C038FF">
      <w:pPr>
        <w:numPr>
          <w:ilvl w:val="0"/>
          <w:numId w:val="11"/>
        </w:num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Kadhi’s Court Act.</w:t>
      </w:r>
    </w:p>
    <w:p w:rsidR="00CC5F7A" w:rsidRDefault="00C038F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Section 5 of the Act states that the Kadhi’s court shall exercise jurisdiction in matters involving determination of Muslim law relating to personal status, marriage, divorce and inheritance. This jurisdiction can only be exercised in instances where all parties profess the Islamic religion.</w:t>
      </w:r>
    </w:p>
    <w:p w:rsidR="00CC5F7A" w:rsidRDefault="00C038F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Kadhi’s court shall have and exercise the following jurisdiction, namely the determination of questions of Muslim law relating to personal status, marriage, divorce or inheritance in proceedings in which all the parties profess the Muslim religion; but nothing in this section shall limit the jurisdiction of the High Court or of any subordinate court in any proceeding which comes before it.”</w:t>
      </w:r>
    </w:p>
    <w:p w:rsidR="00CC5F7A" w:rsidRDefault="00C038F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In Fatuma Arnab Mohamed Haji &amp; 5 others v Asha Abdullahi &amp; 3 others [2018] eKLR,para 25</w:t>
      </w:r>
      <w:r>
        <w:rPr>
          <w:rFonts w:ascii="Times New Roman" w:eastAsia="Times New Roman" w:hAnsi="Times New Roman" w:cs="Times New Roman"/>
          <w:sz w:val="24"/>
          <w:szCs w:val="24"/>
        </w:rPr>
        <w:t>, the Kadhi’s court ruled that it has the jurisdiction to deal with cases of inheritance whether or not the deceased left a will and irrespective of the value of the estate.</w:t>
      </w:r>
    </w:p>
    <w:p w:rsidR="00CC5F7A" w:rsidRDefault="00C038F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re Estate of CCBH (Deceased) (2017) eKLR, the Court stated that as long as the estate belongs to a deceased muslim and section 2 (3) of the Law of Succession applies, its hands are tied. Meaning it can only use Islamic Laws.</w:t>
      </w:r>
    </w:p>
    <w:p w:rsidR="00CC5F7A" w:rsidRDefault="00C038F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in the case of </w:t>
      </w:r>
      <w:r>
        <w:rPr>
          <w:rFonts w:ascii="Times New Roman" w:eastAsia="Times New Roman" w:hAnsi="Times New Roman" w:cs="Times New Roman"/>
          <w:b/>
          <w:i/>
          <w:sz w:val="24"/>
          <w:szCs w:val="24"/>
        </w:rPr>
        <w:t>NAZIMA JANMOHAMMED NASSAR VS  NASREEN KAUSER [2015] eKLR</w:t>
      </w:r>
      <w:r w:rsidR="00113B66">
        <w:rPr>
          <w:rFonts w:ascii="Times New Roman" w:eastAsia="Times New Roman" w:hAnsi="Times New Roman" w:cs="Times New Roman"/>
          <w:b/>
          <w:i/>
          <w:sz w:val="24"/>
          <w:szCs w:val="24"/>
        </w:rPr>
        <w:t>,</w:t>
      </w:r>
      <w:r>
        <w:rPr>
          <w:rFonts w:ascii="Times New Roman" w:eastAsia="Times New Roman" w:hAnsi="Times New Roman" w:cs="Times New Roman"/>
          <w:sz w:val="24"/>
          <w:szCs w:val="24"/>
        </w:rPr>
        <w:t xml:space="preserve"> the court cited the  court of appeal case of </w:t>
      </w:r>
      <w:r>
        <w:rPr>
          <w:rFonts w:ascii="Times New Roman" w:eastAsia="Times New Roman" w:hAnsi="Times New Roman" w:cs="Times New Roman"/>
          <w:b/>
          <w:i/>
          <w:sz w:val="24"/>
          <w:szCs w:val="24"/>
        </w:rPr>
        <w:t xml:space="preserve">RE ESTATE OF ISMAI OSMAN  ADAM (DECEASED), NOORBANU ABDUL RAZAK VS  ABDULKADER ISMAIL OSMAN, MOMBASA CIVIL  APPEAL NO. </w:t>
      </w:r>
      <w:r w:rsidR="007A5C67">
        <w:rPr>
          <w:rFonts w:ascii="Times New Roman" w:eastAsia="Times New Roman" w:hAnsi="Times New Roman" w:cs="Times New Roman"/>
          <w:b/>
          <w:i/>
          <w:sz w:val="24"/>
          <w:szCs w:val="24"/>
        </w:rPr>
        <w:t xml:space="preserve">285 OF 2009  </w:t>
      </w:r>
      <w:r w:rsidR="007A5C67">
        <w:rPr>
          <w:rFonts w:ascii="Times New Roman" w:eastAsia="Times New Roman" w:hAnsi="Times New Roman" w:cs="Times New Roman"/>
          <w:sz w:val="24"/>
          <w:szCs w:val="24"/>
        </w:rPr>
        <w:t xml:space="preserve"> where the court ruled that it  is the choice of Muslim parties to submit to a Kadhi’s court or to file succession proceedings in the High Court.</w:t>
      </w:r>
    </w:p>
    <w:p w:rsidR="00CC5F7A" w:rsidRDefault="00C038F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court of appeal further stated that </w:t>
      </w:r>
      <w:r>
        <w:rPr>
          <w:rFonts w:ascii="Times New Roman" w:eastAsia="Times New Roman" w:hAnsi="Times New Roman" w:cs="Times New Roman"/>
          <w:i/>
          <w:sz w:val="18"/>
          <w:szCs w:val="18"/>
        </w:rPr>
        <w:t>“</w:t>
      </w:r>
      <w:r>
        <w:rPr>
          <w:rFonts w:ascii="Times New Roman" w:eastAsia="Times New Roman" w:hAnsi="Times New Roman" w:cs="Times New Roman"/>
          <w:i/>
          <w:sz w:val="24"/>
          <w:szCs w:val="24"/>
        </w:rPr>
        <w:t>There should not be any confusion between the jurisdiction of the High Court to entertain a dispute relating to testamentary or intestate succession to estates of Muslims and the substantive law applicable in the High Court in such disputes.......however if the High Court assumes jurisdiction to the estate of a deceased Muslim, then by virtue of section 2(3) of the Law of Succession Act, the law applicable in the High Court as to the devolution of the estate is the Muslim law and not the law of succession law. As an example, disputes relating to the validity of a will made by a Muslim and ascertainment of heirs and shares of each will be determined in accordance with Muslim law.....”</w:t>
      </w:r>
    </w:p>
    <w:p w:rsidR="00CC5F7A" w:rsidRDefault="00C038FF">
      <w:pPr>
        <w:numPr>
          <w:ilvl w:val="0"/>
          <w:numId w:val="9"/>
        </w:num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Islamic Law.</w:t>
      </w:r>
    </w:p>
    <w:p w:rsidR="00CC5F7A" w:rsidRDefault="00C038FF">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Judicature Act of Kenya under section 3 highlights the sources of law in Kenya to include; the Constitution, Acts of parliament, Precedents, Common Law, Equity, Customs, Hindu rites and Islamic Law.</w:t>
      </w:r>
    </w:p>
    <w:p w:rsidR="00CC5F7A" w:rsidRDefault="00C038FF">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In cases of inheritance, although the court does not state it expressly, the formula used for the distribution of property is contained in the Quran specifically in chapter 4 verses 11 and 12. This was stated in </w:t>
      </w:r>
      <w:r>
        <w:rPr>
          <w:rFonts w:ascii="Times New Roman" w:eastAsia="Times New Roman" w:hAnsi="Times New Roman" w:cs="Times New Roman"/>
          <w:b/>
          <w:sz w:val="24"/>
          <w:szCs w:val="24"/>
        </w:rPr>
        <w:t>re Estate of Mohamed Kinango</w:t>
      </w:r>
      <w:r w:rsidR="00113B6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Kitonyo (Deceased) [2019] eKLR, para 1.</w:t>
      </w:r>
    </w:p>
    <w:p w:rsidR="00CC5F7A" w:rsidRPr="00871940" w:rsidRDefault="00C038FF">
      <w:pPr>
        <w:spacing w:before="240" w:after="240" w:line="360" w:lineRule="auto"/>
        <w:jc w:val="both"/>
        <w:rPr>
          <w:rFonts w:ascii="Times New Roman" w:eastAsia="Times New Roman" w:hAnsi="Times New Roman" w:cs="Times New Roman"/>
          <w:b/>
          <w:sz w:val="28"/>
          <w:szCs w:val="28"/>
        </w:rPr>
      </w:pPr>
      <w:r w:rsidRPr="00871940">
        <w:rPr>
          <w:rFonts w:ascii="Times New Roman" w:eastAsia="Times New Roman" w:hAnsi="Times New Roman" w:cs="Times New Roman"/>
          <w:b/>
          <w:sz w:val="28"/>
          <w:szCs w:val="28"/>
        </w:rPr>
        <w:t>ANALYSIS</w:t>
      </w:r>
      <w:r w:rsidR="00113B66" w:rsidRPr="00871940">
        <w:rPr>
          <w:rFonts w:ascii="Times New Roman" w:eastAsia="Times New Roman" w:hAnsi="Times New Roman" w:cs="Times New Roman"/>
          <w:b/>
          <w:sz w:val="28"/>
          <w:szCs w:val="28"/>
        </w:rPr>
        <w:t xml:space="preserve"> OF THE ISSUES.</w:t>
      </w:r>
    </w:p>
    <w:p w:rsidR="00CC5F7A" w:rsidRPr="00871940" w:rsidRDefault="00C038FF">
      <w:pPr>
        <w:numPr>
          <w:ilvl w:val="0"/>
          <w:numId w:val="7"/>
        </w:numPr>
        <w:spacing w:line="360" w:lineRule="auto"/>
        <w:jc w:val="both"/>
        <w:rPr>
          <w:rFonts w:ascii="Times New Roman" w:eastAsia="Times New Roman" w:hAnsi="Times New Roman" w:cs="Times New Roman"/>
          <w:b/>
          <w:sz w:val="28"/>
          <w:szCs w:val="28"/>
          <w:highlight w:val="white"/>
        </w:rPr>
      </w:pPr>
      <w:r w:rsidRPr="00871940">
        <w:rPr>
          <w:rFonts w:ascii="Times New Roman" w:eastAsia="Times New Roman" w:hAnsi="Times New Roman" w:cs="Times New Roman"/>
          <w:b/>
          <w:sz w:val="28"/>
          <w:szCs w:val="28"/>
          <w:highlight w:val="white"/>
          <w:u w:val="single"/>
        </w:rPr>
        <w:t>WHETHER THE WILL IS VALID</w:t>
      </w:r>
      <w:r w:rsidRPr="00871940">
        <w:rPr>
          <w:rFonts w:ascii="Times New Roman" w:eastAsia="Times New Roman" w:hAnsi="Times New Roman" w:cs="Times New Roman"/>
          <w:b/>
          <w:color w:val="000000"/>
          <w:sz w:val="28"/>
          <w:szCs w:val="28"/>
          <w:highlight w:val="white"/>
          <w:u w:val="single"/>
        </w:rPr>
        <w:t> </w:t>
      </w:r>
    </w:p>
    <w:p w:rsidR="00CC5F7A" w:rsidRDefault="00C038FF">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question as to the validity of a will can be answered by testing it against the provisions of I</w:t>
      </w:r>
      <w:r w:rsidR="001079FE">
        <w:rPr>
          <w:rFonts w:ascii="Times New Roman" w:eastAsia="Times New Roman" w:hAnsi="Times New Roman" w:cs="Times New Roman"/>
          <w:sz w:val="24"/>
          <w:szCs w:val="24"/>
          <w:highlight w:val="white"/>
        </w:rPr>
        <w:t xml:space="preserve">slamic Sharia. Section 2(3) of </w:t>
      </w:r>
      <w:r>
        <w:rPr>
          <w:rFonts w:ascii="Times New Roman" w:eastAsia="Times New Roman" w:hAnsi="Times New Roman" w:cs="Times New Roman"/>
          <w:sz w:val="24"/>
          <w:szCs w:val="24"/>
          <w:highlight w:val="white"/>
        </w:rPr>
        <w:t>Law of Succession Act provides, “the provision of this Act shall not apply to testamentary or intestate succession to the estate of any person who at the time of his death is a Muslim to the intent that in lieu of such provisions the devolution of the estate of any such person shall be governed by Muslim law.” Where matters relating to an estate of the deceased are filed in the High Court, the applicable law shall be Muslim law.</w:t>
      </w:r>
      <w:r w:rsidR="00113B66">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As an example, disputes relating to the validity of a will made by a muslim and ascertainment of heirs and shares will be determined in accordance with muslim law.”</w:t>
      </w:r>
    </w:p>
    <w:p w:rsidR="00CC5F7A" w:rsidRDefault="00C038FF">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According to the case of </w:t>
      </w:r>
      <w:r>
        <w:rPr>
          <w:rFonts w:ascii="Times New Roman" w:eastAsia="Times New Roman" w:hAnsi="Times New Roman" w:cs="Times New Roman"/>
          <w:b/>
          <w:i/>
          <w:sz w:val="24"/>
          <w:szCs w:val="24"/>
          <w:highlight w:val="white"/>
        </w:rPr>
        <w:t>Noorbanu</w:t>
      </w:r>
      <w:r w:rsidR="001079FE">
        <w:rPr>
          <w:rFonts w:ascii="Times New Roman" w:eastAsia="Times New Roman" w:hAnsi="Times New Roman" w:cs="Times New Roman"/>
          <w:b/>
          <w:i/>
          <w:sz w:val="24"/>
          <w:szCs w:val="24"/>
          <w:highlight w:val="white"/>
        </w:rPr>
        <w:t xml:space="preserve"> </w:t>
      </w:r>
      <w:r>
        <w:rPr>
          <w:rFonts w:ascii="Times New Roman" w:eastAsia="Times New Roman" w:hAnsi="Times New Roman" w:cs="Times New Roman"/>
          <w:b/>
          <w:i/>
          <w:sz w:val="24"/>
          <w:szCs w:val="24"/>
          <w:highlight w:val="white"/>
        </w:rPr>
        <w:t>Abdulrazak v Abdulkader Ismail Osman 2017 eKLR</w:t>
      </w:r>
      <w:r w:rsidR="001079FE">
        <w:rPr>
          <w:rFonts w:ascii="Times New Roman" w:eastAsia="Times New Roman" w:hAnsi="Times New Roman" w:cs="Times New Roman"/>
          <w:sz w:val="24"/>
          <w:szCs w:val="24"/>
          <w:highlight w:val="white"/>
        </w:rPr>
        <w:t>, a</w:t>
      </w:r>
      <w:r>
        <w:rPr>
          <w:rFonts w:ascii="Times New Roman" w:eastAsia="Times New Roman" w:hAnsi="Times New Roman" w:cs="Times New Roman"/>
          <w:sz w:val="24"/>
          <w:szCs w:val="24"/>
          <w:highlight w:val="white"/>
        </w:rPr>
        <w:t xml:space="preserve"> muslim is barred by Islamic Sharia from disposing by will more than a ⅓ of his estate to third parties who are not heirs. This is to ensure a balance between giving his property to whoever he wishes and his obligation to his heirs. The heirs of a muslim are assured of a minimum of ⅔ of his estate and any bequests exceeding ⅓ of a muslim’s estate is not valid. It is also important in testing the validity of a will, a muslim may not make a bequest in his will in favour of a legal heir. This is because Allah legislated fixed shares for legal heirs.   </w:t>
      </w:r>
    </w:p>
    <w:p w:rsidR="00CC5F7A" w:rsidRPr="0033481C" w:rsidRDefault="00C038FF">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w:t>
      </w:r>
      <w:r>
        <w:rPr>
          <w:rFonts w:ascii="Times New Roman" w:eastAsia="Times New Roman" w:hAnsi="Times New Roman" w:cs="Times New Roman"/>
          <w:b/>
          <w:i/>
          <w:sz w:val="24"/>
          <w:szCs w:val="24"/>
          <w:highlight w:val="white"/>
        </w:rPr>
        <w:t>Saifudean</w:t>
      </w:r>
      <w:r w:rsidR="00113B66">
        <w:rPr>
          <w:rFonts w:ascii="Times New Roman" w:eastAsia="Times New Roman" w:hAnsi="Times New Roman" w:cs="Times New Roman"/>
          <w:b/>
          <w:i/>
          <w:sz w:val="24"/>
          <w:szCs w:val="24"/>
          <w:highlight w:val="white"/>
        </w:rPr>
        <w:t xml:space="preserve"> </w:t>
      </w:r>
      <w:r>
        <w:rPr>
          <w:rFonts w:ascii="Times New Roman" w:eastAsia="Times New Roman" w:hAnsi="Times New Roman" w:cs="Times New Roman"/>
          <w:b/>
          <w:i/>
          <w:sz w:val="24"/>
          <w:szCs w:val="24"/>
          <w:highlight w:val="white"/>
        </w:rPr>
        <w:t>Mohamedali</w:t>
      </w:r>
      <w:r w:rsidR="00113B66">
        <w:rPr>
          <w:rFonts w:ascii="Times New Roman" w:eastAsia="Times New Roman" w:hAnsi="Times New Roman" w:cs="Times New Roman"/>
          <w:b/>
          <w:i/>
          <w:sz w:val="24"/>
          <w:szCs w:val="24"/>
          <w:highlight w:val="white"/>
        </w:rPr>
        <w:t xml:space="preserve"> </w:t>
      </w:r>
      <w:r>
        <w:rPr>
          <w:rFonts w:ascii="Times New Roman" w:eastAsia="Times New Roman" w:hAnsi="Times New Roman" w:cs="Times New Roman"/>
          <w:b/>
          <w:i/>
          <w:sz w:val="24"/>
          <w:szCs w:val="24"/>
          <w:highlight w:val="white"/>
        </w:rPr>
        <w:t>Noorbhai v Shehnaz</w:t>
      </w:r>
      <w:r w:rsidR="00113B66">
        <w:rPr>
          <w:rFonts w:ascii="Times New Roman" w:eastAsia="Times New Roman" w:hAnsi="Times New Roman" w:cs="Times New Roman"/>
          <w:b/>
          <w:i/>
          <w:sz w:val="24"/>
          <w:szCs w:val="24"/>
          <w:highlight w:val="white"/>
        </w:rPr>
        <w:t xml:space="preserve"> </w:t>
      </w:r>
      <w:r>
        <w:rPr>
          <w:rFonts w:ascii="Times New Roman" w:eastAsia="Times New Roman" w:hAnsi="Times New Roman" w:cs="Times New Roman"/>
          <w:b/>
          <w:i/>
          <w:sz w:val="24"/>
          <w:szCs w:val="24"/>
          <w:highlight w:val="white"/>
        </w:rPr>
        <w:t>Abdehusein</w:t>
      </w:r>
      <w:r w:rsidR="00113B66">
        <w:rPr>
          <w:rFonts w:ascii="Times New Roman" w:eastAsia="Times New Roman" w:hAnsi="Times New Roman" w:cs="Times New Roman"/>
          <w:b/>
          <w:i/>
          <w:sz w:val="24"/>
          <w:szCs w:val="24"/>
          <w:highlight w:val="white"/>
        </w:rPr>
        <w:t xml:space="preserve"> Adamji</w:t>
      </w:r>
      <w:r>
        <w:rPr>
          <w:rFonts w:ascii="Times New Roman" w:eastAsia="Times New Roman" w:hAnsi="Times New Roman" w:cs="Times New Roman"/>
          <w:b/>
          <w:i/>
          <w:sz w:val="24"/>
          <w:szCs w:val="24"/>
          <w:highlight w:val="white"/>
        </w:rPr>
        <w:t xml:space="preserve"> </w:t>
      </w:r>
      <w:r w:rsidR="00113B66">
        <w:rPr>
          <w:rFonts w:ascii="Times New Roman" w:eastAsia="Times New Roman" w:hAnsi="Times New Roman" w:cs="Times New Roman"/>
          <w:b/>
          <w:i/>
          <w:sz w:val="24"/>
          <w:szCs w:val="24"/>
          <w:highlight w:val="white"/>
        </w:rPr>
        <w:t>(</w:t>
      </w:r>
      <w:r>
        <w:rPr>
          <w:rFonts w:ascii="Times New Roman" w:eastAsia="Times New Roman" w:hAnsi="Times New Roman" w:cs="Times New Roman"/>
          <w:b/>
          <w:i/>
          <w:sz w:val="24"/>
          <w:szCs w:val="24"/>
          <w:highlight w:val="white"/>
        </w:rPr>
        <w:t>2011</w:t>
      </w:r>
      <w:r w:rsidR="00113B66">
        <w:rPr>
          <w:rFonts w:ascii="Times New Roman" w:eastAsia="Times New Roman" w:hAnsi="Times New Roman" w:cs="Times New Roman"/>
          <w:b/>
          <w:i/>
          <w:sz w:val="24"/>
          <w:szCs w:val="24"/>
          <w:highlight w:val="white"/>
        </w:rPr>
        <w:t>)eKLR,</w:t>
      </w:r>
      <w:r>
        <w:rPr>
          <w:rFonts w:ascii="Times New Roman" w:eastAsia="Times New Roman" w:hAnsi="Times New Roman" w:cs="Times New Roman"/>
          <w:b/>
          <w:i/>
          <w:sz w:val="24"/>
          <w:szCs w:val="24"/>
          <w:highlight w:val="white"/>
        </w:rPr>
        <w:t xml:space="preserve"> </w:t>
      </w:r>
      <w:r w:rsidR="00113B66">
        <w:rPr>
          <w:rFonts w:ascii="Times New Roman" w:eastAsia="Times New Roman" w:hAnsi="Times New Roman" w:cs="Times New Roman"/>
          <w:sz w:val="24"/>
          <w:szCs w:val="24"/>
          <w:highlight w:val="white"/>
        </w:rPr>
        <w:t>t</w:t>
      </w:r>
      <w:r>
        <w:rPr>
          <w:rFonts w:ascii="Times New Roman" w:eastAsia="Times New Roman" w:hAnsi="Times New Roman" w:cs="Times New Roman"/>
          <w:sz w:val="24"/>
          <w:szCs w:val="24"/>
          <w:highlight w:val="white"/>
        </w:rPr>
        <w:t xml:space="preserve">he deceased, who did not have a child, bequeathed all his estate to his wife. His cousin argued that this was contrary to the Islamic law principle of representation, He argued that he was entitled to two-thirds of the deceased's estate. However, the wife argued that the deceased deliberately excluded his cousins from his will and that that is permissible in Islamic law. In this case, the deceased did not choose to make disposition by reference to the Muslim law or </w:t>
      </w:r>
      <w:r>
        <w:rPr>
          <w:rFonts w:ascii="Times New Roman" w:eastAsia="Times New Roman" w:hAnsi="Times New Roman" w:cs="Times New Roman"/>
          <w:sz w:val="24"/>
          <w:szCs w:val="24"/>
          <w:highlight w:val="white"/>
        </w:rPr>
        <w:lastRenderedPageBreak/>
        <w:t>the law of any religion. One of the issues the court was asked to determine was whether the deceased intended to dispose of his estate according to the Muslim law. The court found that the document of the wi</w:t>
      </w:r>
      <w:r w:rsidR="0033481C">
        <w:rPr>
          <w:rFonts w:ascii="Times New Roman" w:eastAsia="Times New Roman" w:hAnsi="Times New Roman" w:cs="Times New Roman"/>
          <w:sz w:val="24"/>
          <w:szCs w:val="24"/>
          <w:highlight w:val="white"/>
        </w:rPr>
        <w:t>ll did not indicate so and</w:t>
      </w:r>
      <w:r>
        <w:rPr>
          <w:rFonts w:ascii="Times New Roman" w:eastAsia="Times New Roman" w:hAnsi="Times New Roman" w:cs="Times New Roman"/>
          <w:sz w:val="24"/>
          <w:szCs w:val="24"/>
          <w:highlight w:val="white"/>
        </w:rPr>
        <w:t xml:space="preserve"> in modern times people do change their faith, or adopt a way of life which may not strictly conform to their faith. The court ruled that the Law of Succession Act, was applicable to the disposition of the estate of the deceased and upheld the validity of the </w:t>
      </w:r>
      <w:r w:rsidR="0033481C">
        <w:rPr>
          <w:rFonts w:ascii="Times New Roman" w:eastAsia="Times New Roman" w:hAnsi="Times New Roman" w:cs="Times New Roman"/>
          <w:sz w:val="24"/>
          <w:szCs w:val="24"/>
          <w:highlight w:val="white"/>
        </w:rPr>
        <w:t xml:space="preserve">will according to section 5(i) </w:t>
      </w:r>
      <w:r>
        <w:rPr>
          <w:rFonts w:ascii="Times New Roman" w:eastAsia="Times New Roman" w:hAnsi="Times New Roman" w:cs="Times New Roman"/>
          <w:sz w:val="24"/>
          <w:szCs w:val="24"/>
          <w:highlight w:val="white"/>
        </w:rPr>
        <w:t xml:space="preserve">which </w:t>
      </w:r>
      <w:r w:rsidR="0033481C">
        <w:rPr>
          <w:rFonts w:ascii="Times New Roman" w:eastAsia="Times New Roman" w:hAnsi="Times New Roman" w:cs="Times New Roman"/>
          <w:sz w:val="24"/>
          <w:szCs w:val="24"/>
          <w:highlight w:val="white"/>
        </w:rPr>
        <w:t xml:space="preserve">provides that any person who is </w:t>
      </w:r>
      <w:r>
        <w:rPr>
          <w:rFonts w:ascii="Times New Roman" w:eastAsia="Times New Roman" w:hAnsi="Times New Roman" w:cs="Times New Roman"/>
          <w:sz w:val="24"/>
          <w:szCs w:val="24"/>
          <w:highlight w:val="white"/>
        </w:rPr>
        <w:t xml:space="preserve">of sound mind and not a minor is free to dispose of all of his/her property by will, </w:t>
      </w:r>
      <w:r w:rsidR="0033481C">
        <w:rPr>
          <w:rFonts w:ascii="Times New Roman" w:eastAsia="Times New Roman" w:hAnsi="Times New Roman" w:cs="Times New Roman"/>
          <w:sz w:val="24"/>
          <w:szCs w:val="24"/>
          <w:highlight w:val="white"/>
        </w:rPr>
        <w:t xml:space="preserve">and may </w:t>
      </w:r>
      <w:r>
        <w:rPr>
          <w:rFonts w:ascii="Times New Roman" w:eastAsia="Times New Roman" w:hAnsi="Times New Roman" w:cs="Times New Roman"/>
          <w:sz w:val="24"/>
          <w:szCs w:val="24"/>
          <w:highlight w:val="white"/>
        </w:rPr>
        <w:t>make any disposition by reference to any secular or religious law of his or her choice. In addition the court stated that in construing wills, the courts give effect, as far as possible, to the intention of the testator indirectly.</w:t>
      </w:r>
    </w:p>
    <w:p w:rsidR="00CC5F7A" w:rsidRDefault="00CC5F7A">
      <w:pPr>
        <w:spacing w:line="360" w:lineRule="auto"/>
        <w:jc w:val="both"/>
        <w:rPr>
          <w:rFonts w:ascii="Times New Roman" w:eastAsia="Times New Roman" w:hAnsi="Times New Roman" w:cs="Times New Roman"/>
          <w:sz w:val="24"/>
          <w:szCs w:val="24"/>
          <w:highlight w:val="white"/>
        </w:rPr>
      </w:pPr>
    </w:p>
    <w:p w:rsidR="00CC5F7A" w:rsidRPr="00871940" w:rsidRDefault="00C038FF">
      <w:pPr>
        <w:numPr>
          <w:ilvl w:val="0"/>
          <w:numId w:val="7"/>
        </w:num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871940">
        <w:rPr>
          <w:rFonts w:ascii="Times New Roman" w:eastAsia="Times New Roman" w:hAnsi="Times New Roman" w:cs="Times New Roman"/>
          <w:b/>
          <w:color w:val="000000"/>
          <w:sz w:val="28"/>
          <w:szCs w:val="28"/>
          <w:u w:val="single"/>
        </w:rPr>
        <w:t>WHETHER THE ILLEGITIMATE CHILD IS ENTITLED TO THE PROPERTY.</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law of pare</w:t>
      </w:r>
      <w:r w:rsidR="0033481C">
        <w:rPr>
          <w:rFonts w:ascii="Times New Roman" w:eastAsia="Times New Roman" w:hAnsi="Times New Roman" w:cs="Times New Roman"/>
          <w:sz w:val="24"/>
          <w:szCs w:val="24"/>
        </w:rPr>
        <w:t xml:space="preserve">ntage, including paternity and </w:t>
      </w:r>
      <w:r>
        <w:rPr>
          <w:rFonts w:ascii="Times New Roman" w:eastAsia="Times New Roman" w:hAnsi="Times New Roman" w:cs="Times New Roman"/>
          <w:sz w:val="24"/>
          <w:szCs w:val="24"/>
        </w:rPr>
        <w:t>maternity, is the result of the institution of marriage. Islamic marriage is a contract that provides the parties with husband/wife status and legitimacy over children. Discord gives rise to the concepts of legality and illegality. Unlawful conduct is completely unacceptable and extramarital sex is condemned as illegal and the woman who commits it is held accountable to Zina (fornication).</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Children born of illegal and condemned relationships are considered illegitimate and are not eligible to inherit the property of their father. In fact, Islamic scholars agree that illegitimate children are not inherited, nor do such children inherit. This was illustrated by Etyang J </w:t>
      </w:r>
      <w:r>
        <w:rPr>
          <w:rFonts w:ascii="Times New Roman" w:eastAsia="Times New Roman" w:hAnsi="Times New Roman" w:cs="Times New Roman"/>
          <w:b/>
          <w:i/>
          <w:sz w:val="24"/>
          <w:szCs w:val="24"/>
        </w:rPr>
        <w:t>in</w:t>
      </w:r>
      <w:r w:rsidR="0033481C">
        <w:rPr>
          <w:rFonts w:ascii="Times New Roman" w:eastAsia="Times New Roman" w:hAnsi="Times New Roman" w:cs="Times New Roman"/>
          <w:b/>
          <w:i/>
          <w:sz w:val="24"/>
          <w:szCs w:val="24"/>
        </w:rPr>
        <w:t xml:space="preserve"> </w:t>
      </w:r>
      <w:r>
        <w:rPr>
          <w:rFonts w:ascii="Times New Roman" w:eastAsia="Times New Roman" w:hAnsi="Times New Roman" w:cs="Times New Roman"/>
          <w:b/>
          <w:i/>
          <w:sz w:val="24"/>
          <w:szCs w:val="24"/>
        </w:rPr>
        <w:t>the matter of Chelang</w:t>
      </w:r>
      <w:r w:rsidR="0033481C">
        <w:rPr>
          <w:rFonts w:ascii="Times New Roman" w:eastAsia="Times New Roman" w:hAnsi="Times New Roman" w:cs="Times New Roman"/>
          <w:b/>
          <w:i/>
          <w:sz w:val="24"/>
          <w:szCs w:val="24"/>
        </w:rPr>
        <w:t>’</w:t>
      </w:r>
      <w:r>
        <w:rPr>
          <w:rFonts w:ascii="Times New Roman" w:eastAsia="Times New Roman" w:hAnsi="Times New Roman" w:cs="Times New Roman"/>
          <w:b/>
          <w:i/>
          <w:sz w:val="24"/>
          <w:szCs w:val="24"/>
        </w:rPr>
        <w:t>a Vs Juma [2002</w:t>
      </w: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 xml:space="preserve"> </w:t>
      </w:r>
      <w:r w:rsidR="0033481C">
        <w:rPr>
          <w:rFonts w:ascii="Times New Roman" w:eastAsia="Times New Roman" w:hAnsi="Times New Roman" w:cs="Times New Roman"/>
          <w:b/>
          <w:i/>
          <w:sz w:val="24"/>
          <w:szCs w:val="24"/>
        </w:rPr>
        <w:t>e</w:t>
      </w:r>
      <w:r>
        <w:rPr>
          <w:rFonts w:ascii="Times New Roman" w:eastAsia="Times New Roman" w:hAnsi="Times New Roman" w:cs="Times New Roman"/>
          <w:b/>
          <w:i/>
          <w:sz w:val="24"/>
          <w:szCs w:val="24"/>
        </w:rPr>
        <w:t>KLR</w:t>
      </w:r>
      <w:r w:rsidR="0033481C">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where</w:t>
      </w:r>
      <w:r w:rsidR="003348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High Court held that an illegitimate child does not inherit the estate of his father but is permitted to inherit from his mother.</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b/>
          <w:i/>
          <w:sz w:val="24"/>
          <w:szCs w:val="24"/>
        </w:rPr>
        <w:t>re Estate of CCBH (Deceased) [2017] eKLR</w:t>
      </w:r>
      <w:r w:rsidR="0033481C">
        <w:rPr>
          <w:rFonts w:ascii="Times New Roman" w:eastAsia="Times New Roman" w:hAnsi="Times New Roman" w:cs="Times New Roman"/>
          <w:b/>
          <w:i/>
          <w:sz w:val="24"/>
          <w:szCs w:val="24"/>
        </w:rPr>
        <w:t>,</w:t>
      </w:r>
      <w:r w:rsidR="0033481C">
        <w:rPr>
          <w:rFonts w:ascii="Times New Roman" w:eastAsia="Times New Roman" w:hAnsi="Times New Roman" w:cs="Times New Roman"/>
          <w:sz w:val="24"/>
          <w:szCs w:val="24"/>
        </w:rPr>
        <w:t xml:space="preserve"> t</w:t>
      </w:r>
      <w:r>
        <w:rPr>
          <w:rFonts w:ascii="Times New Roman" w:eastAsia="Times New Roman" w:hAnsi="Times New Roman" w:cs="Times New Roman"/>
          <w:sz w:val="24"/>
          <w:szCs w:val="24"/>
        </w:rPr>
        <w:t xml:space="preserve">he High Court considered whether Islamic law which states that "illegitimate children" and their mother who was not married to the deceased Muslim are ineligible to inherit from their deceased father is unconstitutional because it discriminates against them based on religion and violates their right to property. The Court held that the Constitution does not provide for an absolute right to equality and that Kenyan law allows Muslims to administer their estate in accordance with Islamic </w:t>
      </w:r>
      <w:sdt>
        <w:sdtPr>
          <w:tag w:val="goog_rdk_0"/>
          <w:id w:val="853304723"/>
        </w:sdtPr>
        <w:sdtEndPr/>
        <w:sdtContent/>
      </w:sdt>
      <w:r>
        <w:rPr>
          <w:rFonts w:ascii="Times New Roman" w:eastAsia="Times New Roman" w:hAnsi="Times New Roman" w:cs="Times New Roman"/>
          <w:sz w:val="24"/>
          <w:szCs w:val="24"/>
        </w:rPr>
        <w:t>law.</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b/>
          <w:i/>
          <w:sz w:val="24"/>
          <w:szCs w:val="24"/>
        </w:rPr>
        <w:t>re Estate of IOI (Deceased) [2019] eKLR,</w:t>
      </w:r>
      <w:r>
        <w:rPr>
          <w:rFonts w:ascii="Times New Roman" w:eastAsia="Times New Roman" w:hAnsi="Times New Roman" w:cs="Times New Roman"/>
          <w:sz w:val="24"/>
          <w:szCs w:val="24"/>
        </w:rPr>
        <w:t xml:space="preserve"> the court held that it is obligatory for every Muslim to make a bequeath to take care of his close relatives who are not entitled to inherit because of difference in faith, rules exclusion or simply they are not entitled to inherit </w:t>
      </w:r>
      <w:r>
        <w:rPr>
          <w:rFonts w:ascii="Times New Roman" w:eastAsia="Times New Roman" w:hAnsi="Times New Roman" w:cs="Times New Roman"/>
          <w:sz w:val="24"/>
          <w:szCs w:val="24"/>
        </w:rPr>
        <w:lastRenderedPageBreak/>
        <w:t>him/her. He should provide for him through bequeath whatever he wishes, there is no limit to that. If he does not, the executor or heirs must provide for those relatives from the estate.</w:t>
      </w:r>
    </w:p>
    <w:p w:rsidR="00F82852" w:rsidRPr="00871940" w:rsidRDefault="00871940" w:rsidP="00F82852">
      <w:pPr>
        <w:pStyle w:val="ListParagraph"/>
        <w:numPr>
          <w:ilvl w:val="0"/>
          <w:numId w:val="7"/>
        </w:numPr>
        <w:spacing w:line="360" w:lineRule="auto"/>
        <w:jc w:val="both"/>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 xml:space="preserve">WHETHER THE DECEASED’S BROTHER </w:t>
      </w:r>
      <w:r w:rsidR="00F82852" w:rsidRPr="00871940">
        <w:rPr>
          <w:rFonts w:ascii="Times New Roman" w:eastAsia="Times New Roman" w:hAnsi="Times New Roman" w:cs="Times New Roman"/>
          <w:b/>
          <w:color w:val="000000"/>
          <w:sz w:val="28"/>
          <w:szCs w:val="28"/>
          <w:u w:val="single"/>
        </w:rPr>
        <w:t>KASSIM IS ENTITLED TO THE ESTATE.</w:t>
      </w:r>
    </w:p>
    <w:p w:rsidR="00F82852" w:rsidRDefault="00F82852" w:rsidP="00F8285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Islamic law, during the sharing of the deceased property, the Quranic group is given the first priority. This will include the wife and the children of the deceased.</w:t>
      </w:r>
    </w:p>
    <w:p w:rsidR="00F82852" w:rsidRDefault="00F82852" w:rsidP="00F8285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Quran has outlined guidelines on how the property of the deceased should devolve. The share of the male child is more than that of the female child. If the children are only daughters, each will get two-thirds of the inheritance. If it is only one daughter, she will get a half of the inheritance. In the event the deceased had no children, his parents become his heirs where the mother will get a third of the inheritance.</w:t>
      </w:r>
    </w:p>
    <w:p w:rsidR="00F82852" w:rsidRDefault="00F82852" w:rsidP="00F8285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the </w:t>
      </w:r>
      <w:r>
        <w:rPr>
          <w:rFonts w:ascii="Times New Roman" w:eastAsia="Times New Roman" w:hAnsi="Times New Roman" w:cs="Times New Roman"/>
          <w:b/>
          <w:i/>
          <w:sz w:val="24"/>
          <w:szCs w:val="24"/>
        </w:rPr>
        <w:t xml:space="preserve">Chelang’a vs. Juma (2002), </w:t>
      </w:r>
      <w:r>
        <w:rPr>
          <w:rFonts w:ascii="Times New Roman" w:eastAsia="Times New Roman" w:hAnsi="Times New Roman" w:cs="Times New Roman"/>
          <w:sz w:val="24"/>
          <w:szCs w:val="24"/>
        </w:rPr>
        <w:t>the court was of the opinion that if the deceased is survived by his wife, children and parents, then his surviving brothers and sisters will not be entitled to the estate even if they profess the Islamic faith.</w:t>
      </w:r>
    </w:p>
    <w:p w:rsidR="00F82852" w:rsidRDefault="00F82852" w:rsidP="00F8285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b/>
          <w:i/>
          <w:sz w:val="24"/>
          <w:szCs w:val="24"/>
        </w:rPr>
        <w:t>re Estate of  Juma Badadi Aburoba (deceased) (2019) eKLR</w:t>
      </w:r>
      <w:r>
        <w:rPr>
          <w:rFonts w:ascii="Times New Roman" w:eastAsia="Times New Roman" w:hAnsi="Times New Roman" w:cs="Times New Roman"/>
          <w:sz w:val="24"/>
          <w:szCs w:val="24"/>
        </w:rPr>
        <w:t>, a part of the estate of the deceased is used for payment of debts and if there is a remainder after the Quranic group and parents have inherited their share the rest will be shared to the brothers if any.</w:t>
      </w:r>
    </w:p>
    <w:p w:rsidR="00F82852" w:rsidRDefault="00F82852">
      <w:pPr>
        <w:spacing w:line="360" w:lineRule="auto"/>
        <w:jc w:val="both"/>
        <w:rPr>
          <w:rFonts w:ascii="Times New Roman" w:eastAsia="Times New Roman" w:hAnsi="Times New Roman" w:cs="Times New Roman"/>
          <w:sz w:val="24"/>
          <w:szCs w:val="24"/>
        </w:rPr>
      </w:pPr>
    </w:p>
    <w:p w:rsidR="00CC5F7A" w:rsidRPr="00871940" w:rsidRDefault="00C038FF" w:rsidP="00F82852">
      <w:pPr>
        <w:numPr>
          <w:ilvl w:val="0"/>
          <w:numId w:val="7"/>
        </w:numPr>
        <w:pBdr>
          <w:top w:val="nil"/>
          <w:left w:val="nil"/>
          <w:bottom w:val="nil"/>
          <w:right w:val="nil"/>
          <w:between w:val="nil"/>
        </w:pBdr>
        <w:spacing w:after="160" w:line="360" w:lineRule="auto"/>
        <w:jc w:val="both"/>
        <w:rPr>
          <w:rFonts w:ascii="Times New Roman" w:eastAsia="Times New Roman" w:hAnsi="Times New Roman" w:cs="Times New Roman"/>
          <w:b/>
          <w:sz w:val="28"/>
          <w:szCs w:val="28"/>
        </w:rPr>
      </w:pPr>
      <w:r w:rsidRPr="00871940">
        <w:rPr>
          <w:rFonts w:ascii="Times New Roman" w:eastAsia="Times New Roman" w:hAnsi="Times New Roman" w:cs="Times New Roman"/>
          <w:b/>
          <w:sz w:val="28"/>
          <w:szCs w:val="28"/>
          <w:u w:val="single"/>
        </w:rPr>
        <w:t>W</w:t>
      </w:r>
      <w:r w:rsidRPr="00871940">
        <w:rPr>
          <w:rFonts w:ascii="Times New Roman" w:eastAsia="Times New Roman" w:hAnsi="Times New Roman" w:cs="Times New Roman"/>
          <w:b/>
          <w:color w:val="000000"/>
          <w:sz w:val="28"/>
          <w:szCs w:val="28"/>
          <w:u w:val="single"/>
        </w:rPr>
        <w:t>HETHER SAMIA IS ENTITLED TO THE GRANT OF PROBATE.</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53(a) of the Law of Succession Act provides that a court may issue a grant of probate in respect of the testate estate of the deceased where the will is valid, whether oral or written. The grant of probate is obtained by the executors appointed by the will. On the other hand, section 53(b) provides for grant of letters of administration in respect of the intestate estate of the deceased. Such letters of administration are issued to persons entitled under the rules of intestacy. </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Generally, the concept of appointment of administrators or executors is an alien concept in Islamic law. </w:t>
      </w:r>
      <w:sdt>
        <w:sdtPr>
          <w:tag w:val="goog_rdk_1"/>
          <w:id w:val="-1075356878"/>
        </w:sdtPr>
        <w:sdtEndPr/>
        <w:sdtContent/>
      </w:sdt>
      <w:r>
        <w:rPr>
          <w:rFonts w:ascii="Times New Roman" w:eastAsia="Times New Roman" w:hAnsi="Times New Roman" w:cs="Times New Roman"/>
          <w:sz w:val="24"/>
          <w:szCs w:val="24"/>
        </w:rPr>
        <w:t>The duty of distributing the deceased's Muslim estate vests upon the heirs to the estate immediately after the death of the deceased (William Musyoka, 2010).</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the case of </w:t>
      </w:r>
      <w:r>
        <w:rPr>
          <w:rFonts w:ascii="Times New Roman" w:eastAsia="Times New Roman" w:hAnsi="Times New Roman" w:cs="Times New Roman"/>
          <w:b/>
          <w:i/>
          <w:sz w:val="24"/>
          <w:szCs w:val="24"/>
        </w:rPr>
        <w:t>Administrator General v Abdul Hussein 4 EALR 26 (Hamilton J)</w:t>
      </w:r>
      <w:r>
        <w:rPr>
          <w:rFonts w:ascii="Times New Roman" w:eastAsia="Times New Roman" w:hAnsi="Times New Roman" w:cs="Times New Roman"/>
          <w:sz w:val="24"/>
          <w:szCs w:val="24"/>
        </w:rPr>
        <w:t xml:space="preserve"> stated that it is the duty of administrators to distribute the residue among the deceased's successors who are identified in the Quran and in accordance with shares specified in the scripture. </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case, Husssein's wife, Samia filed for a grant of probate for the estate of her late husband. In regards to the general provisions of Islamic law, the legal heirs of the deceased are in charge of distributing the deceased’s estate, therefore, the legal heirs can be granted the grant of probate. </w:t>
      </w:r>
    </w:p>
    <w:p w:rsidR="00CC5F7A" w:rsidRPr="00F82852" w:rsidRDefault="00C038FF" w:rsidP="00F82852">
      <w:pPr>
        <w:spacing w:line="360" w:lineRule="auto"/>
        <w:jc w:val="both"/>
        <w:rPr>
          <w:rFonts w:ascii="Times New Roman" w:eastAsia="Times New Roman" w:hAnsi="Times New Roman" w:cs="Times New Roman"/>
          <w:sz w:val="24"/>
          <w:szCs w:val="24"/>
        </w:rPr>
      </w:pPr>
      <w:r w:rsidRPr="00F82852">
        <w:rPr>
          <w:rFonts w:ascii="Times New Roman" w:eastAsia="Times New Roman" w:hAnsi="Times New Roman" w:cs="Times New Roman"/>
          <w:sz w:val="24"/>
          <w:szCs w:val="24"/>
        </w:rPr>
        <w:t xml:space="preserve">The general exception laid out in the case of </w:t>
      </w:r>
      <w:r w:rsidRPr="00F82852">
        <w:rPr>
          <w:rFonts w:ascii="Times New Roman" w:eastAsia="Times New Roman" w:hAnsi="Times New Roman" w:cs="Times New Roman"/>
          <w:b/>
          <w:i/>
          <w:sz w:val="24"/>
          <w:szCs w:val="24"/>
          <w:highlight w:val="white"/>
        </w:rPr>
        <w:t>Saifudean</w:t>
      </w:r>
      <w:r w:rsidR="0033481C" w:rsidRPr="00F82852">
        <w:rPr>
          <w:rFonts w:ascii="Times New Roman" w:eastAsia="Times New Roman" w:hAnsi="Times New Roman" w:cs="Times New Roman"/>
          <w:b/>
          <w:i/>
          <w:sz w:val="24"/>
          <w:szCs w:val="24"/>
          <w:highlight w:val="white"/>
        </w:rPr>
        <w:t xml:space="preserve"> </w:t>
      </w:r>
      <w:r w:rsidRPr="00F82852">
        <w:rPr>
          <w:rFonts w:ascii="Times New Roman" w:eastAsia="Times New Roman" w:hAnsi="Times New Roman" w:cs="Times New Roman"/>
          <w:b/>
          <w:i/>
          <w:sz w:val="24"/>
          <w:szCs w:val="24"/>
          <w:highlight w:val="white"/>
        </w:rPr>
        <w:t>Mohamedali</w:t>
      </w:r>
      <w:r w:rsidR="0033481C" w:rsidRPr="00F82852">
        <w:rPr>
          <w:rFonts w:ascii="Times New Roman" w:eastAsia="Times New Roman" w:hAnsi="Times New Roman" w:cs="Times New Roman"/>
          <w:b/>
          <w:i/>
          <w:sz w:val="24"/>
          <w:szCs w:val="24"/>
          <w:highlight w:val="white"/>
        </w:rPr>
        <w:t xml:space="preserve"> </w:t>
      </w:r>
      <w:r w:rsidRPr="00F82852">
        <w:rPr>
          <w:rFonts w:ascii="Times New Roman" w:eastAsia="Times New Roman" w:hAnsi="Times New Roman" w:cs="Times New Roman"/>
          <w:b/>
          <w:i/>
          <w:sz w:val="24"/>
          <w:szCs w:val="24"/>
          <w:highlight w:val="white"/>
        </w:rPr>
        <w:t>Noorbhai v Shehnaz</w:t>
      </w:r>
      <w:r w:rsidR="0033481C" w:rsidRPr="00F82852">
        <w:rPr>
          <w:rFonts w:ascii="Times New Roman" w:eastAsia="Times New Roman" w:hAnsi="Times New Roman" w:cs="Times New Roman"/>
          <w:b/>
          <w:i/>
          <w:sz w:val="24"/>
          <w:szCs w:val="24"/>
          <w:highlight w:val="white"/>
        </w:rPr>
        <w:t xml:space="preserve"> </w:t>
      </w:r>
      <w:r w:rsidRPr="00F82852">
        <w:rPr>
          <w:rFonts w:ascii="Times New Roman" w:eastAsia="Times New Roman" w:hAnsi="Times New Roman" w:cs="Times New Roman"/>
          <w:b/>
          <w:i/>
          <w:sz w:val="24"/>
          <w:szCs w:val="24"/>
          <w:highlight w:val="white"/>
        </w:rPr>
        <w:t>Abdehusein</w:t>
      </w:r>
      <w:r w:rsidR="0033481C" w:rsidRPr="00F82852">
        <w:rPr>
          <w:rFonts w:ascii="Times New Roman" w:eastAsia="Times New Roman" w:hAnsi="Times New Roman" w:cs="Times New Roman"/>
          <w:b/>
          <w:i/>
          <w:sz w:val="24"/>
          <w:szCs w:val="24"/>
          <w:highlight w:val="white"/>
        </w:rPr>
        <w:t xml:space="preserve"> Adamji, (2011)</w:t>
      </w:r>
      <w:r w:rsidRPr="00F82852">
        <w:rPr>
          <w:rFonts w:ascii="Times New Roman" w:eastAsia="Times New Roman" w:hAnsi="Times New Roman" w:cs="Times New Roman"/>
          <w:b/>
          <w:i/>
          <w:sz w:val="24"/>
          <w:szCs w:val="24"/>
          <w:highlight w:val="white"/>
        </w:rPr>
        <w:t>eKLR</w:t>
      </w:r>
      <w:r w:rsidR="0033481C" w:rsidRPr="00F82852">
        <w:rPr>
          <w:rFonts w:ascii="Times New Roman" w:eastAsia="Times New Roman" w:hAnsi="Times New Roman" w:cs="Times New Roman"/>
          <w:b/>
          <w:i/>
          <w:sz w:val="24"/>
          <w:szCs w:val="24"/>
          <w:highlight w:val="white"/>
        </w:rPr>
        <w:t xml:space="preserve"> </w:t>
      </w:r>
      <w:r w:rsidRPr="00F82852">
        <w:rPr>
          <w:rFonts w:ascii="Times New Roman" w:eastAsia="Times New Roman" w:hAnsi="Times New Roman" w:cs="Times New Roman"/>
          <w:sz w:val="24"/>
          <w:szCs w:val="24"/>
          <w:highlight w:val="white"/>
        </w:rPr>
        <w:t xml:space="preserve">however, validated the will. In this instance, since no executor is provided for in the will, Samia should apply for a grant of letter of administration and annex the will. </w:t>
      </w:r>
    </w:p>
    <w:p w:rsidR="00CC5F7A" w:rsidRPr="00871940" w:rsidRDefault="00C038FF">
      <w:pPr>
        <w:spacing w:line="360" w:lineRule="auto"/>
        <w:jc w:val="both"/>
        <w:rPr>
          <w:rFonts w:ascii="Times New Roman" w:eastAsia="Times New Roman" w:hAnsi="Times New Roman" w:cs="Times New Roman"/>
          <w:b/>
          <w:sz w:val="28"/>
          <w:szCs w:val="28"/>
          <w:u w:val="single"/>
        </w:rPr>
      </w:pPr>
      <w:r w:rsidRPr="00871940">
        <w:rPr>
          <w:rFonts w:ascii="Times New Roman" w:eastAsia="Times New Roman" w:hAnsi="Times New Roman" w:cs="Times New Roman"/>
          <w:b/>
          <w:sz w:val="28"/>
          <w:szCs w:val="28"/>
          <w:u w:val="single"/>
        </w:rPr>
        <w:t>OBJECTION TO THE GRANT OF PROBATE</w:t>
      </w:r>
    </w:p>
    <w:p w:rsidR="00F82852"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29(1) dependants include children of the deceased whether or not maintained by the deceased immediately prior to his death. Therefore, the other woman (on behalf of the her child born out of wedlock) can object the application of grant of probate filed by Samia according to section 68(1) of Law of Succession Act which allows for an objection to an application of grant of representation. </w:t>
      </w:r>
    </w:p>
    <w:p w:rsidR="00CC5F7A" w:rsidRDefault="00F8285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w:t>
      </w:r>
      <w:r w:rsidR="00C038FF">
        <w:rPr>
          <w:rFonts w:ascii="Times New Roman" w:eastAsia="Times New Roman" w:hAnsi="Times New Roman" w:cs="Times New Roman"/>
          <w:sz w:val="24"/>
          <w:szCs w:val="24"/>
        </w:rPr>
        <w:t>will file objection form 76 in triplicate, this is according to rule 17(1) of the Probate and Administration rules.  Upon the receipt of his objection, the registrar will send by a registered post, a notification in form 61 of receipt of objection to Samia and a copy thereof according to rule 17 (4) of the Probate and Administration rules.</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registrar will also send a notification to the woman by registered post</w:t>
      </w:r>
      <w:r w:rsidR="00E029A6">
        <w:rPr>
          <w:rFonts w:ascii="Times New Roman" w:eastAsia="Times New Roman" w:hAnsi="Times New Roman" w:cs="Times New Roman"/>
          <w:sz w:val="24"/>
          <w:szCs w:val="24"/>
        </w:rPr>
        <w:t xml:space="preserve"> in form P&amp;A 67 according to rule</w:t>
      </w:r>
      <w:r>
        <w:rPr>
          <w:rFonts w:ascii="Times New Roman" w:eastAsia="Times New Roman" w:hAnsi="Times New Roman" w:cs="Times New Roman"/>
          <w:sz w:val="24"/>
          <w:szCs w:val="24"/>
        </w:rPr>
        <w:t xml:space="preserve"> 17(5) of the Probate and Administration rules requiring him to file an answer in form 25 to the petition for a grant together with a petition by way of cross-application in form 84 supported by an affidavit for a grant of estate of the deceased made to the objector. The registrar will refer the matter to court for directions once all the requisite papers have been filed. The registrar will notify both Kassim and Samia of the time and place set for hearing of the petition, answer, cross-petition and determination of the dispute.</w:t>
      </w:r>
    </w:p>
    <w:p w:rsidR="00CC5F7A" w:rsidRDefault="00CC5F7A" w:rsidP="00E029A6">
      <w:pPr>
        <w:pBdr>
          <w:top w:val="nil"/>
          <w:left w:val="nil"/>
          <w:bottom w:val="nil"/>
          <w:right w:val="nil"/>
          <w:between w:val="nil"/>
        </w:pBdr>
        <w:spacing w:after="160" w:line="360" w:lineRule="auto"/>
        <w:ind w:left="360"/>
        <w:jc w:val="both"/>
        <w:rPr>
          <w:rFonts w:ascii="Times New Roman" w:eastAsia="Times New Roman" w:hAnsi="Times New Roman" w:cs="Times New Roman"/>
          <w:b/>
          <w:sz w:val="24"/>
          <w:szCs w:val="24"/>
          <w:u w:val="single"/>
        </w:rPr>
      </w:pPr>
    </w:p>
    <w:p w:rsidR="00CC5F7A" w:rsidRPr="00E029A6" w:rsidRDefault="00C038FF" w:rsidP="00E029A6">
      <w:pPr>
        <w:pBdr>
          <w:top w:val="nil"/>
          <w:left w:val="nil"/>
          <w:bottom w:val="nil"/>
          <w:right w:val="nil"/>
          <w:between w:val="nil"/>
        </w:pBdr>
        <w:spacing w:after="160" w:line="360" w:lineRule="auto"/>
        <w:ind w:left="360"/>
        <w:jc w:val="both"/>
        <w:rPr>
          <w:rFonts w:ascii="Times New Roman" w:eastAsia="Times New Roman" w:hAnsi="Times New Roman" w:cs="Times New Roman"/>
          <w:b/>
          <w:color w:val="000000"/>
          <w:sz w:val="28"/>
          <w:szCs w:val="28"/>
          <w:u w:val="single"/>
        </w:rPr>
      </w:pPr>
      <w:r w:rsidRPr="00E029A6">
        <w:rPr>
          <w:rFonts w:ascii="Times New Roman" w:eastAsia="Times New Roman" w:hAnsi="Times New Roman" w:cs="Times New Roman"/>
          <w:b/>
          <w:color w:val="000000"/>
          <w:sz w:val="28"/>
          <w:szCs w:val="28"/>
          <w:u w:val="single"/>
        </w:rPr>
        <w:t xml:space="preserve">RELEVANT DOCUMENTS </w:t>
      </w:r>
      <w:r w:rsidRPr="00E029A6">
        <w:rPr>
          <w:rFonts w:ascii="Times New Roman" w:eastAsia="Times New Roman" w:hAnsi="Times New Roman" w:cs="Times New Roman"/>
          <w:b/>
          <w:sz w:val="28"/>
          <w:szCs w:val="28"/>
          <w:u w:val="single"/>
        </w:rPr>
        <w:t xml:space="preserve">TO BE </w:t>
      </w:r>
      <w:r w:rsidR="00E029A6" w:rsidRPr="00E029A6">
        <w:rPr>
          <w:rFonts w:ascii="Times New Roman" w:eastAsia="Times New Roman" w:hAnsi="Times New Roman" w:cs="Times New Roman"/>
          <w:b/>
          <w:sz w:val="28"/>
          <w:szCs w:val="28"/>
          <w:u w:val="single"/>
        </w:rPr>
        <w:t>FILED.</w:t>
      </w:r>
    </w:p>
    <w:p w:rsidR="00CC5F7A" w:rsidRDefault="00C038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is our view that Samia may apply for grant of letters of administration. This is because despite the deceased leaving behind a valid will, he did not specify who would be the executor of the will. Law of Succession Act outlines several documents necessary to facilitate the succession. The following are the relevant documents filed:</w:t>
      </w:r>
    </w:p>
    <w:p w:rsidR="00CC5F7A" w:rsidRPr="00787A98" w:rsidRDefault="00C038FF" w:rsidP="00787A98">
      <w:pPr>
        <w:pStyle w:val="ListParagraph"/>
        <w:numPr>
          <w:ilvl w:val="0"/>
          <w:numId w:val="2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787A98">
        <w:rPr>
          <w:rFonts w:ascii="Times New Roman" w:eastAsia="Times New Roman" w:hAnsi="Times New Roman" w:cs="Times New Roman"/>
          <w:b/>
          <w:color w:val="000000"/>
          <w:sz w:val="24"/>
          <w:szCs w:val="24"/>
        </w:rPr>
        <w:t xml:space="preserve">P &amp; A 80 Petition </w:t>
      </w:r>
    </w:p>
    <w:p w:rsidR="00CC5F7A" w:rsidRPr="00B02CBD" w:rsidRDefault="00C038FF" w:rsidP="00B02CBD">
      <w:pPr>
        <w:spacing w:line="360" w:lineRule="auto"/>
        <w:ind w:left="360"/>
        <w:jc w:val="both"/>
        <w:rPr>
          <w:rFonts w:ascii="Times New Roman" w:eastAsia="Times New Roman" w:hAnsi="Times New Roman" w:cs="Times New Roman"/>
          <w:sz w:val="24"/>
          <w:szCs w:val="24"/>
        </w:rPr>
      </w:pPr>
      <w:r w:rsidRPr="00B02CBD">
        <w:rPr>
          <w:rFonts w:ascii="Times New Roman" w:eastAsia="Times New Roman" w:hAnsi="Times New Roman" w:cs="Times New Roman"/>
          <w:sz w:val="24"/>
          <w:szCs w:val="24"/>
        </w:rPr>
        <w:t>This is among the most integral documents essential in any succession matter. An application for letters of administration is the first step taken by concerned parties in succession matters. A letter of administration is a legal order issued by the court establishing the legal authority of someone entrusted to deal with a deceased person’s estate. In cases like Hussein’s estate, where there is a valid will yet no person has been exclusively directed to be the executor</w:t>
      </w:r>
      <w:r w:rsidR="00E029A6" w:rsidRPr="00B02CBD">
        <w:rPr>
          <w:rFonts w:ascii="Times New Roman" w:eastAsia="Times New Roman" w:hAnsi="Times New Roman" w:cs="Times New Roman"/>
          <w:sz w:val="24"/>
          <w:szCs w:val="24"/>
        </w:rPr>
        <w:t xml:space="preserve"> of the will, an administrator </w:t>
      </w:r>
      <w:r w:rsidRPr="00B02CBD">
        <w:rPr>
          <w:rFonts w:ascii="Times New Roman" w:eastAsia="Times New Roman" w:hAnsi="Times New Roman" w:cs="Times New Roman"/>
          <w:sz w:val="24"/>
          <w:szCs w:val="24"/>
        </w:rPr>
        <w:t xml:space="preserve">(personal representative of the deceased) will have to obtain a grant of letters of administration. </w:t>
      </w:r>
    </w:p>
    <w:p w:rsidR="00B02CBD" w:rsidRPr="00B02CBD" w:rsidRDefault="00C038FF" w:rsidP="00B02CBD">
      <w:pPr>
        <w:spacing w:line="360" w:lineRule="auto"/>
        <w:ind w:left="360"/>
        <w:jc w:val="both"/>
        <w:rPr>
          <w:rFonts w:ascii="Times New Roman" w:eastAsia="Times New Roman" w:hAnsi="Times New Roman" w:cs="Times New Roman"/>
          <w:sz w:val="24"/>
          <w:szCs w:val="24"/>
        </w:rPr>
      </w:pPr>
      <w:r w:rsidRPr="00B02CBD">
        <w:rPr>
          <w:rFonts w:ascii="Times New Roman" w:eastAsia="Times New Roman" w:hAnsi="Times New Roman" w:cs="Times New Roman"/>
          <w:sz w:val="24"/>
          <w:szCs w:val="24"/>
        </w:rPr>
        <w:t>Section 51 of the Law of Succession Act, as well as, Rule 7-14 of the Probate and Administration rules provide for the procedure of applying for grant</w:t>
      </w:r>
      <w:r w:rsidR="00E029A6" w:rsidRPr="00B02CBD">
        <w:rPr>
          <w:rFonts w:ascii="Times New Roman" w:eastAsia="Times New Roman" w:hAnsi="Times New Roman" w:cs="Times New Roman"/>
          <w:sz w:val="24"/>
          <w:szCs w:val="24"/>
        </w:rPr>
        <w:t>s of letters of administration.</w:t>
      </w:r>
    </w:p>
    <w:p w:rsidR="00CC5F7A" w:rsidRPr="00B02CBD" w:rsidRDefault="00C038FF" w:rsidP="00B02CBD">
      <w:pPr>
        <w:spacing w:line="360" w:lineRule="auto"/>
        <w:ind w:left="360"/>
        <w:jc w:val="both"/>
        <w:rPr>
          <w:rFonts w:ascii="Times New Roman" w:eastAsia="Times New Roman" w:hAnsi="Times New Roman" w:cs="Times New Roman"/>
          <w:sz w:val="24"/>
          <w:szCs w:val="24"/>
        </w:rPr>
      </w:pPr>
      <w:r w:rsidRPr="00B02CBD">
        <w:rPr>
          <w:rFonts w:ascii="Times New Roman" w:eastAsia="Times New Roman" w:hAnsi="Times New Roman" w:cs="Times New Roman"/>
          <w:sz w:val="24"/>
          <w:szCs w:val="24"/>
        </w:rPr>
        <w:t xml:space="preserve">Section 66 of the Law of Succession Act provides for eligibility of persons applying for grant of letters of administration and the order of priority that the court will follow in granting letters of administration in cases where deceased died testate but left no executor of the will. Surviving spouses are given top priority regardless of association with beneficiaries in accordance with section 66 (a). Other beneficiaries entitled on principles of intestacy are second priority in grant of letters of administration followed by public trustees and creditors respectively. </w:t>
      </w:r>
    </w:p>
    <w:p w:rsidR="00CC5F7A" w:rsidRPr="00B02CBD" w:rsidRDefault="00C038FF" w:rsidP="00B02CBD">
      <w:pPr>
        <w:spacing w:line="360" w:lineRule="auto"/>
        <w:ind w:left="360"/>
        <w:jc w:val="both"/>
        <w:rPr>
          <w:rFonts w:ascii="Times New Roman" w:eastAsia="Times New Roman" w:hAnsi="Times New Roman" w:cs="Times New Roman"/>
          <w:b/>
          <w:sz w:val="24"/>
          <w:szCs w:val="24"/>
        </w:rPr>
      </w:pPr>
      <w:r w:rsidRPr="00B02CBD">
        <w:rPr>
          <w:rFonts w:ascii="Times New Roman" w:eastAsia="Times New Roman" w:hAnsi="Times New Roman" w:cs="Times New Roman"/>
          <w:sz w:val="24"/>
          <w:szCs w:val="24"/>
        </w:rPr>
        <w:t>Applications for letters of administration are lodged at either the High Court’s district registry or Resident Magistrate’s registry. The Kadhi</w:t>
      </w:r>
      <w:r w:rsidR="00B02CBD" w:rsidRPr="00B02CBD">
        <w:rPr>
          <w:rFonts w:ascii="Times New Roman" w:eastAsia="Times New Roman" w:hAnsi="Times New Roman" w:cs="Times New Roman"/>
          <w:sz w:val="24"/>
          <w:szCs w:val="24"/>
        </w:rPr>
        <w:t>’</w:t>
      </w:r>
      <w:r w:rsidRPr="00B02CBD">
        <w:rPr>
          <w:rFonts w:ascii="Times New Roman" w:eastAsia="Times New Roman" w:hAnsi="Times New Roman" w:cs="Times New Roman"/>
          <w:sz w:val="24"/>
          <w:szCs w:val="24"/>
        </w:rPr>
        <w:t>s court does not have the power to issue the grant of letters of administration, therefore, subsequent applications cannot be lodged at the Kadhi’s</w:t>
      </w:r>
      <w:r w:rsidR="00B02CBD" w:rsidRPr="00B02CBD">
        <w:rPr>
          <w:rFonts w:ascii="Times New Roman" w:eastAsia="Times New Roman" w:hAnsi="Times New Roman" w:cs="Times New Roman"/>
          <w:sz w:val="24"/>
          <w:szCs w:val="24"/>
        </w:rPr>
        <w:t xml:space="preserve"> </w:t>
      </w:r>
      <w:r w:rsidRPr="00B02CBD">
        <w:rPr>
          <w:rFonts w:ascii="Times New Roman" w:eastAsia="Times New Roman" w:hAnsi="Times New Roman" w:cs="Times New Roman"/>
          <w:sz w:val="24"/>
          <w:szCs w:val="24"/>
        </w:rPr>
        <w:t>court registry. There needs to be at least two persons</w:t>
      </w:r>
      <w:r w:rsidR="00B02CBD" w:rsidRPr="00B02CBD">
        <w:rPr>
          <w:rFonts w:ascii="Times New Roman" w:eastAsia="Times New Roman" w:hAnsi="Times New Roman" w:cs="Times New Roman"/>
          <w:sz w:val="24"/>
          <w:szCs w:val="24"/>
        </w:rPr>
        <w:t xml:space="preserve"> who</w:t>
      </w:r>
      <w:r w:rsidRPr="00B02CBD">
        <w:rPr>
          <w:rFonts w:ascii="Times New Roman" w:eastAsia="Times New Roman" w:hAnsi="Times New Roman" w:cs="Times New Roman"/>
          <w:sz w:val="24"/>
          <w:szCs w:val="24"/>
        </w:rPr>
        <w:t xml:space="preserve"> must petition the High Court for letters of administration. The petition should include a schedule of the assets, and liabilities of the deceased’s estate and should be filed at the Family Division of the respective High Court. Samia, the deceased’s wife, can petition for grant of letters of administration. A sample petition for grant of letters of administration is annexed to the document.</w:t>
      </w:r>
    </w:p>
    <w:p w:rsidR="00CC5F7A" w:rsidRPr="00787A98" w:rsidRDefault="00C038FF" w:rsidP="00787A98">
      <w:pPr>
        <w:pStyle w:val="ListParagraph"/>
        <w:numPr>
          <w:ilvl w:val="0"/>
          <w:numId w:val="21"/>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787A98">
        <w:rPr>
          <w:rFonts w:ascii="Times New Roman" w:eastAsia="Times New Roman" w:hAnsi="Times New Roman" w:cs="Times New Roman"/>
          <w:b/>
          <w:color w:val="000000"/>
          <w:sz w:val="24"/>
          <w:szCs w:val="24"/>
        </w:rPr>
        <w:t>P &amp; A 5- Affidavit in Support of Petition</w:t>
      </w:r>
    </w:p>
    <w:p w:rsidR="00CC5F7A" w:rsidRPr="00B02CBD" w:rsidRDefault="00C038FF" w:rsidP="00B02CBD">
      <w:pPr>
        <w:spacing w:line="360" w:lineRule="auto"/>
        <w:ind w:left="360"/>
        <w:jc w:val="both"/>
        <w:rPr>
          <w:rFonts w:ascii="Times New Roman" w:eastAsia="Times New Roman" w:hAnsi="Times New Roman" w:cs="Times New Roman"/>
          <w:b/>
          <w:sz w:val="24"/>
          <w:szCs w:val="24"/>
        </w:rPr>
      </w:pPr>
      <w:r w:rsidRPr="00B02CBD">
        <w:rPr>
          <w:rFonts w:ascii="Times New Roman" w:eastAsia="Times New Roman" w:hAnsi="Times New Roman" w:cs="Times New Roman"/>
          <w:sz w:val="24"/>
          <w:szCs w:val="24"/>
        </w:rPr>
        <w:lastRenderedPageBreak/>
        <w:t>The petition for grant of letters of administration is a formal legal document which means that it needs to be accompanied by a supporting affidavit. It is compulsory for the applicants of grant of letters of administration to swear affidavits in support of the petition for grant of letters of administration. The purpose of the affidavit is to satisfy the court that petitioners are solvent and can comply with administrator’s obligations. This document is filed and lodged in the probate registry of the High Court together with the petition for grant of letters of administration</w:t>
      </w:r>
    </w:p>
    <w:p w:rsidR="00CC5F7A" w:rsidRPr="00787A98" w:rsidRDefault="00C038FF" w:rsidP="00787A98">
      <w:pPr>
        <w:pStyle w:val="ListParagraph"/>
        <w:numPr>
          <w:ilvl w:val="0"/>
          <w:numId w:val="2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787A98">
        <w:rPr>
          <w:rFonts w:ascii="Times New Roman" w:eastAsia="Times New Roman" w:hAnsi="Times New Roman" w:cs="Times New Roman"/>
          <w:b/>
          <w:color w:val="000000"/>
          <w:sz w:val="24"/>
          <w:szCs w:val="24"/>
        </w:rPr>
        <w:t>P &amp; A 11 Affidavit of Justification (Proposed Sureties)</w:t>
      </w:r>
    </w:p>
    <w:p w:rsidR="00CC5F7A" w:rsidRPr="00B02CBD" w:rsidRDefault="00C038FF" w:rsidP="00B02CBD">
      <w:pPr>
        <w:spacing w:line="360" w:lineRule="auto"/>
        <w:ind w:left="360"/>
        <w:jc w:val="both"/>
        <w:rPr>
          <w:rFonts w:ascii="Times New Roman" w:eastAsia="Times New Roman" w:hAnsi="Times New Roman" w:cs="Times New Roman"/>
          <w:sz w:val="24"/>
          <w:szCs w:val="24"/>
        </w:rPr>
      </w:pPr>
      <w:r w:rsidRPr="00B02CBD">
        <w:rPr>
          <w:rFonts w:ascii="Times New Roman" w:eastAsia="Times New Roman" w:hAnsi="Times New Roman" w:cs="Times New Roman"/>
          <w:sz w:val="24"/>
          <w:szCs w:val="24"/>
        </w:rPr>
        <w:t>This document is normally sworn by two persons who intend to act as sureties of the proposed administrator. If Samia wishes to petition for grant of letters of administration, her petition needs to be accompanied by an affidavit in support of the petition as well as an affidavit of justification of proposed sureties sworn by two other people wishing to act as sureties of Samia (proposed administrator).</w:t>
      </w:r>
    </w:p>
    <w:p w:rsidR="00CC5F7A" w:rsidRPr="00B02CBD" w:rsidRDefault="00C038FF" w:rsidP="00B02CBD">
      <w:pPr>
        <w:spacing w:line="360" w:lineRule="auto"/>
        <w:ind w:left="360"/>
        <w:jc w:val="both"/>
        <w:rPr>
          <w:rFonts w:ascii="Times New Roman" w:eastAsia="Times New Roman" w:hAnsi="Times New Roman" w:cs="Times New Roman"/>
          <w:sz w:val="24"/>
          <w:szCs w:val="24"/>
        </w:rPr>
      </w:pPr>
      <w:r w:rsidRPr="00B02CBD">
        <w:rPr>
          <w:rFonts w:ascii="Times New Roman" w:eastAsia="Times New Roman" w:hAnsi="Times New Roman" w:cs="Times New Roman"/>
          <w:sz w:val="24"/>
          <w:szCs w:val="24"/>
        </w:rPr>
        <w:t>Identity cards of all sureties are similarly to be attached to the petition. The affidavit is also lodged in the High Court’s family division probate registry.</w:t>
      </w:r>
    </w:p>
    <w:p w:rsidR="00CC5F7A" w:rsidRPr="00787A98" w:rsidRDefault="00C038FF" w:rsidP="00787A98">
      <w:pPr>
        <w:pStyle w:val="ListParagraph"/>
        <w:numPr>
          <w:ilvl w:val="0"/>
          <w:numId w:val="2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787A98">
        <w:rPr>
          <w:rFonts w:ascii="Times New Roman" w:eastAsia="Times New Roman" w:hAnsi="Times New Roman" w:cs="Times New Roman"/>
          <w:b/>
          <w:color w:val="000000"/>
          <w:sz w:val="24"/>
          <w:szCs w:val="24"/>
        </w:rPr>
        <w:t>P &amp; A 12 Affidavit of Justification Proposed Administrator</w:t>
      </w:r>
    </w:p>
    <w:p w:rsidR="00CC5F7A" w:rsidRDefault="00C038FF" w:rsidP="00B02CBD">
      <w:pPr>
        <w:spacing w:line="360" w:lineRule="auto"/>
        <w:ind w:left="360"/>
        <w:jc w:val="both"/>
        <w:rPr>
          <w:rFonts w:ascii="Times New Roman" w:eastAsia="Times New Roman" w:hAnsi="Times New Roman" w:cs="Times New Roman"/>
          <w:sz w:val="24"/>
          <w:szCs w:val="24"/>
        </w:rPr>
      </w:pPr>
      <w:r w:rsidRPr="00B02CBD">
        <w:rPr>
          <w:rFonts w:ascii="Times New Roman" w:eastAsia="Times New Roman" w:hAnsi="Times New Roman" w:cs="Times New Roman"/>
          <w:sz w:val="24"/>
          <w:szCs w:val="24"/>
        </w:rPr>
        <w:t>The petition for grant of letters of administration is accompanied by an affidavit of justification of the proposed administrator. This affidavit states the net worth of the proposed administrator.</w:t>
      </w:r>
    </w:p>
    <w:p w:rsidR="00787A98" w:rsidRDefault="00787A98" w:rsidP="00B02CBD">
      <w:pPr>
        <w:spacing w:line="360" w:lineRule="auto"/>
        <w:ind w:left="360"/>
        <w:jc w:val="both"/>
        <w:rPr>
          <w:rFonts w:ascii="Times New Roman" w:eastAsia="Times New Roman" w:hAnsi="Times New Roman" w:cs="Times New Roman"/>
          <w:sz w:val="24"/>
          <w:szCs w:val="24"/>
        </w:rPr>
      </w:pPr>
    </w:p>
    <w:p w:rsidR="00787A98" w:rsidRPr="00B02CBD" w:rsidRDefault="00787A98" w:rsidP="00B02CBD">
      <w:pPr>
        <w:spacing w:line="360" w:lineRule="auto"/>
        <w:ind w:left="360"/>
        <w:jc w:val="both"/>
        <w:rPr>
          <w:rFonts w:ascii="Times New Roman" w:eastAsia="Times New Roman" w:hAnsi="Times New Roman" w:cs="Times New Roman"/>
          <w:sz w:val="24"/>
          <w:szCs w:val="24"/>
        </w:rPr>
      </w:pPr>
    </w:p>
    <w:p w:rsidR="00CC5F7A" w:rsidRPr="00787A98" w:rsidRDefault="00C038FF" w:rsidP="00787A98">
      <w:pPr>
        <w:pStyle w:val="ListParagraph"/>
        <w:numPr>
          <w:ilvl w:val="0"/>
          <w:numId w:val="2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787A98">
        <w:rPr>
          <w:rFonts w:ascii="Times New Roman" w:eastAsia="Times New Roman" w:hAnsi="Times New Roman" w:cs="Times New Roman"/>
          <w:b/>
          <w:color w:val="000000"/>
          <w:sz w:val="24"/>
          <w:szCs w:val="24"/>
        </w:rPr>
        <w:t>P &amp; A 57 Guarantee of Personal Sureties</w:t>
      </w:r>
    </w:p>
    <w:p w:rsidR="00CC5F7A" w:rsidRPr="00B02CBD" w:rsidRDefault="00C038FF" w:rsidP="00B02CBD">
      <w:pPr>
        <w:spacing w:line="360" w:lineRule="auto"/>
        <w:ind w:left="360"/>
        <w:jc w:val="both"/>
        <w:rPr>
          <w:rFonts w:ascii="Times New Roman" w:eastAsia="Times New Roman" w:hAnsi="Times New Roman" w:cs="Times New Roman"/>
          <w:sz w:val="24"/>
          <w:szCs w:val="24"/>
        </w:rPr>
      </w:pPr>
      <w:r w:rsidRPr="00B02CBD">
        <w:rPr>
          <w:rFonts w:ascii="Times New Roman" w:eastAsia="Times New Roman" w:hAnsi="Times New Roman" w:cs="Times New Roman"/>
          <w:sz w:val="24"/>
          <w:szCs w:val="24"/>
        </w:rPr>
        <w:t>The sureties of any proposed administrator need to guarantee and satisfy the court that they will make good any loss that may be incurred by the deceased’s estate should the proposed administrator act in breach of their administrator duties. This guarantee is laid out by the P &amp; A Form 57 which is filed and lodged together with the petition.</w:t>
      </w:r>
    </w:p>
    <w:p w:rsidR="00CC5F7A" w:rsidRDefault="00C038F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Other Relevant Documents</w:t>
      </w:r>
    </w:p>
    <w:p w:rsidR="00787A98" w:rsidRDefault="00C038FF" w:rsidP="00787A9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important documents such as the deceased’s will, petitioner’s identity card, certified copies of deceased’s death certificate, letter from area chief listing the beneficiaries to </w:t>
      </w:r>
      <w:r>
        <w:rPr>
          <w:rFonts w:ascii="Times New Roman" w:eastAsia="Times New Roman" w:hAnsi="Times New Roman" w:cs="Times New Roman"/>
          <w:sz w:val="24"/>
          <w:szCs w:val="24"/>
        </w:rPr>
        <w:lastRenderedPageBreak/>
        <w:t>deceased’s estate (their relationship with the deceased as well as their ages), and proof of ownership of deceased’s property are also important in the application for grant of letters of administration.</w:t>
      </w:r>
    </w:p>
    <w:p w:rsidR="00CC5F7A" w:rsidRPr="00787A98" w:rsidRDefault="00C038FF" w:rsidP="00787A98">
      <w:pPr>
        <w:spacing w:line="360" w:lineRule="auto"/>
        <w:jc w:val="both"/>
        <w:rPr>
          <w:rFonts w:ascii="Times New Roman" w:eastAsia="Times New Roman" w:hAnsi="Times New Roman" w:cs="Times New Roman"/>
          <w:sz w:val="28"/>
          <w:szCs w:val="28"/>
        </w:rPr>
      </w:pPr>
      <w:r w:rsidRPr="00787A98">
        <w:rPr>
          <w:rFonts w:ascii="Times New Roman" w:eastAsia="Times New Roman" w:hAnsi="Times New Roman" w:cs="Times New Roman"/>
          <w:b/>
          <w:color w:val="000000"/>
          <w:sz w:val="28"/>
          <w:szCs w:val="28"/>
          <w:u w:val="single"/>
        </w:rPr>
        <w:t xml:space="preserve">PROCESS OF FILLING THE DOCUMENTS </w:t>
      </w:r>
    </w:p>
    <w:p w:rsidR="00787A98" w:rsidRDefault="00C038FF">
      <w:pPr>
        <w:pBdr>
          <w:top w:val="nil"/>
          <w:left w:val="nil"/>
          <w:bottom w:val="nil"/>
          <w:right w:val="nil"/>
          <w:between w:val="nil"/>
        </w:pBdr>
        <w:shd w:val="clear" w:color="auto" w:fill="FCFCFC"/>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first instance, one has to be eligible to apply for the grant as stipulated in section 66 of the Law of Succession Act which sets out the order of priority. In the instance many of them qualify, any of them can apply for grant but this is set to maximum of four only as prescribed in section 56(1) (b) of the Act. </w:t>
      </w:r>
    </w:p>
    <w:p w:rsidR="00CC5F7A" w:rsidRDefault="00C038FF">
      <w:pPr>
        <w:pBdr>
          <w:top w:val="nil"/>
          <w:left w:val="nil"/>
          <w:bottom w:val="nil"/>
          <w:right w:val="nil"/>
          <w:between w:val="nil"/>
        </w:pBdr>
        <w:shd w:val="clear" w:color="auto" w:fill="FCFCFC"/>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scenario, the petitioner should fill in application forms attached with the requisite fees to the High Court Deputy Registrar who will examine the documents aforementioned and present them before the judge who will grant.</w:t>
      </w:r>
    </w:p>
    <w:p w:rsidR="00CC5F7A" w:rsidRDefault="00C038FF">
      <w:pPr>
        <w:pBdr>
          <w:top w:val="nil"/>
          <w:left w:val="nil"/>
          <w:bottom w:val="nil"/>
          <w:right w:val="nil"/>
          <w:between w:val="nil"/>
        </w:pBdr>
        <w:shd w:val="clear" w:color="auto" w:fill="FCFCFC"/>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forms are available at the Court registry and can also be downloaded online from the judiciary website: Further, it should be noted that Form P &amp; A 38 is only required where the children surviving the deceased are adults wherein their consents are required for purposes of obtaining the grant. Where the widow is applying alone, she is exempted from availing a surety; exem</w:t>
      </w:r>
      <w:r w:rsidR="00787A98">
        <w:rPr>
          <w:rFonts w:ascii="Times New Roman" w:eastAsia="Times New Roman" w:hAnsi="Times New Roman" w:cs="Times New Roman"/>
          <w:color w:val="000000"/>
          <w:sz w:val="24"/>
          <w:szCs w:val="24"/>
        </w:rPr>
        <w:t>pted from filing Form 57 and 11</w:t>
      </w:r>
      <w:r>
        <w:rPr>
          <w:rFonts w:ascii="Times New Roman" w:eastAsia="Times New Roman" w:hAnsi="Times New Roman" w:cs="Times New Roman"/>
          <w:color w:val="000000"/>
          <w:sz w:val="24"/>
          <w:szCs w:val="24"/>
        </w:rPr>
        <w:t>.</w:t>
      </w:r>
    </w:p>
    <w:p w:rsidR="00787A98" w:rsidRDefault="00787A98">
      <w:pPr>
        <w:pBdr>
          <w:top w:val="nil"/>
          <w:left w:val="nil"/>
          <w:bottom w:val="nil"/>
          <w:right w:val="nil"/>
          <w:between w:val="nil"/>
        </w:pBdr>
        <w:shd w:val="clear" w:color="auto" w:fill="FCFCFC"/>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process is as follows:</w:t>
      </w:r>
    </w:p>
    <w:p w:rsidR="00CC5F7A" w:rsidRDefault="00C038FF">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parties concerned shall make an application to the High Court for representation, no grant shall be made until there has been published notice of the application for such grant, inviting objections thereto to be made known to the court within a specified period of not less than thirty days from the date of publication, and the period so specified has expired</w:t>
      </w:r>
    </w:p>
    <w:p w:rsidR="00CC5F7A" w:rsidRDefault="00C038FF">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notice under section 67 (1) shall be exhibited conspicuously in the courthouse, and also published in such other manner as the court directs.</w:t>
      </w:r>
    </w:p>
    <w:p w:rsidR="00CC5F7A" w:rsidRDefault="00C038FF">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 VII of the LSA, section 68 provides an opportunity for anyone wishing to file an abjection to counter the validity of Notice of intention for a grant as may be prescribed within a specified period as the Court may allow. </w:t>
      </w:r>
    </w:p>
    <w:p w:rsidR="00CC5F7A" w:rsidRDefault="00C038FF">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a notice of objection has been logged the court shall give the notice to the objector to file an answer to the application and cross application within a certain period</w:t>
      </w:r>
    </w:p>
    <w:p w:rsidR="00CC5F7A" w:rsidRDefault="00CC5F7A">
      <w:pPr>
        <w:pBdr>
          <w:top w:val="nil"/>
          <w:left w:val="nil"/>
          <w:bottom w:val="nil"/>
          <w:right w:val="nil"/>
          <w:between w:val="nil"/>
        </w:pBdr>
        <w:shd w:val="clear" w:color="auto" w:fill="FCFCFC"/>
        <w:spacing w:after="0" w:line="360" w:lineRule="auto"/>
        <w:jc w:val="both"/>
        <w:rPr>
          <w:rFonts w:ascii="Times New Roman" w:eastAsia="Times New Roman" w:hAnsi="Times New Roman" w:cs="Times New Roman"/>
          <w:color w:val="000000"/>
          <w:sz w:val="24"/>
          <w:szCs w:val="24"/>
        </w:rPr>
      </w:pPr>
    </w:p>
    <w:p w:rsidR="00787A98" w:rsidRDefault="00C038FF">
      <w:pPr>
        <w:pBdr>
          <w:top w:val="nil"/>
          <w:left w:val="nil"/>
          <w:bottom w:val="nil"/>
          <w:right w:val="nil"/>
          <w:between w:val="nil"/>
        </w:pBdr>
        <w:shd w:val="clear" w:color="auto" w:fill="FCFCFC"/>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will then be advertised in the Kenya gazette as a succession cause for a thirty (30) day period whereby any objections from persons who feel entitled to the estate. Objections are lodged by way of petition and they suspend the advertisement until their determination. </w:t>
      </w:r>
    </w:p>
    <w:p w:rsidR="00CC5F7A" w:rsidRDefault="00C038FF">
      <w:pPr>
        <w:pBdr>
          <w:top w:val="nil"/>
          <w:left w:val="nil"/>
          <w:bottom w:val="nil"/>
          <w:right w:val="nil"/>
          <w:between w:val="nil"/>
        </w:pBdr>
        <w:shd w:val="clear" w:color="auto" w:fill="FCFCFC"/>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If there is no objection after thirty days the person whose name appeared on the cause gets a temporary grant for the administration of deceased’s estate which lasts for six months during which this person is referred to as ‘personal representative’ and cannot distribute the estate of the deceased but collects and preserves the assets of the deceased.</w:t>
      </w:r>
    </w:p>
    <w:p w:rsidR="00CC5F7A" w:rsidRDefault="00C038FF">
      <w:pPr>
        <w:pBdr>
          <w:top w:val="nil"/>
          <w:left w:val="nil"/>
          <w:bottom w:val="nil"/>
          <w:right w:val="nil"/>
          <w:between w:val="nil"/>
        </w:pBdr>
        <w:shd w:val="clear" w:color="auto" w:fill="FCFCFC"/>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six months have elapsed from date of deceased’s death, one can petition the court for confirmation of grant of letters of administration. Notice of petition or application for grant must be given to every entitled person except for limited grant.</w:t>
      </w:r>
    </w:p>
    <w:p w:rsidR="00CC5F7A" w:rsidRDefault="00CC5F7A">
      <w:pPr>
        <w:spacing w:after="0" w:line="360" w:lineRule="auto"/>
        <w:jc w:val="both"/>
        <w:rPr>
          <w:rFonts w:ascii="Times New Roman" w:eastAsia="Times New Roman" w:hAnsi="Times New Roman" w:cs="Times New Roman"/>
          <w:b/>
          <w:sz w:val="24"/>
          <w:szCs w:val="24"/>
        </w:rPr>
      </w:pPr>
    </w:p>
    <w:p w:rsidR="00CC5F7A" w:rsidRDefault="00C038FF">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Procedures after notice of objections: -</w:t>
      </w:r>
    </w:p>
    <w:p w:rsidR="00CC5F7A" w:rsidRDefault="00C038F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case the notice of objection has been filed in accordance with part VII section 68(1) of LSA, or no answer or cross-application has been filed as required under subsection 2 of section 68, then the court may proceed in accordance with the original application and issue a grant to the applicant.</w:t>
      </w:r>
    </w:p>
    <w:p w:rsidR="00CC5F7A" w:rsidRDefault="00C038F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case an objection has been tendered according to section 68(2) of LSA then the court will be obligated to determine the dispute arising between the parties. </w:t>
      </w:r>
    </w:p>
    <w:p w:rsidR="00B20DF3" w:rsidRDefault="00B20DF3">
      <w:pPr>
        <w:spacing w:after="0" w:line="360" w:lineRule="auto"/>
        <w:jc w:val="both"/>
        <w:rPr>
          <w:rFonts w:ascii="Times New Roman" w:eastAsia="Times New Roman" w:hAnsi="Times New Roman" w:cs="Times New Roman"/>
          <w:sz w:val="24"/>
          <w:szCs w:val="24"/>
        </w:rPr>
      </w:pPr>
    </w:p>
    <w:p w:rsidR="00B20DF3" w:rsidRDefault="00B20DF3" w:rsidP="00B20DF3">
      <w:pPr>
        <w:spacing w:after="0" w:line="36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CONCLUSION.</w:t>
      </w:r>
    </w:p>
    <w:p w:rsidR="00B20DF3" w:rsidRDefault="00B20DF3" w:rsidP="00B20DF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Muslim Sharia law is strictly followed to the letter according to the quran, the will is invalid because the deceased bequeath his property against the Islamic law. </w:t>
      </w:r>
      <w:r w:rsidR="007A5C67">
        <w:rPr>
          <w:rFonts w:ascii="Times New Roman" w:eastAsia="Times New Roman" w:hAnsi="Times New Roman" w:cs="Times New Roman"/>
          <w:sz w:val="24"/>
          <w:szCs w:val="24"/>
        </w:rPr>
        <w:t xml:space="preserve">The illegitimate child will also not inherit Hussein’s estate. </w:t>
      </w:r>
      <w:r>
        <w:rPr>
          <w:rFonts w:ascii="Times New Roman" w:eastAsia="Times New Roman" w:hAnsi="Times New Roman" w:cs="Times New Roman"/>
          <w:sz w:val="24"/>
          <w:szCs w:val="24"/>
        </w:rPr>
        <w:t xml:space="preserve">The case of </w:t>
      </w:r>
      <w:r>
        <w:rPr>
          <w:rFonts w:ascii="Times New Roman" w:eastAsia="Times New Roman" w:hAnsi="Times New Roman" w:cs="Times New Roman"/>
          <w:b/>
          <w:i/>
          <w:sz w:val="24"/>
          <w:szCs w:val="24"/>
        </w:rPr>
        <w:t xml:space="preserve">Chelang’a vs. Juma (2002) </w:t>
      </w:r>
      <w:r>
        <w:rPr>
          <w:rFonts w:ascii="Times New Roman" w:eastAsia="Times New Roman" w:hAnsi="Times New Roman" w:cs="Times New Roman"/>
          <w:sz w:val="24"/>
          <w:szCs w:val="24"/>
        </w:rPr>
        <w:t>lays out how the estate of the deceased muslim property should be managed.</w:t>
      </w:r>
    </w:p>
    <w:p w:rsidR="00B20DF3" w:rsidRDefault="00B20DF3" w:rsidP="00B20DF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other hand, basing on the </w:t>
      </w:r>
      <w:r>
        <w:rPr>
          <w:rFonts w:ascii="Times New Roman" w:eastAsia="Times New Roman" w:hAnsi="Times New Roman" w:cs="Times New Roman"/>
          <w:b/>
          <w:i/>
          <w:sz w:val="24"/>
          <w:szCs w:val="24"/>
        </w:rPr>
        <w:t>Saifudean Mohammedali</w:t>
      </w:r>
      <w:r>
        <w:rPr>
          <w:rFonts w:ascii="Times New Roman" w:eastAsia="Times New Roman" w:hAnsi="Times New Roman" w:cs="Times New Roman"/>
          <w:b/>
          <w:sz w:val="24"/>
          <w:szCs w:val="24"/>
        </w:rPr>
        <w:t xml:space="preserve"> </w:t>
      </w:r>
      <w:r>
        <w:rPr>
          <w:rFonts w:ascii="Times New Roman" w:eastAsia="Times New Roman" w:hAnsi="Times New Roman" w:cs="Times New Roman"/>
          <w:b/>
          <w:i/>
          <w:sz w:val="24"/>
          <w:szCs w:val="24"/>
        </w:rPr>
        <w:t xml:space="preserve">case, </w:t>
      </w:r>
      <w:r>
        <w:rPr>
          <w:rFonts w:ascii="Times New Roman" w:eastAsia="Times New Roman" w:hAnsi="Times New Roman" w:cs="Times New Roman"/>
          <w:sz w:val="24"/>
          <w:szCs w:val="24"/>
        </w:rPr>
        <w:t xml:space="preserve">the court shifted this position by looking at the deceased’s intention at the time he was writing the will. In construing wills, the </w:t>
      </w:r>
      <w:r w:rsidR="00EA6745">
        <w:rPr>
          <w:rFonts w:ascii="Times New Roman" w:eastAsia="Times New Roman" w:hAnsi="Times New Roman" w:cs="Times New Roman"/>
          <w:sz w:val="24"/>
          <w:szCs w:val="24"/>
        </w:rPr>
        <w:t>courts follow the deceased wishes. If the muslim was of sound mind, above the age of 18 years and not under duress at the time of writing the will then his wishes will be upheld.</w:t>
      </w:r>
      <w:r w:rsidR="007A5C67">
        <w:rPr>
          <w:rFonts w:ascii="Times New Roman" w:eastAsia="Times New Roman" w:hAnsi="Times New Roman" w:cs="Times New Roman"/>
          <w:sz w:val="24"/>
          <w:szCs w:val="24"/>
        </w:rPr>
        <w:t xml:space="preserve"> The law of Succession act will apply in this instance both in its substantive and procedural nature.</w:t>
      </w:r>
    </w:p>
    <w:p w:rsidR="005B300A" w:rsidRDefault="005B300A" w:rsidP="00B20DF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illegitimate child will also be entitled to the estate by virtue of section 29 of the Law of Succession act. The courts in supporting their entitlement to the deceased estate state that an innocent child should not be punished for the sins of their parents and be left to suffer.</w:t>
      </w:r>
    </w:p>
    <w:p w:rsidR="007A5C67" w:rsidRPr="00B20DF3" w:rsidRDefault="007A5C67" w:rsidP="00B20DF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Islamic law like other laws in Kenya is progressive in nature and therefore, in construing wills of deceased </w:t>
      </w:r>
      <w:r w:rsidR="005B300A">
        <w:rPr>
          <w:rFonts w:ascii="Times New Roman" w:eastAsia="Times New Roman" w:hAnsi="Times New Roman" w:cs="Times New Roman"/>
          <w:sz w:val="24"/>
          <w:szCs w:val="24"/>
        </w:rPr>
        <w:t>Muslims</w:t>
      </w:r>
      <w:r>
        <w:rPr>
          <w:rFonts w:ascii="Times New Roman" w:eastAsia="Times New Roman" w:hAnsi="Times New Roman" w:cs="Times New Roman"/>
          <w:sz w:val="24"/>
          <w:szCs w:val="24"/>
        </w:rPr>
        <w:t>, this should be prioritized.</w:t>
      </w:r>
    </w:p>
    <w:p w:rsidR="00CC5F7A" w:rsidRDefault="00CC5F7A">
      <w:pPr>
        <w:spacing w:after="0" w:line="360" w:lineRule="auto"/>
        <w:jc w:val="both"/>
        <w:rPr>
          <w:rFonts w:ascii="Times New Roman" w:eastAsia="Times New Roman" w:hAnsi="Times New Roman" w:cs="Times New Roman"/>
          <w:sz w:val="24"/>
          <w:szCs w:val="24"/>
        </w:rPr>
      </w:pPr>
    </w:p>
    <w:p w:rsidR="00CC5F7A" w:rsidRPr="003E2317" w:rsidRDefault="00CC5F7A" w:rsidP="003E2317">
      <w:pPr>
        <w:spacing w:after="0" w:line="360" w:lineRule="auto"/>
        <w:jc w:val="both"/>
        <w:rPr>
          <w:rFonts w:ascii="Times New Roman" w:eastAsia="Times New Roman" w:hAnsi="Times New Roman" w:cs="Times New Roman"/>
          <w:sz w:val="24"/>
          <w:szCs w:val="24"/>
        </w:rPr>
      </w:pPr>
    </w:p>
    <w:p w:rsidR="00CC5F7A" w:rsidRDefault="00CC5F7A">
      <w:pPr>
        <w:spacing w:after="0" w:line="360" w:lineRule="auto"/>
        <w:jc w:val="both"/>
        <w:rPr>
          <w:rFonts w:ascii="Times New Roman" w:eastAsia="Times New Roman" w:hAnsi="Times New Roman" w:cs="Times New Roman"/>
          <w:sz w:val="24"/>
          <w:szCs w:val="24"/>
        </w:rPr>
      </w:pPr>
    </w:p>
    <w:p w:rsidR="00CC5F7A" w:rsidRPr="003E2317" w:rsidRDefault="00CC5F7A" w:rsidP="003E2317">
      <w:pPr>
        <w:spacing w:after="0" w:line="360" w:lineRule="auto"/>
        <w:jc w:val="both"/>
        <w:rPr>
          <w:rFonts w:ascii="Times New Roman" w:eastAsia="Times New Roman" w:hAnsi="Times New Roman" w:cs="Times New Roman"/>
          <w:sz w:val="24"/>
          <w:szCs w:val="24"/>
        </w:rPr>
      </w:pPr>
    </w:p>
    <w:sectPr w:rsidR="00CC5F7A" w:rsidRPr="003E2317" w:rsidSect="00F7195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7D5B" w:rsidRDefault="00BB7D5B">
      <w:pPr>
        <w:spacing w:after="0" w:line="240" w:lineRule="auto"/>
      </w:pPr>
      <w:r>
        <w:separator/>
      </w:r>
    </w:p>
  </w:endnote>
  <w:endnote w:type="continuationSeparator" w:id="0">
    <w:p w:rsidR="00BB7D5B" w:rsidRDefault="00BB7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C5F7A" w:rsidRDefault="00F71958">
    <w:pPr>
      <w:pBdr>
        <w:top w:val="single" w:sz="4" w:space="1" w:color="D9D9D9"/>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sidR="00C038FF">
      <w:rPr>
        <w:color w:val="000000"/>
      </w:rPr>
      <w:instrText>PAGE</w:instrText>
    </w:r>
    <w:r>
      <w:rPr>
        <w:color w:val="000000"/>
      </w:rPr>
      <w:fldChar w:fldCharType="separate"/>
    </w:r>
    <w:r w:rsidR="005B300A">
      <w:rPr>
        <w:noProof/>
        <w:color w:val="000000"/>
      </w:rPr>
      <w:t>12</w:t>
    </w:r>
    <w:r>
      <w:rPr>
        <w:color w:val="000000"/>
      </w:rPr>
      <w:fldChar w:fldCharType="end"/>
    </w:r>
    <w:r w:rsidR="00C038FF">
      <w:rPr>
        <w:color w:val="000000"/>
      </w:rPr>
      <w:t xml:space="preserve"> | </w:t>
    </w:r>
    <w:r w:rsidR="00C038FF">
      <w:rPr>
        <w:color w:val="7F7F7F"/>
      </w:rPr>
      <w:t>Page</w:t>
    </w:r>
  </w:p>
  <w:p w:rsidR="00CC5F7A" w:rsidRDefault="00CC5F7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7D5B" w:rsidRDefault="00BB7D5B">
      <w:pPr>
        <w:spacing w:after="0" w:line="240" w:lineRule="auto"/>
      </w:pPr>
      <w:r>
        <w:separator/>
      </w:r>
    </w:p>
  </w:footnote>
  <w:footnote w:type="continuationSeparator" w:id="0">
    <w:p w:rsidR="00BB7D5B" w:rsidRDefault="00BB7D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D0F15"/>
    <w:multiLevelType w:val="hybridMultilevel"/>
    <w:tmpl w:val="94E20F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5507C70"/>
    <w:multiLevelType w:val="hybridMultilevel"/>
    <w:tmpl w:val="691A8E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DA136C"/>
    <w:multiLevelType w:val="hybridMultilevel"/>
    <w:tmpl w:val="B92691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8D43BD7"/>
    <w:multiLevelType w:val="hybridMultilevel"/>
    <w:tmpl w:val="DC1492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7F55E6"/>
    <w:multiLevelType w:val="multilevel"/>
    <w:tmpl w:val="5E0A2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8B1FB5"/>
    <w:multiLevelType w:val="multilevel"/>
    <w:tmpl w:val="43C8C3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FB20015"/>
    <w:multiLevelType w:val="multilevel"/>
    <w:tmpl w:val="C4B2581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34B010F2"/>
    <w:multiLevelType w:val="multilevel"/>
    <w:tmpl w:val="8D7C37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367E36E7"/>
    <w:multiLevelType w:val="multilevel"/>
    <w:tmpl w:val="DC543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C155C4"/>
    <w:multiLevelType w:val="multilevel"/>
    <w:tmpl w:val="1682CE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A005674"/>
    <w:multiLevelType w:val="hybridMultilevel"/>
    <w:tmpl w:val="C0F8623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2F16013"/>
    <w:multiLevelType w:val="multilevel"/>
    <w:tmpl w:val="B290C9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59121A1"/>
    <w:multiLevelType w:val="multilevel"/>
    <w:tmpl w:val="9C1419EA"/>
    <w:lvl w:ilvl="0">
      <w:start w:val="1"/>
      <w:numFmt w:val="bullet"/>
      <w:lvlText w:val="●"/>
      <w:lvlJc w:val="left"/>
      <w:pPr>
        <w:ind w:left="360" w:hanging="360"/>
      </w:pPr>
      <w:rPr>
        <w:rFonts w:ascii="Noto Sans Symbols" w:eastAsia="Noto Sans Symbols" w:hAnsi="Noto Sans Symbols" w:cs="Noto Sans Symbols"/>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8A64A0B"/>
    <w:multiLevelType w:val="hybridMultilevel"/>
    <w:tmpl w:val="9070965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8A808B8"/>
    <w:multiLevelType w:val="hybridMultilevel"/>
    <w:tmpl w:val="44E683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B566A48"/>
    <w:multiLevelType w:val="multilevel"/>
    <w:tmpl w:val="3C1EDF80"/>
    <w:lvl w:ilvl="0">
      <w:start w:val="1"/>
      <w:numFmt w:val="lowerLetter"/>
      <w:lvlText w:val="(%1)"/>
      <w:lvlJc w:val="left"/>
      <w:pPr>
        <w:ind w:left="410" w:hanging="360"/>
      </w:pPr>
    </w:lvl>
    <w:lvl w:ilvl="1">
      <w:start w:val="1"/>
      <w:numFmt w:val="lowerLetter"/>
      <w:lvlText w:val="%2."/>
      <w:lvlJc w:val="left"/>
      <w:pPr>
        <w:ind w:left="1130" w:hanging="360"/>
      </w:pPr>
    </w:lvl>
    <w:lvl w:ilvl="2">
      <w:start w:val="1"/>
      <w:numFmt w:val="lowerRoman"/>
      <w:lvlText w:val="%3."/>
      <w:lvlJc w:val="right"/>
      <w:pPr>
        <w:ind w:left="1850" w:hanging="180"/>
      </w:pPr>
    </w:lvl>
    <w:lvl w:ilvl="3">
      <w:start w:val="1"/>
      <w:numFmt w:val="decimal"/>
      <w:lvlText w:val="%4."/>
      <w:lvlJc w:val="left"/>
      <w:pPr>
        <w:ind w:left="2570" w:hanging="360"/>
      </w:pPr>
    </w:lvl>
    <w:lvl w:ilvl="4">
      <w:start w:val="1"/>
      <w:numFmt w:val="lowerLetter"/>
      <w:lvlText w:val="%5."/>
      <w:lvlJc w:val="left"/>
      <w:pPr>
        <w:ind w:left="3290" w:hanging="360"/>
      </w:pPr>
    </w:lvl>
    <w:lvl w:ilvl="5">
      <w:start w:val="1"/>
      <w:numFmt w:val="lowerRoman"/>
      <w:lvlText w:val="%6."/>
      <w:lvlJc w:val="right"/>
      <w:pPr>
        <w:ind w:left="4010" w:hanging="180"/>
      </w:pPr>
    </w:lvl>
    <w:lvl w:ilvl="6">
      <w:start w:val="1"/>
      <w:numFmt w:val="decimal"/>
      <w:lvlText w:val="%7."/>
      <w:lvlJc w:val="left"/>
      <w:pPr>
        <w:ind w:left="4730" w:hanging="360"/>
      </w:pPr>
    </w:lvl>
    <w:lvl w:ilvl="7">
      <w:start w:val="1"/>
      <w:numFmt w:val="lowerLetter"/>
      <w:lvlText w:val="%8."/>
      <w:lvlJc w:val="left"/>
      <w:pPr>
        <w:ind w:left="5450" w:hanging="360"/>
      </w:pPr>
    </w:lvl>
    <w:lvl w:ilvl="8">
      <w:start w:val="1"/>
      <w:numFmt w:val="lowerRoman"/>
      <w:lvlText w:val="%9."/>
      <w:lvlJc w:val="right"/>
      <w:pPr>
        <w:ind w:left="6170" w:hanging="180"/>
      </w:pPr>
    </w:lvl>
  </w:abstractNum>
  <w:abstractNum w:abstractNumId="16" w15:restartNumberingAfterBreak="0">
    <w:nsid w:val="52A41670"/>
    <w:multiLevelType w:val="hybridMultilevel"/>
    <w:tmpl w:val="02B2DF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F9683E"/>
    <w:multiLevelType w:val="multilevel"/>
    <w:tmpl w:val="B7165892"/>
    <w:lvl w:ilvl="0">
      <w:start w:val="1"/>
      <w:numFmt w:val="bullet"/>
      <w:lvlText w:val="●"/>
      <w:lvlJc w:val="left"/>
      <w:pPr>
        <w:ind w:left="218" w:hanging="360"/>
      </w:pPr>
      <w:rPr>
        <w:rFonts w:ascii="Noto Sans Symbols" w:eastAsia="Noto Sans Symbols" w:hAnsi="Noto Sans Symbols" w:cs="Noto Sans Symbols"/>
      </w:rPr>
    </w:lvl>
    <w:lvl w:ilvl="1">
      <w:start w:val="1"/>
      <w:numFmt w:val="bullet"/>
      <w:lvlText w:val="o"/>
      <w:lvlJc w:val="left"/>
      <w:pPr>
        <w:ind w:left="938" w:hanging="360"/>
      </w:pPr>
      <w:rPr>
        <w:rFonts w:ascii="Courier New" w:eastAsia="Courier New" w:hAnsi="Courier New" w:cs="Courier New"/>
      </w:rPr>
    </w:lvl>
    <w:lvl w:ilvl="2">
      <w:start w:val="1"/>
      <w:numFmt w:val="bullet"/>
      <w:lvlText w:val="▪"/>
      <w:lvlJc w:val="left"/>
      <w:pPr>
        <w:ind w:left="1658" w:hanging="360"/>
      </w:pPr>
      <w:rPr>
        <w:rFonts w:ascii="Noto Sans Symbols" w:eastAsia="Noto Sans Symbols" w:hAnsi="Noto Sans Symbols" w:cs="Noto Sans Symbols"/>
      </w:rPr>
    </w:lvl>
    <w:lvl w:ilvl="3">
      <w:start w:val="1"/>
      <w:numFmt w:val="bullet"/>
      <w:lvlText w:val="●"/>
      <w:lvlJc w:val="left"/>
      <w:pPr>
        <w:ind w:left="2378" w:hanging="360"/>
      </w:pPr>
      <w:rPr>
        <w:rFonts w:ascii="Noto Sans Symbols" w:eastAsia="Noto Sans Symbols" w:hAnsi="Noto Sans Symbols" w:cs="Noto Sans Symbols"/>
      </w:rPr>
    </w:lvl>
    <w:lvl w:ilvl="4">
      <w:start w:val="1"/>
      <w:numFmt w:val="bullet"/>
      <w:lvlText w:val="o"/>
      <w:lvlJc w:val="left"/>
      <w:pPr>
        <w:ind w:left="3098" w:hanging="360"/>
      </w:pPr>
      <w:rPr>
        <w:rFonts w:ascii="Courier New" w:eastAsia="Courier New" w:hAnsi="Courier New" w:cs="Courier New"/>
      </w:rPr>
    </w:lvl>
    <w:lvl w:ilvl="5">
      <w:start w:val="1"/>
      <w:numFmt w:val="bullet"/>
      <w:lvlText w:val="▪"/>
      <w:lvlJc w:val="left"/>
      <w:pPr>
        <w:ind w:left="3818" w:hanging="360"/>
      </w:pPr>
      <w:rPr>
        <w:rFonts w:ascii="Noto Sans Symbols" w:eastAsia="Noto Sans Symbols" w:hAnsi="Noto Sans Symbols" w:cs="Noto Sans Symbols"/>
      </w:rPr>
    </w:lvl>
    <w:lvl w:ilvl="6">
      <w:start w:val="1"/>
      <w:numFmt w:val="bullet"/>
      <w:lvlText w:val="●"/>
      <w:lvlJc w:val="left"/>
      <w:pPr>
        <w:ind w:left="4538" w:hanging="360"/>
      </w:pPr>
      <w:rPr>
        <w:rFonts w:ascii="Noto Sans Symbols" w:eastAsia="Noto Sans Symbols" w:hAnsi="Noto Sans Symbols" w:cs="Noto Sans Symbols"/>
      </w:rPr>
    </w:lvl>
    <w:lvl w:ilvl="7">
      <w:start w:val="1"/>
      <w:numFmt w:val="bullet"/>
      <w:lvlText w:val="o"/>
      <w:lvlJc w:val="left"/>
      <w:pPr>
        <w:ind w:left="5258" w:hanging="360"/>
      </w:pPr>
      <w:rPr>
        <w:rFonts w:ascii="Courier New" w:eastAsia="Courier New" w:hAnsi="Courier New" w:cs="Courier New"/>
      </w:rPr>
    </w:lvl>
    <w:lvl w:ilvl="8">
      <w:start w:val="1"/>
      <w:numFmt w:val="bullet"/>
      <w:lvlText w:val="▪"/>
      <w:lvlJc w:val="left"/>
      <w:pPr>
        <w:ind w:left="5978" w:hanging="360"/>
      </w:pPr>
      <w:rPr>
        <w:rFonts w:ascii="Noto Sans Symbols" w:eastAsia="Noto Sans Symbols" w:hAnsi="Noto Sans Symbols" w:cs="Noto Sans Symbols"/>
      </w:rPr>
    </w:lvl>
  </w:abstractNum>
  <w:abstractNum w:abstractNumId="18" w15:restartNumberingAfterBreak="0">
    <w:nsid w:val="6B2D64E4"/>
    <w:multiLevelType w:val="multilevel"/>
    <w:tmpl w:val="B3B48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FAA1DB5"/>
    <w:multiLevelType w:val="multilevel"/>
    <w:tmpl w:val="B290C9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DB718B5"/>
    <w:multiLevelType w:val="hybridMultilevel"/>
    <w:tmpl w:val="02CED6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651570">
    <w:abstractNumId w:val="4"/>
  </w:num>
  <w:num w:numId="2" w16cid:durableId="1465267222">
    <w:abstractNumId w:val="12"/>
  </w:num>
  <w:num w:numId="3" w16cid:durableId="2049643084">
    <w:abstractNumId w:val="17"/>
  </w:num>
  <w:num w:numId="4" w16cid:durableId="509412572">
    <w:abstractNumId w:val="5"/>
  </w:num>
  <w:num w:numId="5" w16cid:durableId="1717043268">
    <w:abstractNumId w:val="7"/>
  </w:num>
  <w:num w:numId="6" w16cid:durableId="812066403">
    <w:abstractNumId w:val="15"/>
  </w:num>
  <w:num w:numId="7" w16cid:durableId="1485390259">
    <w:abstractNumId w:val="19"/>
  </w:num>
  <w:num w:numId="8" w16cid:durableId="1684892745">
    <w:abstractNumId w:val="8"/>
  </w:num>
  <w:num w:numId="9" w16cid:durableId="339550783">
    <w:abstractNumId w:val="9"/>
  </w:num>
  <w:num w:numId="10" w16cid:durableId="1677921137">
    <w:abstractNumId w:val="6"/>
  </w:num>
  <w:num w:numId="11" w16cid:durableId="134611123">
    <w:abstractNumId w:val="18"/>
  </w:num>
  <w:num w:numId="12" w16cid:durableId="2082827584">
    <w:abstractNumId w:val="20"/>
  </w:num>
  <w:num w:numId="13" w16cid:durableId="2056998901">
    <w:abstractNumId w:val="1"/>
  </w:num>
  <w:num w:numId="14" w16cid:durableId="515651658">
    <w:abstractNumId w:val="16"/>
  </w:num>
  <w:num w:numId="15" w16cid:durableId="1049037657">
    <w:abstractNumId w:val="3"/>
  </w:num>
  <w:num w:numId="16" w16cid:durableId="1362240118">
    <w:abstractNumId w:val="11"/>
  </w:num>
  <w:num w:numId="17" w16cid:durableId="1044402531">
    <w:abstractNumId w:val="10"/>
  </w:num>
  <w:num w:numId="18" w16cid:durableId="761797010">
    <w:abstractNumId w:val="13"/>
  </w:num>
  <w:num w:numId="19" w16cid:durableId="877159125">
    <w:abstractNumId w:val="14"/>
  </w:num>
  <w:num w:numId="20" w16cid:durableId="1971738061">
    <w:abstractNumId w:val="0"/>
  </w:num>
  <w:num w:numId="21" w16cid:durableId="1023167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F7A"/>
    <w:rsid w:val="001079FE"/>
    <w:rsid w:val="00113B66"/>
    <w:rsid w:val="002B0AC1"/>
    <w:rsid w:val="0033481C"/>
    <w:rsid w:val="003E2317"/>
    <w:rsid w:val="005B300A"/>
    <w:rsid w:val="00787A98"/>
    <w:rsid w:val="007A5C67"/>
    <w:rsid w:val="00871940"/>
    <w:rsid w:val="00B02CBD"/>
    <w:rsid w:val="00B20DF3"/>
    <w:rsid w:val="00BB7D5B"/>
    <w:rsid w:val="00C038FF"/>
    <w:rsid w:val="00CC5F7A"/>
    <w:rsid w:val="00DD7B7E"/>
    <w:rsid w:val="00E029A6"/>
    <w:rsid w:val="00EA6745"/>
    <w:rsid w:val="00F71958"/>
    <w:rsid w:val="00F82852"/>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8617B1-144E-054C-B8BD-B7C855A6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DDB"/>
  </w:style>
  <w:style w:type="paragraph" w:styleId="Heading1">
    <w:name w:val="heading 1"/>
    <w:basedOn w:val="Normal"/>
    <w:next w:val="Normal"/>
    <w:uiPriority w:val="9"/>
    <w:qFormat/>
    <w:rsid w:val="00F71958"/>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F7195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7195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F71958"/>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F71958"/>
    <w:pPr>
      <w:keepNext/>
      <w:keepLines/>
      <w:spacing w:before="220" w:after="40"/>
      <w:outlineLvl w:val="4"/>
    </w:pPr>
    <w:rPr>
      <w:b/>
    </w:rPr>
  </w:style>
  <w:style w:type="paragraph" w:styleId="Heading6">
    <w:name w:val="heading 6"/>
    <w:basedOn w:val="Normal"/>
    <w:next w:val="Normal"/>
    <w:uiPriority w:val="9"/>
    <w:semiHidden/>
    <w:unhideWhenUsed/>
    <w:qFormat/>
    <w:rsid w:val="00F7195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71958"/>
    <w:pPr>
      <w:keepNext/>
      <w:keepLines/>
      <w:spacing w:before="480" w:after="120"/>
    </w:pPr>
    <w:rPr>
      <w:b/>
      <w:sz w:val="72"/>
      <w:szCs w:val="72"/>
    </w:rPr>
  </w:style>
  <w:style w:type="paragraph" w:styleId="ListParagraph">
    <w:name w:val="List Paragraph"/>
    <w:basedOn w:val="Normal"/>
    <w:uiPriority w:val="34"/>
    <w:qFormat/>
    <w:rsid w:val="008933A7"/>
    <w:pPr>
      <w:spacing w:after="160" w:line="259" w:lineRule="auto"/>
      <w:ind w:left="720"/>
      <w:contextualSpacing/>
    </w:pPr>
  </w:style>
  <w:style w:type="paragraph" w:styleId="NormalWeb">
    <w:name w:val="Normal (Web)"/>
    <w:basedOn w:val="Normal"/>
    <w:uiPriority w:val="99"/>
    <w:unhideWhenUsed/>
    <w:rsid w:val="0071699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D2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12A"/>
  </w:style>
  <w:style w:type="paragraph" w:styleId="Footer">
    <w:name w:val="footer"/>
    <w:basedOn w:val="Normal"/>
    <w:link w:val="FooterChar"/>
    <w:uiPriority w:val="99"/>
    <w:unhideWhenUsed/>
    <w:rsid w:val="009D2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12A"/>
  </w:style>
  <w:style w:type="character" w:styleId="CommentReference">
    <w:name w:val="annotation reference"/>
    <w:basedOn w:val="DefaultParagraphFont"/>
    <w:uiPriority w:val="99"/>
    <w:semiHidden/>
    <w:unhideWhenUsed/>
    <w:rsid w:val="0046445F"/>
    <w:rPr>
      <w:sz w:val="16"/>
      <w:szCs w:val="16"/>
    </w:rPr>
  </w:style>
  <w:style w:type="paragraph" w:styleId="CommentText">
    <w:name w:val="annotation text"/>
    <w:basedOn w:val="Normal"/>
    <w:link w:val="CommentTextChar"/>
    <w:uiPriority w:val="99"/>
    <w:semiHidden/>
    <w:unhideWhenUsed/>
    <w:rsid w:val="0046445F"/>
    <w:pPr>
      <w:spacing w:line="240" w:lineRule="auto"/>
    </w:pPr>
    <w:rPr>
      <w:sz w:val="20"/>
      <w:szCs w:val="20"/>
    </w:rPr>
  </w:style>
  <w:style w:type="character" w:customStyle="1" w:styleId="CommentTextChar">
    <w:name w:val="Comment Text Char"/>
    <w:basedOn w:val="DefaultParagraphFont"/>
    <w:link w:val="CommentText"/>
    <w:uiPriority w:val="99"/>
    <w:semiHidden/>
    <w:rsid w:val="0046445F"/>
    <w:rPr>
      <w:sz w:val="20"/>
      <w:szCs w:val="20"/>
    </w:rPr>
  </w:style>
  <w:style w:type="paragraph" w:styleId="CommentSubject">
    <w:name w:val="annotation subject"/>
    <w:basedOn w:val="CommentText"/>
    <w:next w:val="CommentText"/>
    <w:link w:val="CommentSubjectChar"/>
    <w:uiPriority w:val="99"/>
    <w:semiHidden/>
    <w:unhideWhenUsed/>
    <w:rsid w:val="0046445F"/>
    <w:rPr>
      <w:b/>
      <w:bCs/>
    </w:rPr>
  </w:style>
  <w:style w:type="character" w:customStyle="1" w:styleId="CommentSubjectChar">
    <w:name w:val="Comment Subject Char"/>
    <w:basedOn w:val="CommentTextChar"/>
    <w:link w:val="CommentSubject"/>
    <w:uiPriority w:val="99"/>
    <w:semiHidden/>
    <w:rsid w:val="0046445F"/>
    <w:rPr>
      <w:b/>
      <w:bCs/>
      <w:sz w:val="20"/>
      <w:szCs w:val="20"/>
    </w:rPr>
  </w:style>
  <w:style w:type="paragraph" w:styleId="BalloonText">
    <w:name w:val="Balloon Text"/>
    <w:basedOn w:val="Normal"/>
    <w:link w:val="BalloonTextChar"/>
    <w:uiPriority w:val="99"/>
    <w:semiHidden/>
    <w:unhideWhenUsed/>
    <w:rsid w:val="004644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445F"/>
    <w:rPr>
      <w:rFonts w:ascii="Segoe UI" w:hAnsi="Segoe UI" w:cs="Segoe UI"/>
      <w:sz w:val="18"/>
      <w:szCs w:val="18"/>
    </w:rPr>
  </w:style>
  <w:style w:type="paragraph" w:styleId="Subtitle">
    <w:name w:val="Subtitle"/>
    <w:basedOn w:val="Normal"/>
    <w:next w:val="Normal"/>
    <w:uiPriority w:val="11"/>
    <w:qFormat/>
    <w:rsid w:val="00F71958"/>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 /><Relationship Id="rId3" Type="http://schemas.openxmlformats.org/officeDocument/2006/relationships/numbering" Target="numbering.xml" /><Relationship Id="rId7" Type="http://schemas.openxmlformats.org/officeDocument/2006/relationships/footnotes" Target="footnote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theme" Target="theme/theme1.xml" /><Relationship Id="rId5" Type="http://schemas.openxmlformats.org/officeDocument/2006/relationships/settings" Target="settings.xml" /><Relationship Id="rId10" Type="http://schemas.openxmlformats.org/officeDocument/2006/relationships/fontTable" Target="fontTable.xml" /><Relationship Id="rId4" Type="http://schemas.openxmlformats.org/officeDocument/2006/relationships/styles" Target="style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StyleName="APA" SelectedStyle="/APASixthEditionOfficeOnline.xsl" Version="6">
  <b:Source>
    <b:Tag>source1</b:Tag>
    <b:Year>2010</b:Year>
    <b:SourceType>Book</b:SourceType>
    <b:Title>Law of Succession</b:Title>
    <b:Publisher>LawAfrica</b:Publisher>
    <b:Gdcea>{"AccessedType":"Print"}</b:Gdcea>
    <b:Author>
      <b:Author>
        <b:NameList>
          <b:Person>
            <b:First>William</b:First>
            <b:Middle>Musyoka</b:Middle>
          </b:Person>
        </b:NameList>
      </b:Author>
    </b:Autho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gB8BrTEZ6eZUmQdzll3ZczlsYV0A==">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</go:docsCustomData>
</go:gDocsCustomXmlDataStorage>
</file>

<file path=customXml/itemProps1.xml><?xml version="1.0" encoding="utf-8"?>
<ds:datastoreItem xmlns:ds="http://schemas.openxmlformats.org/officeDocument/2006/customXml" ds:itemID="{0E0191C3-4F70-49E6-BCDB-03571019440E}">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3657</Words>
  <Characters>20851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Angaya</dc:creator>
  <cp:lastModifiedBy>lvg lvg</cp:lastModifiedBy>
  <cp:revision>2</cp:revision>
  <dcterms:created xsi:type="dcterms:W3CDTF">2022-08-05T18:45:00Z</dcterms:created>
  <dcterms:modified xsi:type="dcterms:W3CDTF">2022-08-05T18:45:00Z</dcterms:modified>
</cp:coreProperties>
</file>