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5E111" w14:textId="77777777" w:rsidR="00FC173B" w:rsidRDefault="00000000">
      <w:pPr>
        <w:jc w:val="center"/>
        <w:rPr>
          <w:rFonts w:ascii="Times New Roman" w:hAnsi="Times New Roman" w:cs="Times New Roman"/>
          <w:b/>
          <w:sz w:val="24"/>
          <w:szCs w:val="24"/>
          <w:lang w:val="en-GB"/>
        </w:rPr>
      </w:pPr>
      <w:r>
        <w:rPr>
          <w:rFonts w:ascii="Times New Roman" w:hAnsi="Times New Roman" w:cs="Times New Roman"/>
          <w:b/>
          <w:noProof/>
          <w:sz w:val="24"/>
          <w:szCs w:val="24"/>
        </w:rPr>
        <w:drawing>
          <wp:inline distT="0" distB="0" distL="0" distR="0" wp14:anchorId="1CFF3152" wp14:editId="0513D2F6">
            <wp:extent cx="1938655" cy="1511935"/>
            <wp:effectExtent l="0" t="0" r="4445" b="0"/>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srcRect/>
                    <a:stretch/>
                  </pic:blipFill>
                  <pic:spPr>
                    <a:xfrm>
                      <a:off x="0" y="0"/>
                      <a:ext cx="1938655" cy="1511935"/>
                    </a:xfrm>
                    <a:prstGeom prst="rect">
                      <a:avLst/>
                    </a:prstGeom>
                  </pic:spPr>
                </pic:pic>
              </a:graphicData>
            </a:graphic>
          </wp:inline>
        </w:drawing>
      </w:r>
    </w:p>
    <w:p w14:paraId="0E2813BC" w14:textId="77777777" w:rsidR="00FC173B" w:rsidRDefault="00000000">
      <w:pPr>
        <w:jc w:val="center"/>
        <w:rPr>
          <w:rFonts w:ascii="Times New Roman" w:hAnsi="Times New Roman" w:cs="Times New Roman"/>
          <w:b/>
          <w:sz w:val="24"/>
          <w:szCs w:val="24"/>
          <w:lang w:val="en-GB"/>
        </w:rPr>
      </w:pPr>
      <w:r>
        <w:rPr>
          <w:rFonts w:ascii="Times New Roman" w:hAnsi="Times New Roman" w:cs="Times New Roman"/>
          <w:b/>
          <w:sz w:val="24"/>
          <w:szCs w:val="24"/>
          <w:lang w:val="en-GB"/>
        </w:rPr>
        <w:t>KENYA SCHOOL OF LAW</w:t>
      </w:r>
    </w:p>
    <w:p w14:paraId="3289BC82" w14:textId="001A2E95" w:rsidR="00FC173B" w:rsidRDefault="00000000" w:rsidP="002E4342">
      <w:pPr>
        <w:jc w:val="center"/>
        <w:rPr>
          <w:rFonts w:ascii="Times New Roman" w:hAnsi="Times New Roman" w:cs="Times New Roman"/>
          <w:b/>
          <w:sz w:val="24"/>
          <w:szCs w:val="24"/>
          <w:lang w:val="en-GB"/>
        </w:rPr>
      </w:pPr>
      <w:r>
        <w:rPr>
          <w:rFonts w:ascii="Times New Roman" w:hAnsi="Times New Roman" w:cs="Times New Roman"/>
          <w:b/>
          <w:sz w:val="24"/>
          <w:szCs w:val="24"/>
          <w:lang w:val="en-GB"/>
        </w:rPr>
        <w:t>ADVOCATES TRAINING PROGRAMME 2022/2023 ACADEMIC YEAR</w:t>
      </w:r>
    </w:p>
    <w:p w14:paraId="69119D51" w14:textId="77777777" w:rsidR="00FC173B" w:rsidRDefault="00000000">
      <w:pPr>
        <w:jc w:val="center"/>
        <w:rPr>
          <w:rFonts w:ascii="Times New Roman" w:hAnsi="Times New Roman" w:cs="Times New Roman"/>
          <w:b/>
          <w:sz w:val="24"/>
          <w:szCs w:val="24"/>
          <w:lang w:val="en-GB"/>
        </w:rPr>
      </w:pPr>
      <w:r>
        <w:rPr>
          <w:rFonts w:ascii="Times New Roman" w:hAnsi="Times New Roman" w:cs="Times New Roman"/>
          <w:b/>
          <w:sz w:val="24"/>
          <w:szCs w:val="24"/>
          <w:lang w:val="en-GB"/>
        </w:rPr>
        <w:t>ATP 102 –PROBATE AND ADMINISTRATION</w:t>
      </w:r>
    </w:p>
    <w:p w14:paraId="63CD2150" w14:textId="0F633116" w:rsidR="00FC173B" w:rsidRDefault="00000000">
      <w:pPr>
        <w:jc w:val="center"/>
        <w:rPr>
          <w:rFonts w:ascii="Times New Roman" w:hAnsi="Times New Roman" w:cs="Times New Roman"/>
          <w:b/>
          <w:sz w:val="24"/>
          <w:szCs w:val="24"/>
          <w:lang w:val="en-GB"/>
        </w:rPr>
      </w:pPr>
      <w:r>
        <w:rPr>
          <w:rFonts w:ascii="Times New Roman" w:hAnsi="Times New Roman" w:cs="Times New Roman"/>
          <w:b/>
          <w:sz w:val="24"/>
          <w:szCs w:val="24"/>
          <w:lang w:val="en-GB"/>
        </w:rPr>
        <w:t>COURSE INSTRUCTOR: MS. ANASTACIA OTIENO</w:t>
      </w:r>
    </w:p>
    <w:p w14:paraId="4F83E1B0" w14:textId="77777777" w:rsidR="00FC173B" w:rsidRDefault="00FC173B">
      <w:pPr>
        <w:jc w:val="center"/>
        <w:rPr>
          <w:rFonts w:ascii="Times New Roman" w:hAnsi="Times New Roman" w:cs="Times New Roman"/>
          <w:b/>
          <w:sz w:val="24"/>
          <w:szCs w:val="24"/>
          <w:lang w:val="en-GB"/>
        </w:rPr>
      </w:pPr>
    </w:p>
    <w:p w14:paraId="1175FECC" w14:textId="77777777" w:rsidR="00FC173B" w:rsidRDefault="00000000">
      <w:pPr>
        <w:jc w:val="center"/>
        <w:rPr>
          <w:rFonts w:ascii="Times New Roman" w:hAnsi="Times New Roman" w:cs="Times New Roman"/>
          <w:b/>
          <w:sz w:val="24"/>
          <w:szCs w:val="24"/>
          <w:lang w:val="en-GB"/>
        </w:rPr>
      </w:pPr>
      <w:r>
        <w:rPr>
          <w:rFonts w:ascii="Times New Roman" w:hAnsi="Times New Roman" w:cs="Times New Roman"/>
          <w:b/>
          <w:sz w:val="24"/>
          <w:szCs w:val="24"/>
          <w:lang w:val="en-GB"/>
        </w:rPr>
        <w:t>CLASS E, FIRM 2</w:t>
      </w:r>
    </w:p>
    <w:p w14:paraId="76BC9420" w14:textId="77777777" w:rsidR="00FC173B" w:rsidRDefault="00000000">
      <w:pPr>
        <w:jc w:val="both"/>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MEMBERS:</w:t>
      </w:r>
    </w:p>
    <w:p w14:paraId="3B8B7C6C" w14:textId="3CDB17D9"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ROSELYNE AJWANG’</w:t>
      </w:r>
    </w:p>
    <w:p w14:paraId="71310B2E" w14:textId="3007F757"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WAFULA KERE</w:t>
      </w:r>
    </w:p>
    <w:p w14:paraId="0186DCA6" w14:textId="60299EC7"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KADZO MWAMURE</w:t>
      </w:r>
    </w:p>
    <w:p w14:paraId="2DCB8660" w14:textId="0993AC09"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PURITY KHENDI</w:t>
      </w:r>
    </w:p>
    <w:p w14:paraId="73EEE1F2" w14:textId="6AA008EF"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WANJIRU GIKONYO</w:t>
      </w:r>
    </w:p>
    <w:p w14:paraId="2E5EFAC9" w14:textId="402A3790" w:rsidR="00FC173B" w:rsidRDefault="00000000">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ROBERT KIPROP</w:t>
      </w:r>
    </w:p>
    <w:p w14:paraId="0CC7C89D" w14:textId="781CC995" w:rsidR="00FC173B" w:rsidRDefault="00000000">
      <w:pPr>
        <w:pStyle w:val="ListParagraph"/>
        <w:numPr>
          <w:ilvl w:val="0"/>
          <w:numId w:val="1"/>
        </w:numPr>
        <w:jc w:val="both"/>
        <w:rPr>
          <w:rFonts w:ascii="Times New Roman" w:hAnsi="Times New Roman" w:cs="Times New Roman"/>
          <w:b/>
          <w:sz w:val="24"/>
          <w:szCs w:val="24"/>
          <w:lang w:val="en-GB"/>
        </w:rPr>
      </w:pPr>
      <w:r>
        <w:rPr>
          <w:rFonts w:ascii="Times New Roman" w:hAnsi="Times New Roman" w:cs="Times New Roman"/>
          <w:sz w:val="24"/>
          <w:szCs w:val="24"/>
          <w:lang w:val="en-GB"/>
        </w:rPr>
        <w:t>PETER OMOLO</w:t>
      </w:r>
    </w:p>
    <w:p w14:paraId="6767EF79" w14:textId="77777777" w:rsidR="00FC173B" w:rsidRDefault="00FC173B">
      <w:pPr>
        <w:jc w:val="both"/>
        <w:rPr>
          <w:rFonts w:ascii="Times New Roman" w:hAnsi="Times New Roman" w:cs="Times New Roman"/>
          <w:b/>
          <w:sz w:val="24"/>
          <w:szCs w:val="24"/>
          <w:lang w:val="en-GB"/>
        </w:rPr>
      </w:pPr>
    </w:p>
    <w:p w14:paraId="195AD6E4" w14:textId="77777777" w:rsidR="00FC173B" w:rsidRDefault="00FC173B">
      <w:pPr>
        <w:jc w:val="both"/>
        <w:rPr>
          <w:rFonts w:ascii="Times New Roman" w:hAnsi="Times New Roman" w:cs="Times New Roman"/>
          <w:b/>
          <w:sz w:val="24"/>
          <w:szCs w:val="24"/>
          <w:lang w:val="en-GB"/>
        </w:rPr>
      </w:pPr>
    </w:p>
    <w:p w14:paraId="4CF2ABD0" w14:textId="77777777" w:rsidR="00FC173B" w:rsidRDefault="00000000">
      <w:pPr>
        <w:jc w:val="both"/>
        <w:rPr>
          <w:rFonts w:ascii="Times New Roman" w:hAnsi="Times New Roman" w:cs="Times New Roman"/>
          <w:b/>
          <w:sz w:val="24"/>
          <w:szCs w:val="24"/>
          <w:lang w:val="en-GB"/>
        </w:rPr>
      </w:pPr>
      <w:r>
        <w:rPr>
          <w:rFonts w:ascii="Times New Roman" w:hAnsi="Times New Roman" w:cs="Times New Roman"/>
          <w:b/>
          <w:sz w:val="24"/>
          <w:szCs w:val="24"/>
          <w:u w:val="single"/>
          <w:lang w:val="en-GB"/>
        </w:rPr>
        <w:t>QUESTION</w:t>
      </w:r>
      <w:r>
        <w:rPr>
          <w:rFonts w:ascii="Times New Roman" w:hAnsi="Times New Roman" w:cs="Times New Roman"/>
          <w:b/>
          <w:sz w:val="24"/>
          <w:szCs w:val="24"/>
          <w:lang w:val="en-GB"/>
        </w:rPr>
        <w:t>:</w:t>
      </w:r>
    </w:p>
    <w:p w14:paraId="14B6333E" w14:textId="77777777" w:rsidR="00FC173B" w:rsidRDefault="00000000">
      <w:pPr>
        <w:rPr>
          <w:rFonts w:ascii="Times New Roman" w:hAnsi="Times New Roman" w:cs="Times New Roman"/>
          <w:sz w:val="24"/>
          <w:szCs w:val="24"/>
        </w:rPr>
      </w:pPr>
      <w:r>
        <w:rPr>
          <w:rFonts w:ascii="Times New Roman" w:hAnsi="Times New Roman" w:cs="Times New Roman"/>
          <w:sz w:val="24"/>
          <w:szCs w:val="24"/>
        </w:rPr>
        <w:t xml:space="preserve">Kelline’s children are concerned about the ongoing process. They seem to be in the dark concerning their role and expectations from the estate. They are aware that the matter was filed but it has not been finalized. They have heard family discussions that the daughters will not be given as much property as the boys. They are worried that even the case might be concluded without them knowing what transpired. </w:t>
      </w:r>
    </w:p>
    <w:p w14:paraId="2CD87B7C" w14:textId="77777777" w:rsidR="00FC173B"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They need your advice and their entitlement </w:t>
      </w:r>
    </w:p>
    <w:p w14:paraId="0806131A" w14:textId="77777777" w:rsidR="00FC173B"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Any action to ensure that they are informed a as to the process. </w:t>
      </w:r>
    </w:p>
    <w:p w14:paraId="6C1771C2" w14:textId="77777777" w:rsidR="00FC173B" w:rsidRDefault="00FC173B">
      <w:pPr>
        <w:spacing w:line="360" w:lineRule="auto"/>
        <w:jc w:val="both"/>
        <w:rPr>
          <w:rFonts w:ascii="Times New Roman" w:hAnsi="Times New Roman" w:cs="Times New Roman"/>
          <w:sz w:val="24"/>
          <w:szCs w:val="24"/>
        </w:rPr>
      </w:pPr>
    </w:p>
    <w:p w14:paraId="5A740AD9" w14:textId="77777777" w:rsidR="00FC173B" w:rsidRDefault="00000000">
      <w:pPr>
        <w:rPr>
          <w:rFonts w:ascii="Times New Roman" w:hAnsi="Times New Roman" w:cs="Times New Roman"/>
          <w:sz w:val="24"/>
          <w:szCs w:val="24"/>
        </w:rPr>
      </w:pPr>
      <w:r>
        <w:rPr>
          <w:rFonts w:ascii="Times New Roman" w:hAnsi="Times New Roman" w:cs="Times New Roman"/>
          <w:sz w:val="24"/>
          <w:szCs w:val="24"/>
        </w:rPr>
        <w:br w:type="page"/>
      </w:r>
    </w:p>
    <w:p w14:paraId="30D10BE9" w14:textId="77777777" w:rsidR="00FC173B" w:rsidRDefault="00000000">
      <w:pPr>
        <w:pStyle w:val="Heading1"/>
        <w:numPr>
          <w:ilvl w:val="0"/>
          <w:numId w:val="18"/>
        </w:numPr>
        <w:rPr>
          <w:rFonts w:ascii="Times New Roman" w:hAnsi="Times New Roman" w:cs="Times New Roman"/>
          <w:b/>
          <w:color w:val="000000"/>
          <w:sz w:val="24"/>
          <w:szCs w:val="24"/>
          <w:u w:val="single"/>
        </w:rPr>
      </w:pPr>
      <w:r>
        <w:rPr>
          <w:rFonts w:ascii="Times New Roman" w:hAnsi="Times New Roman" w:cs="Times New Roman"/>
          <w:b/>
          <w:color w:val="000000"/>
          <w:sz w:val="24"/>
          <w:szCs w:val="24"/>
          <w:u w:val="single"/>
        </w:rPr>
        <w:lastRenderedPageBreak/>
        <w:t>LEGAL OPINION:</w:t>
      </w:r>
    </w:p>
    <w:p w14:paraId="5EC2C4C1" w14:textId="77777777" w:rsidR="00FC173B" w:rsidRDefault="00FC173B">
      <w:pPr>
        <w:rPr>
          <w:rFonts w:ascii="Times New Roman" w:hAnsi="Times New Roman" w:cs="Times New Roman"/>
          <w:sz w:val="24"/>
          <w:szCs w:val="24"/>
        </w:rPr>
      </w:pPr>
    </w:p>
    <w:p w14:paraId="71031B84" w14:textId="77777777" w:rsidR="00FC173B"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FIRM 2 &amp; COMPANY ADVOCATES</w:t>
      </w:r>
    </w:p>
    <w:p w14:paraId="1F439D60" w14:textId="77777777" w:rsidR="00FC173B"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Nafrom Building, 4</w:t>
      </w:r>
      <w:r>
        <w:rPr>
          <w:rFonts w:ascii="Times New Roman" w:hAnsi="Times New Roman" w:cs="Times New Roman"/>
          <w:b/>
          <w:sz w:val="24"/>
          <w:szCs w:val="24"/>
          <w:vertAlign w:val="superscript"/>
        </w:rPr>
        <w:t>th</w:t>
      </w:r>
      <w:r>
        <w:rPr>
          <w:rFonts w:ascii="Times New Roman" w:hAnsi="Times New Roman" w:cs="Times New Roman"/>
          <w:b/>
          <w:sz w:val="24"/>
          <w:szCs w:val="24"/>
        </w:rPr>
        <w:t xml:space="preserve"> Floor, Bogani Rd, P.O BOX 102030 Nairobi</w:t>
      </w:r>
    </w:p>
    <w:p w14:paraId="7FF9409E" w14:textId="77777777" w:rsidR="00FC173B"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Tel- +2541234567 Email: firm2companyadvocates@gmail.com</w:t>
      </w:r>
    </w:p>
    <w:p w14:paraId="1830D7F3" w14:textId="77777777" w:rsidR="00FC173B" w:rsidRDefault="000000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Our Ref: TO/EWC/012/22 </w:t>
      </w:r>
      <w:r>
        <w:rPr>
          <w:rFonts w:ascii="Times New Roman" w:hAnsi="Times New Roman" w:cs="Times New Roman"/>
          <w:b/>
          <w:sz w:val="24"/>
          <w:szCs w:val="24"/>
        </w:rPr>
        <w:tab/>
      </w:r>
      <w:r>
        <w:rPr>
          <w:rFonts w:ascii="Times New Roman" w:hAnsi="Times New Roman" w:cs="Times New Roman"/>
          <w:b/>
          <w:sz w:val="24"/>
          <w:szCs w:val="24"/>
        </w:rPr>
        <w:tab/>
        <w:t xml:space="preserve">Your Ref: T.B.A </w:t>
      </w:r>
      <w:r>
        <w:rPr>
          <w:rFonts w:ascii="Times New Roman" w:hAnsi="Times New Roman" w:cs="Times New Roman"/>
          <w:b/>
          <w:sz w:val="24"/>
          <w:szCs w:val="24"/>
        </w:rPr>
        <w:tab/>
      </w:r>
      <w:r>
        <w:rPr>
          <w:rFonts w:ascii="Times New Roman" w:hAnsi="Times New Roman" w:cs="Times New Roman"/>
          <w:b/>
          <w:sz w:val="24"/>
          <w:szCs w:val="24"/>
        </w:rPr>
        <w:tab/>
        <w:t>Date: 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August 2022</w:t>
      </w:r>
    </w:p>
    <w:p w14:paraId="24D94425" w14:textId="77777777" w:rsidR="00FC173B" w:rsidRDefault="00FC173B">
      <w:pPr>
        <w:spacing w:line="360" w:lineRule="auto"/>
        <w:jc w:val="center"/>
        <w:rPr>
          <w:rFonts w:ascii="Times New Roman" w:hAnsi="Times New Roman" w:cs="Times New Roman"/>
          <w:b/>
          <w:sz w:val="24"/>
          <w:szCs w:val="24"/>
        </w:rPr>
      </w:pPr>
    </w:p>
    <w:p w14:paraId="3E180221" w14:textId="77777777" w:rsidR="00FC173B"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Selline Highness,</w:t>
      </w:r>
    </w:p>
    <w:p w14:paraId="3A1678CA" w14:textId="77777777" w:rsidR="00FC173B"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P.O Box 10430-00100</w:t>
      </w:r>
    </w:p>
    <w:p w14:paraId="0B24BE32" w14:textId="77777777" w:rsidR="00FC173B"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Nairobi, Kenya.</w:t>
      </w:r>
    </w:p>
    <w:p w14:paraId="1BA12B5B" w14:textId="77777777" w:rsidR="00FC173B" w:rsidRDefault="00FC173B">
      <w:pPr>
        <w:spacing w:line="360" w:lineRule="auto"/>
        <w:jc w:val="both"/>
        <w:rPr>
          <w:rFonts w:ascii="Times New Roman" w:hAnsi="Times New Roman" w:cs="Times New Roman"/>
          <w:b/>
          <w:sz w:val="24"/>
          <w:szCs w:val="24"/>
          <w:u w:val="single"/>
        </w:rPr>
      </w:pPr>
    </w:p>
    <w:p w14:paraId="1108F576" w14:textId="77777777" w:rsidR="00FC173B"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Dear Ms. Highness,</w:t>
      </w:r>
    </w:p>
    <w:p w14:paraId="1FBD7A93" w14:textId="77777777" w:rsidR="00FC173B"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 YOUR ENTITLEMENT TO YOUR FATHER’S ESTATE AND HOW YOU WILL STAY INFORMED.</w:t>
      </w:r>
    </w:p>
    <w:p w14:paraId="4314108D" w14:textId="77777777" w:rsidR="00FC173B"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color w:val="000000"/>
          <w:sz w:val="24"/>
          <w:szCs w:val="24"/>
          <w:lang w:val="en-GB"/>
        </w:rPr>
        <w:t xml:space="preserve"> Reference is made to your instructions on providing legal advice on your entitlement to your father’s estate and how you will stay informed. It is through this basis that we give you our informed legal opinion as follows:</w:t>
      </w:r>
    </w:p>
    <w:p w14:paraId="73CBBF12" w14:textId="77777777" w:rsidR="00FC173B"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Facts</w:t>
      </w:r>
    </w:p>
    <w:p w14:paraId="6A6E0B2D"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Mr. Highness, died intestate as both his wills are invalid. You are his children by Kelline, his first wife married under customary law. Currently, you are not involved in the ongoing family discussions regarding the distribution of his estate. You know the matter has been filed but is yet to be concluded. You have also heard family discussions that the daughters will not inherit as much as the sons. You are concerned about the matter concluding without your involvement and want to know how you can stay informed of development in the case.</w:t>
      </w:r>
    </w:p>
    <w:p w14:paraId="1AAF9E15"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Issues</w:t>
      </w:r>
    </w:p>
    <w:p w14:paraId="5E505236"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Who is a child under the Law of Succession Act?</w:t>
      </w:r>
    </w:p>
    <w:p w14:paraId="4A6EBF81"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What is the role that you will play concerning the estate?</w:t>
      </w:r>
    </w:p>
    <w:p w14:paraId="15B58232"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legal provisions on gender equality in succession matters?</w:t>
      </w:r>
    </w:p>
    <w:p w14:paraId="6F5072D5"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What is your entitlement to your father’s estate?</w:t>
      </w:r>
    </w:p>
    <w:p w14:paraId="7C5237D5"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Is age a factor upon which the distribution of an estate be premised on?</w:t>
      </w:r>
    </w:p>
    <w:p w14:paraId="7934DA4A"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Are you entitled to be informed of the ongoing process?</w:t>
      </w:r>
    </w:p>
    <w:p w14:paraId="7BA74915" w14:textId="77777777" w:rsidR="00FC173B"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How do you ensure you stay informed?</w:t>
      </w:r>
    </w:p>
    <w:p w14:paraId="5BABA2BD" w14:textId="77777777" w:rsidR="00FC173B" w:rsidRDefault="00000000">
      <w:pPr>
        <w:pStyle w:val="Heading2"/>
        <w:numPr>
          <w:ilvl w:val="0"/>
          <w:numId w:val="19"/>
        </w:numPr>
        <w:rPr>
          <w:rFonts w:ascii="Times New Roman" w:hAnsi="Times New Roman" w:cs="Times New Roman"/>
          <w:b/>
          <w:color w:val="000000"/>
          <w:sz w:val="24"/>
          <w:szCs w:val="24"/>
        </w:rPr>
      </w:pPr>
      <w:r>
        <w:rPr>
          <w:rFonts w:ascii="Times New Roman" w:hAnsi="Times New Roman" w:cs="Times New Roman"/>
          <w:b/>
          <w:color w:val="000000"/>
          <w:sz w:val="24"/>
          <w:szCs w:val="24"/>
        </w:rPr>
        <w:t>Who is a child under the Law of Succession Act?</w:t>
      </w:r>
    </w:p>
    <w:p w14:paraId="628F0D17"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Law of Succession Act defines the term child under </w:t>
      </w:r>
      <w:r>
        <w:rPr>
          <w:rFonts w:ascii="Times New Roman" w:hAnsi="Times New Roman" w:cs="Times New Roman"/>
          <w:b/>
          <w:sz w:val="24"/>
          <w:szCs w:val="24"/>
        </w:rPr>
        <w:t>section 3(2)</w:t>
      </w:r>
      <w:r>
        <w:rPr>
          <w:rFonts w:ascii="Times New Roman" w:hAnsi="Times New Roman" w:cs="Times New Roman"/>
          <w:sz w:val="24"/>
          <w:szCs w:val="24"/>
        </w:rPr>
        <w:t xml:space="preserve"> as; "</w:t>
      </w:r>
      <w:r>
        <w:rPr>
          <w:rFonts w:ascii="Times New Roman" w:hAnsi="Times New Roman" w:cs="Times New Roman"/>
          <w:i/>
          <w:sz w:val="24"/>
          <w:szCs w:val="24"/>
        </w:rPr>
        <w:t>shall include a child conceived but not yet born (as long as that child is subsequently born alive) and, in relation to a female person, any child born to her out of wedlock, and, in relation to a male person, any child whom he has expressly recognized or in fact accepted as a child of his own or for whom he has voluntarily assumed permanent responsibility</w:t>
      </w:r>
      <w:r>
        <w:rPr>
          <w:rFonts w:ascii="Times New Roman" w:hAnsi="Times New Roman" w:cs="Times New Roman"/>
          <w:sz w:val="24"/>
          <w:szCs w:val="24"/>
        </w:rPr>
        <w:t>.</w:t>
      </w:r>
    </w:p>
    <w:p w14:paraId="24F622CB"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Initially, Succession Law safeguarded only the rights of legitimate child or children for they are recognized without a doubt as beneficiaries of the estate of a deceased parent. However, in recognition of the hardship faced by illegitimate, step children and adopted child or children, the Law of Succession Act has modified the position and provided for all. The same has adequately been emphasized in case laws.</w:t>
      </w:r>
    </w:p>
    <w:p w14:paraId="11A18DC1"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i/>
          <w:sz w:val="24"/>
          <w:szCs w:val="24"/>
        </w:rPr>
        <w:t xml:space="preserve">NSA &amp; Another v Cabinet Secretary for, Ministry of Interior and Coordination of National Government &amp;Another (2019) eklr </w:t>
      </w:r>
      <w:r>
        <w:rPr>
          <w:rFonts w:ascii="Times New Roman" w:hAnsi="Times New Roman" w:cs="Times New Roman"/>
          <w:sz w:val="24"/>
          <w:szCs w:val="24"/>
        </w:rPr>
        <w:t>Njagi held that "Section 3(2) of the LSA was inconsistent with the Constitution in so far as a child born of out of wedlock is regarded as a child if the father has expressly recognized or in fact accepted such a child as his own or for whom he has voluntarily assumed permanent responsibility. He stated that a parent’s responsibilities to their children are mandatory and not discretionary whether parents are married or not."</w:t>
      </w:r>
    </w:p>
    <w:p w14:paraId="7DC7EDF1"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case of </w:t>
      </w:r>
      <w:r>
        <w:rPr>
          <w:rFonts w:ascii="Times New Roman" w:hAnsi="Times New Roman" w:cs="Times New Roman"/>
          <w:b/>
          <w:i/>
          <w:sz w:val="24"/>
          <w:szCs w:val="24"/>
        </w:rPr>
        <w:t>Willingstone Muchugi Kimari v Rahab Wanjiru Mugo Court of Appeal Civil appeal No. 168 of 1990</w:t>
      </w:r>
      <w:r>
        <w:rPr>
          <w:rFonts w:ascii="Times New Roman" w:hAnsi="Times New Roman" w:cs="Times New Roman"/>
          <w:sz w:val="24"/>
          <w:szCs w:val="24"/>
        </w:rPr>
        <w:t xml:space="preserve">, held a child whom the deceased in fact had accepted as his own or for whom the deceased has accepted or assumed permanent responsibility over  despite being a result of an adulterous union is recognized as a child of the deceased. The Judge further quoted section 10 of the Legitimacy Act stating that an illegitimate child and his mother of an illegitimate child are entitled to succeed on the intestacy of the other. This was further echoed in the case </w:t>
      </w:r>
      <w:r>
        <w:rPr>
          <w:rFonts w:ascii="Times New Roman" w:hAnsi="Times New Roman" w:cs="Times New Roman"/>
          <w:b/>
          <w:i/>
          <w:sz w:val="24"/>
          <w:szCs w:val="24"/>
        </w:rPr>
        <w:t xml:space="preserve">of In the Matter of the Estate of Jonathan Mutua Misi (deceased) Cause number 95 </w:t>
      </w:r>
      <w:r>
        <w:rPr>
          <w:rFonts w:ascii="Times New Roman" w:hAnsi="Times New Roman" w:cs="Times New Roman"/>
          <w:b/>
          <w:i/>
          <w:sz w:val="24"/>
          <w:szCs w:val="24"/>
        </w:rPr>
        <w:lastRenderedPageBreak/>
        <w:t>of 1995,</w:t>
      </w:r>
      <w:r>
        <w:rPr>
          <w:rFonts w:ascii="Times New Roman" w:hAnsi="Times New Roman" w:cs="Times New Roman"/>
          <w:sz w:val="24"/>
          <w:szCs w:val="24"/>
        </w:rPr>
        <w:t xml:space="preserve"> that a child born out of an adulterous union is entitled to inherit his father as he is his progeny. </w:t>
      </w:r>
    </w:p>
    <w:p w14:paraId="7A0025AB"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paternity proof is required to confirm the dependency of the child. This was ascertained in </w:t>
      </w:r>
      <w:r>
        <w:rPr>
          <w:rFonts w:ascii="Times New Roman" w:hAnsi="Times New Roman" w:cs="Times New Roman"/>
          <w:b/>
          <w:i/>
          <w:sz w:val="24"/>
          <w:szCs w:val="24"/>
        </w:rPr>
        <w:t xml:space="preserve">the Matter of the Estate of JMK (deceased) Cause No. 102 of 2019 </w:t>
      </w:r>
      <w:r>
        <w:rPr>
          <w:rFonts w:ascii="Times New Roman" w:hAnsi="Times New Roman" w:cs="Times New Roman"/>
          <w:sz w:val="24"/>
          <w:szCs w:val="24"/>
        </w:rPr>
        <w:t>Hon</w:t>
      </w:r>
      <w:r>
        <w:rPr>
          <w:rFonts w:ascii="Times New Roman" w:hAnsi="Times New Roman" w:cs="Times New Roman"/>
          <w:b/>
          <w:i/>
          <w:sz w:val="24"/>
          <w:szCs w:val="24"/>
        </w:rPr>
        <w:t>.</w:t>
      </w:r>
      <w:r>
        <w:rPr>
          <w:rFonts w:ascii="Times New Roman" w:hAnsi="Times New Roman" w:cs="Times New Roman"/>
          <w:sz w:val="24"/>
          <w:szCs w:val="24"/>
        </w:rPr>
        <w:t>L. A. Achode held that; "</w:t>
      </w:r>
      <w:r>
        <w:rPr>
          <w:rFonts w:ascii="Times New Roman" w:hAnsi="Times New Roman" w:cs="Times New Roman"/>
          <w:i/>
          <w:sz w:val="24"/>
          <w:szCs w:val="24"/>
        </w:rPr>
        <w:t>The standard of proof in the application for an order of DNA is not beyond reasonable doubt. What the applicant must show is that there was on a balance of probability prima facie evidence of a relationship between the applicant as the mother of the children and the deceased that could have borne the children as issues of the relationship</w:t>
      </w:r>
      <w:r>
        <w:rPr>
          <w:rFonts w:ascii="Times New Roman" w:hAnsi="Times New Roman" w:cs="Times New Roman"/>
          <w:sz w:val="24"/>
          <w:szCs w:val="24"/>
        </w:rPr>
        <w:t>."</w:t>
      </w:r>
    </w:p>
    <w:p w14:paraId="72B1F958" w14:textId="77777777" w:rsidR="00FC173B" w:rsidRDefault="00000000">
      <w:pPr>
        <w:spacing w:line="360" w:lineRule="auto"/>
        <w:jc w:val="both"/>
      </w:pPr>
      <w:r>
        <w:rPr>
          <w:rFonts w:ascii="Times New Roman" w:hAnsi="Times New Roman" w:cs="Times New Roman"/>
          <w:sz w:val="24"/>
          <w:szCs w:val="24"/>
        </w:rPr>
        <w:t>Section 118 of the Evidence Act provides for conclusive proof of presumption of legitimacy “</w:t>
      </w:r>
      <w:r>
        <w:rPr>
          <w:rFonts w:ascii="Times New Roman" w:hAnsi="Times New Roman" w:cs="Times New Roman"/>
          <w:i/>
          <w:sz w:val="24"/>
          <w:szCs w:val="24"/>
        </w:rPr>
        <w:t>The fact that any person was born during the continuance of a valid marriage between his mother and any man, or within two hundred and eighty days after its dissolution, the mother remaining unmarried, shall be conclusive proof that he is the legitimate son of that man, unless it can be shown that the parties to the marriage had no access to each other at any time when he could have been begotten”</w:t>
      </w:r>
      <w:r>
        <w:rPr>
          <w:rFonts w:ascii="Times New Roman" w:hAnsi="Times New Roman" w:cs="Times New Roman"/>
          <w:sz w:val="24"/>
          <w:szCs w:val="24"/>
        </w:rPr>
        <w:t xml:space="preserve"> from this conducting of a DNA test shall act as prima facie evidence and could be accompanied by an original birth certificate of the claimant. The latter is subjected to section 12 of Births and Death Registration Act</w:t>
      </w:r>
      <w:r>
        <w:t>.</w:t>
      </w:r>
    </w:p>
    <w:p w14:paraId="30B79849"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t>In the Matter of the Estate of A M A (deceased) Cause No. 430 of 2010</w:t>
      </w:r>
      <w:r>
        <w:rPr>
          <w:rFonts w:ascii="Times New Roman" w:hAnsi="Times New Roman" w:cs="Times New Roman"/>
          <w:sz w:val="24"/>
          <w:szCs w:val="24"/>
        </w:rPr>
        <w:t>. The case held that it would be prudent to arrange for a DNA test to determine with certainty the paternity of the children at least prior to the confirmation of the grant so that they may benefit from the estate if indeed they are children of the deceased. The case further established that  in as much as a birth certificate can suffice proof paternity, if they are obtained after the death of the deceased, they create a possibility that they are not genuine as observed, hence are inadmissible.</w:t>
      </w:r>
    </w:p>
    <w:p w14:paraId="0E59F0FB" w14:textId="77777777" w:rsidR="00FC173B" w:rsidRDefault="00000000">
      <w:pPr>
        <w:spacing w:line="360" w:lineRule="auto"/>
        <w:jc w:val="both"/>
        <w:rPr>
          <w:rFonts w:ascii="Arial" w:hAnsi="Arial" w:cs="Arial"/>
          <w:color w:val="212529"/>
          <w:shd w:val="clear" w:color="auto" w:fill="FFFFFF"/>
        </w:rPr>
      </w:pPr>
      <w:r>
        <w:rPr>
          <w:rFonts w:ascii="Times New Roman" w:hAnsi="Times New Roman" w:cs="Times New Roman"/>
          <w:sz w:val="24"/>
          <w:szCs w:val="24"/>
        </w:rPr>
        <w:t xml:space="preserve">J. Onyancha stated in the case of </w:t>
      </w:r>
      <w:r>
        <w:rPr>
          <w:rFonts w:ascii="Times New Roman" w:hAnsi="Times New Roman" w:cs="Times New Roman"/>
          <w:b/>
          <w:i/>
          <w:sz w:val="24"/>
          <w:szCs w:val="24"/>
        </w:rPr>
        <w:t>Hellen Cherono Kimurgor V Esther Jelagat Kosgei</w:t>
      </w:r>
      <w:r>
        <w:rPr>
          <w:rFonts w:ascii="Times New Roman" w:hAnsi="Times New Roman" w:cs="Times New Roman"/>
          <w:sz w:val="24"/>
          <w:szCs w:val="24"/>
        </w:rPr>
        <w:t xml:space="preserve"> (2008) eKLR and </w:t>
      </w:r>
      <w:r>
        <w:rPr>
          <w:rFonts w:ascii="Times New Roman" w:hAnsi="Times New Roman" w:cs="Times New Roman"/>
          <w:b/>
          <w:i/>
          <w:sz w:val="24"/>
          <w:szCs w:val="24"/>
        </w:rPr>
        <w:t>MW v KC (</w:t>
      </w:r>
      <w:r>
        <w:rPr>
          <w:rFonts w:ascii="Times New Roman" w:hAnsi="Times New Roman" w:cs="Times New Roman"/>
          <w:sz w:val="24"/>
          <w:szCs w:val="24"/>
        </w:rPr>
        <w:t>2005) KLR 246; that a court will order for a DNA test in a Succession Cause in circumstances where there is sufficient linking between the respondent to the child.</w:t>
      </w:r>
    </w:p>
    <w:p w14:paraId="2B7E7319" w14:textId="77777777" w:rsidR="00FC173B" w:rsidRDefault="00000000">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When the court establishes the deceased was indeed the father of the child, then the child is deemed to be a 'dependant' of the deceased. Thereafter the court would consider a number of factors when arriving at its decision on whether to make an order for financial provision to be made from the deceased's estate. The court would take into account the relationship between the </w:t>
      </w:r>
      <w:r>
        <w:rPr>
          <w:rFonts w:ascii="Times New Roman" w:hAnsi="Times New Roman" w:cs="Times New Roman"/>
          <w:sz w:val="24"/>
          <w:szCs w:val="24"/>
          <w:shd w:val="clear" w:color="auto" w:fill="FFFFFF"/>
        </w:rPr>
        <w:lastRenderedPageBreak/>
        <w:t>child and the deceased, the age and requirements of the child, whether the child has other sufficient financial means and any other relevant factors stipulated under Section 28 of the LSA.</w:t>
      </w:r>
    </w:p>
    <w:p w14:paraId="2D125C7A"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in</w:t>
      </w:r>
      <w:r>
        <w:rPr>
          <w:rStyle w:val="Emphasis"/>
          <w:rFonts w:ascii="Times New Roman" w:hAnsi="Times New Roman" w:cs="Times New Roman"/>
          <w:b/>
          <w:bCs/>
          <w:color w:val="000000"/>
          <w:sz w:val="24"/>
          <w:szCs w:val="24"/>
          <w:bdr w:val="none" w:sz="0" w:space="0" w:color="auto" w:frame="1"/>
        </w:rPr>
        <w:t> Re Estate of Samuel Maina Mbora (Deceased) [2019] eKLR</w:t>
      </w:r>
      <w:r>
        <w:rPr>
          <w:rFonts w:ascii="Times New Roman" w:hAnsi="Times New Roman" w:cs="Times New Roman"/>
          <w:sz w:val="24"/>
          <w:szCs w:val="24"/>
        </w:rPr>
        <w:t>  held that where a step child desires that a court recognizes him as a child of a deceased man, it is upon such a child to prove that the deceased took him in as his own child.</w:t>
      </w:r>
    </w:p>
    <w:p w14:paraId="3472785B"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facts of the case are that, upon the demise of Mr. Samuel Maina Mbora, the Public Trustee filed Summons for confirmation of Grant indicating that the deceased was survived by his mother and two sons; John Nderitu Maina (deceased) and Paul Wachira Maina (“Paul”). The Public Trustee proposed that Paul be made the sole beneficiary of the deceased’s entire estate.</w:t>
      </w:r>
    </w:p>
    <w:p w14:paraId="26801234"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Mother of the deceased protested the proposal on the grounds that, Paul was not a son of the deceased.</w:t>
      </w:r>
    </w:p>
    <w:p w14:paraId="1A4711E3"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Paul argued that he was a son of the deceased on grounds that; the deceased married his late mother, he lived on the land where the deceased and his deceased mother were buried; he attended the neighborhood school; the deceased had appointed his deceased mother as his next of kin whom he described as his wife and the area assistant chief recognised Paul as the deceased’s son.</w:t>
      </w:r>
    </w:p>
    <w:p w14:paraId="3385DF66"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Further, Paul placed reliance on Gikuyu customary law which provided that the marriage of Paul’s mother to the deceased made the deceased his legal father as was stated in</w:t>
      </w:r>
      <w:r>
        <w:rPr>
          <w:rStyle w:val="Emphasis"/>
          <w:rFonts w:ascii="Times New Roman" w:hAnsi="Times New Roman" w:cs="Times New Roman"/>
          <w:color w:val="000000"/>
          <w:sz w:val="24"/>
          <w:szCs w:val="24"/>
          <w:u w:val="single"/>
          <w:bdr w:val="none" w:sz="0" w:space="0" w:color="auto" w:frame="1"/>
        </w:rPr>
        <w:t> Allot N. Allot Restatement of African Law: 2 The law of Successio</w:t>
      </w:r>
      <w:r>
        <w:rPr>
          <w:rFonts w:ascii="Times New Roman" w:hAnsi="Times New Roman" w:cs="Times New Roman"/>
          <w:sz w:val="24"/>
          <w:szCs w:val="24"/>
          <w:u w:val="single"/>
        </w:rPr>
        <w:t>n </w:t>
      </w:r>
      <w:r>
        <w:rPr>
          <w:rFonts w:ascii="Times New Roman" w:hAnsi="Times New Roman" w:cs="Times New Roman"/>
          <w:sz w:val="24"/>
          <w:szCs w:val="24"/>
        </w:rPr>
        <w:t>with reference to “</w:t>
      </w:r>
      <w:r>
        <w:rPr>
          <w:rStyle w:val="Strong"/>
          <w:rFonts w:ascii="Times New Roman" w:hAnsi="Times New Roman" w:cs="Times New Roman"/>
          <w:i/>
          <w:iCs/>
          <w:color w:val="000000"/>
          <w:sz w:val="24"/>
          <w:szCs w:val="24"/>
          <w:bdr w:val="none" w:sz="0" w:space="0" w:color="auto" w:frame="1"/>
        </w:rPr>
        <w:t>Illegitimate children”</w:t>
      </w:r>
      <w:r>
        <w:rPr>
          <w:rFonts w:ascii="Times New Roman" w:hAnsi="Times New Roman" w:cs="Times New Roman"/>
          <w:sz w:val="24"/>
          <w:szCs w:val="24"/>
        </w:rPr>
        <w:t> where the author states that</w:t>
      </w:r>
      <w:r>
        <w:rPr>
          <w:rStyle w:val="Emphasis"/>
          <w:rFonts w:ascii="Times New Roman" w:hAnsi="Times New Roman" w:cs="Times New Roman"/>
          <w:color w:val="000000"/>
          <w:sz w:val="24"/>
          <w:szCs w:val="24"/>
          <w:bdr w:val="none" w:sz="0" w:space="0" w:color="auto" w:frame="1"/>
        </w:rPr>
        <w:t>‘</w:t>
      </w:r>
    </w:p>
    <w:p w14:paraId="31D80CCB" w14:textId="77777777" w:rsidR="00FC173B" w:rsidRDefault="00000000">
      <w:pPr>
        <w:spacing w:line="360" w:lineRule="auto"/>
        <w:jc w:val="both"/>
        <w:rPr>
          <w:rFonts w:ascii="Times New Roman" w:hAnsi="Times New Roman" w:cs="Times New Roman"/>
          <w:i/>
          <w:iCs/>
          <w:sz w:val="24"/>
          <w:szCs w:val="24"/>
        </w:rPr>
      </w:pPr>
      <w:r>
        <w:rPr>
          <w:rStyle w:val="Strong"/>
          <w:rFonts w:ascii="Times New Roman" w:hAnsi="Times New Roman" w:cs="Times New Roman"/>
          <w:i/>
          <w:iCs/>
          <w:sz w:val="24"/>
          <w:szCs w:val="24"/>
          <w:bdr w:val="none" w:sz="0" w:space="0" w:color="auto" w:frame="1"/>
        </w:rPr>
        <w:t>A mother is one of the guardians of her illegitimate children. The male co guardian being her own father (or in his absence, her eldest brother). Note the natural father of the child has to pay the pregnancy compensation. If the mother should subsequently marry, her husband becomes the co guardian, who is regarded as the children’s father for all purposes, including the inheriting of his property’</w:t>
      </w:r>
      <w:r>
        <w:rPr>
          <w:rStyle w:val="Emphasis"/>
          <w:rFonts w:ascii="Times New Roman" w:hAnsi="Times New Roman" w:cs="Times New Roman"/>
          <w:sz w:val="24"/>
          <w:szCs w:val="24"/>
          <w:bdr w:val="none" w:sz="0" w:space="0" w:color="auto" w:frame="1"/>
        </w:rPr>
        <w:t>.</w:t>
      </w:r>
    </w:p>
    <w:p w14:paraId="486F9F30"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upheld the Protest and held that Paul had failed to adduce evidence that the deceased had voluntarily assumed permanent responsibility for him. Further, the court noted that where a man takes a child who is not his biological child and accepts him as his own, it does not turn that </w:t>
      </w:r>
      <w:r>
        <w:rPr>
          <w:rFonts w:ascii="Times New Roman" w:hAnsi="Times New Roman" w:cs="Times New Roman"/>
          <w:sz w:val="24"/>
          <w:szCs w:val="24"/>
        </w:rPr>
        <w:lastRenderedPageBreak/>
        <w:t>child into a son or daughter but into a beneficiary to the (deceased’s) estate, unless there is an adoption order.</w:t>
      </w:r>
    </w:p>
    <w:p w14:paraId="7D3ACD4D"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legal import of this decision is that unless a step-child is legally adopted, they will not automatically inherit the deceased’s estate under section 38 of the Law of Succession Act.</w:t>
      </w:r>
    </w:p>
    <w:p w14:paraId="53E2ED25" w14:textId="77777777" w:rsidR="00FC173B" w:rsidRDefault="00000000">
      <w:pPr>
        <w:spacing w:line="360" w:lineRule="auto"/>
        <w:rPr>
          <w:rFonts w:ascii="Times New Roman" w:hAnsi="Times New Roman" w:cs="Times New Roman"/>
        </w:rPr>
      </w:pPr>
      <w:r>
        <w:rPr>
          <w:rFonts w:ascii="Times New Roman" w:hAnsi="Times New Roman" w:cs="Times New Roman"/>
        </w:rPr>
        <w:t>An adopted child for the purpose of entitlement under the rules of intestacy, takes on the intestacy of the adoptive parent and other relatives by adoption, such as grandparents, brothers and sisters, and so on.</w:t>
      </w:r>
    </w:p>
    <w:p w14:paraId="43B08D1E"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the matter of Baby  P.T.H [2012]eKLR, in considering the adoption order of the above child, the court stated that:</w:t>
      </w:r>
    </w:p>
    <w:p w14:paraId="67228838"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w:t>
      </w:r>
      <w:r>
        <w:rPr>
          <w:rStyle w:val="Emphasis"/>
          <w:rFonts w:ascii="Times New Roman" w:hAnsi="Times New Roman" w:cs="Times New Roman"/>
          <w:sz w:val="24"/>
          <w:szCs w:val="24"/>
        </w:rPr>
        <w:t>For the avoidance of doubt, it is herein declared that all rights, duties, obligations and liabilities of the biological parents or guardians of the child are extinguished and all such rights, duties, obligations and liabilities shall vest in and be exercised by and be enforceable against the adopting parents namely, J.N.K and R.M.N as if the said child were a child born to them inside marriage and in respect of the matters aforesaid the child shall stand to the adopting parents as a child born in wedlock with the right to inherit the Applicants</w:t>
      </w:r>
      <w:r>
        <w:rPr>
          <w:rFonts w:ascii="Times New Roman" w:hAnsi="Times New Roman" w:cs="Times New Roman"/>
          <w:sz w:val="24"/>
          <w:szCs w:val="24"/>
        </w:rPr>
        <w:t>.”</w:t>
      </w:r>
    </w:p>
    <w:p w14:paraId="32D0C1C2" w14:textId="77777777" w:rsidR="00FC173B" w:rsidRDefault="00000000">
      <w:pPr>
        <w:pStyle w:val="NoSpacing"/>
        <w:spacing w:line="360" w:lineRule="auto"/>
        <w:jc w:val="both"/>
      </w:pPr>
      <w:r>
        <w:rPr>
          <w:rFonts w:ascii="Times New Roman" w:hAnsi="Times New Roman" w:cs="Times New Roman"/>
          <w:sz w:val="24"/>
          <w:szCs w:val="24"/>
        </w:rPr>
        <w:t>Similarly,</w:t>
      </w:r>
      <w:r>
        <w:t> </w:t>
      </w:r>
      <w:r>
        <w:rPr>
          <w:rFonts w:ascii="Times New Roman" w:hAnsi="Times New Roman" w:cs="Times New Roman"/>
          <w:b/>
          <w:i/>
          <w:sz w:val="24"/>
          <w:szCs w:val="24"/>
        </w:rPr>
        <w:t>In re H.R (Baby) [2015] eKLR</w:t>
      </w:r>
      <w:r>
        <w:rPr>
          <w:b/>
        </w:rPr>
        <w:t>,</w:t>
      </w:r>
      <w:r>
        <w:t xml:space="preserve"> </w:t>
      </w:r>
      <w:r>
        <w:rPr>
          <w:rFonts w:ascii="Times New Roman" w:hAnsi="Times New Roman" w:cs="Times New Roman"/>
          <w:sz w:val="24"/>
          <w:szCs w:val="24"/>
        </w:rPr>
        <w:t>the courts pointed out that the child shall have the right to inherit the adopting parents’ property. The adoption order cannot be recanted. Neither can the parents give up the child owing to any subsequent unforeseen behaviour or other changes in the child.</w:t>
      </w:r>
    </w:p>
    <w:p w14:paraId="0DA5FB28" w14:textId="77777777" w:rsidR="00FC173B" w:rsidRDefault="00000000">
      <w:pPr>
        <w:spacing w:line="360" w:lineRule="auto"/>
        <w:jc w:val="both"/>
        <w:rPr>
          <w:rFonts w:ascii="Times New Roman" w:hAnsi="Times New Roman" w:cs="Times New Roman"/>
          <w:color w:val="555555"/>
          <w:sz w:val="24"/>
          <w:szCs w:val="24"/>
        </w:rPr>
      </w:pPr>
      <w:r>
        <w:rPr>
          <w:rFonts w:ascii="Times New Roman" w:hAnsi="Times New Roman" w:cs="Times New Roman"/>
          <w:color w:val="555555"/>
          <w:sz w:val="24"/>
          <w:szCs w:val="24"/>
        </w:rPr>
        <w:t> </w:t>
      </w:r>
      <w:r>
        <w:rPr>
          <w:rFonts w:ascii="Times New Roman" w:hAnsi="Times New Roman" w:cs="Times New Roman"/>
          <w:sz w:val="24"/>
          <w:szCs w:val="24"/>
        </w:rPr>
        <w:t>In conclusion, you are recognized as children of Highness and do not have to prove dependency and consequently entitled to the estate of Highness in accordance to section 29(a) of the Law of Succession Act.</w:t>
      </w:r>
    </w:p>
    <w:p w14:paraId="33A0F28B"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What is the role that you will play concerning the estate?</w:t>
      </w:r>
    </w:p>
    <w:p w14:paraId="40857D23"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purposes of Succession, section 29 (a) and (b) of the Act acknowledges a child as beneficiary of the estate of a deceased parent. </w:t>
      </w:r>
    </w:p>
    <w:p w14:paraId="5C1E7BDC" w14:textId="77777777" w:rsidR="00FC173B" w:rsidRDefault="00000000">
      <w:pPr>
        <w:spacing w:line="360" w:lineRule="auto"/>
        <w:rPr>
          <w:rFonts w:ascii="Times New Roman" w:hAnsi="Times New Roman" w:cs="Times New Roman"/>
        </w:rPr>
      </w:pPr>
      <w:r>
        <w:rPr>
          <w:rFonts w:ascii="Times New Roman" w:hAnsi="Times New Roman" w:cs="Times New Roman"/>
        </w:rPr>
        <w:t>Section 29(</w:t>
      </w:r>
      <w:r>
        <w:rPr>
          <w:rFonts w:ascii="Times New Roman" w:hAnsi="Times New Roman" w:cs="Times New Roman"/>
          <w:i/>
          <w:iCs/>
        </w:rPr>
        <w:t>a</w:t>
      </w:r>
      <w:r>
        <w:rPr>
          <w:rFonts w:ascii="Times New Roman" w:hAnsi="Times New Roman" w:cs="Times New Roman"/>
        </w:rPr>
        <w:t>) states that, dependants mean the wife or wives, or former wife or wives, and the children of the deceased whether or not maintained by the deceased immediately prior to his death;</w:t>
      </w:r>
    </w:p>
    <w:p w14:paraId="18828017" w14:textId="77777777" w:rsidR="00FC173B" w:rsidRDefault="00000000">
      <w:pPr>
        <w:spacing w:line="360" w:lineRule="auto"/>
        <w:rPr>
          <w:rFonts w:ascii="Times New Roman" w:hAnsi="Times New Roman" w:cs="Times New Roman"/>
        </w:rPr>
      </w:pPr>
      <w:r>
        <w:rPr>
          <w:rFonts w:ascii="Times New Roman" w:hAnsi="Times New Roman" w:cs="Times New Roman"/>
        </w:rPr>
        <w:lastRenderedPageBreak/>
        <w:t>Section 29(</w:t>
      </w:r>
      <w:r>
        <w:rPr>
          <w:rFonts w:ascii="Times New Roman" w:hAnsi="Times New Roman" w:cs="Times New Roman"/>
          <w:i/>
          <w:iCs/>
        </w:rPr>
        <w:t>b</w:t>
      </w:r>
      <w:r>
        <w:rPr>
          <w:rFonts w:ascii="Times New Roman" w:hAnsi="Times New Roman" w:cs="Times New Roman"/>
        </w:rPr>
        <w:t>), dependants include such of the deceased’s parents, step-parents, grand-parents, grandchildren, step-children, children whom the deceased had taken into his family as his own, brothers and sisters, and half-brothers and half-sisters, as were being.</w:t>
      </w:r>
    </w:p>
    <w:p w14:paraId="6178ABAD"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case of </w:t>
      </w:r>
      <w:r>
        <w:rPr>
          <w:rFonts w:ascii="Times New Roman" w:hAnsi="Times New Roman" w:cs="Times New Roman"/>
          <w:b/>
          <w:i/>
          <w:sz w:val="24"/>
          <w:szCs w:val="24"/>
        </w:rPr>
        <w:t>Marigi vs. Muriuki &amp; 2 Others Civil case No. 189 of 1996 (2008) I KLR 1073</w:t>
      </w:r>
      <w:r>
        <w:rPr>
          <w:rFonts w:ascii="Times New Roman" w:hAnsi="Times New Roman" w:cs="Times New Roman"/>
          <w:sz w:val="24"/>
          <w:szCs w:val="24"/>
        </w:rPr>
        <w:t>, the Court held as follows; “</w:t>
      </w:r>
      <w:r>
        <w:rPr>
          <w:rFonts w:ascii="Times New Roman" w:hAnsi="Times New Roman" w:cs="Times New Roman"/>
          <w:i/>
          <w:sz w:val="24"/>
          <w:szCs w:val="24"/>
        </w:rPr>
        <w:t>It was stated that the law recognizes the rights of Children over their father’s estate.  These rights are inchoate and accrue upon the death of the father</w:t>
      </w:r>
      <w:r>
        <w:rPr>
          <w:rFonts w:ascii="Times New Roman" w:hAnsi="Times New Roman" w:cs="Times New Roman"/>
          <w:sz w:val="24"/>
          <w:szCs w:val="24"/>
        </w:rPr>
        <w:t>.”</w:t>
      </w:r>
    </w:p>
    <w:p w14:paraId="6D5EE3F6"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no distinct provision on the roles of children in the devolution of an estate under the Law of Succession Act. However, a few sections have highlighted actions a child can take before, during and after the confirmation of letters of administration of an intestate.</w:t>
      </w:r>
    </w:p>
    <w:p w14:paraId="6C5C4595"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Section 66 of the Law of Succession Act sets out the order of preference with regard to who ought to apply and be appointed administrator in intestacy. Priority is given to the surviving spouses, followed by the children of the deceased. Therefore, the children can apply for the letters of administration.</w:t>
      </w:r>
    </w:p>
    <w:p w14:paraId="2AE650A7"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As beneficiaries to the estate, you play no active role in the administration of his estate but only to compel the due administration of the estate. You are entitled to a complete and accurate account of the amount of the estate, how the estate has been dealt with, including any investments made on behalf of the estate and how the estate will be distributed.</w:t>
      </w:r>
    </w:p>
    <w:p w14:paraId="60B0E351"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What are the legal provisions on gender equality in succession matters?</w:t>
      </w:r>
    </w:p>
    <w:p w14:paraId="7D0D93A8"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light of succession matters, in the determination of cases of intestacy, the Court's discretion is guided by Article 27(4) of the Constitution of Kenya. It states that; </w:t>
      </w:r>
      <w:r>
        <w:rPr>
          <w:rFonts w:ascii="Times New Roman" w:hAnsi="Times New Roman" w:cs="Times New Roman"/>
          <w:i/>
          <w:sz w:val="24"/>
          <w:szCs w:val="24"/>
        </w:rPr>
        <w:t>The State shall not discriminate directly or indirectly against any person on any ground, including race, sex, pregnancy, marital status, health status, ethnic or social origin, colour, age, disability, religion, conscience, belief, culture, dress, language or birth; respectively</w:t>
      </w:r>
      <w:r>
        <w:rPr>
          <w:rFonts w:ascii="Times New Roman" w:hAnsi="Times New Roman" w:cs="Times New Roman"/>
          <w:sz w:val="24"/>
          <w:szCs w:val="24"/>
        </w:rPr>
        <w:t xml:space="preserve">. </w:t>
      </w:r>
    </w:p>
    <w:p w14:paraId="0CE69031"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Definition of a child under section 3(2) of the LSA does not establish gender considerations as a qualifying factor with regard to succession. Further, Section 29 (a) of the Act in stating that </w:t>
      </w:r>
      <w:r>
        <w:rPr>
          <w:rFonts w:ascii="Times New Roman" w:hAnsi="Times New Roman" w:cs="Times New Roman"/>
          <w:i/>
          <w:sz w:val="24"/>
          <w:szCs w:val="24"/>
        </w:rPr>
        <w:t xml:space="preserve">‘……they are children of the deceased whether or not maintained by the deceased immediately before his death’ </w:t>
      </w:r>
      <w:r>
        <w:rPr>
          <w:rFonts w:ascii="Times New Roman" w:hAnsi="Times New Roman" w:cs="Times New Roman"/>
          <w:sz w:val="24"/>
          <w:szCs w:val="24"/>
        </w:rPr>
        <w:t xml:space="preserve">indicates that the law does not make a distinction among children, male or female. The gender-neutral language employed in the construction of the Act point to equality </w:t>
      </w:r>
      <w:r>
        <w:rPr>
          <w:rFonts w:ascii="Times New Roman" w:hAnsi="Times New Roman" w:cs="Times New Roman"/>
          <w:sz w:val="24"/>
          <w:szCs w:val="24"/>
        </w:rPr>
        <w:lastRenderedPageBreak/>
        <w:t>and therefore, the sons as it is in this matter have no greater claim as compared to the to the daughters.</w:t>
      </w:r>
    </w:p>
    <w:p w14:paraId="04365A88"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Law of Succession book by W. M. Musyoka, the case of  </w:t>
      </w:r>
      <w:r>
        <w:rPr>
          <w:rFonts w:ascii="Times New Roman" w:hAnsi="Times New Roman" w:cs="Times New Roman"/>
          <w:b/>
          <w:i/>
          <w:sz w:val="24"/>
          <w:szCs w:val="24"/>
        </w:rPr>
        <w:t xml:space="preserve">In the Matter of the Estate of Dorcas Njeri Githuku (deceased) </w:t>
      </w:r>
      <w:r>
        <w:rPr>
          <w:rFonts w:ascii="Times New Roman" w:hAnsi="Times New Roman" w:cs="Times New Roman"/>
          <w:sz w:val="24"/>
          <w:szCs w:val="24"/>
        </w:rPr>
        <w:t xml:space="preserve">Cause number 1968 of 2002 is referred to where Koome J stated that the definition of a child is without reference to the child’s gender or marital status. This read together with the case of </w:t>
      </w:r>
      <w:r>
        <w:rPr>
          <w:rFonts w:ascii="Times New Roman" w:hAnsi="Times New Roman" w:cs="Times New Roman"/>
          <w:b/>
          <w:i/>
          <w:sz w:val="24"/>
          <w:szCs w:val="24"/>
        </w:rPr>
        <w:t>In the Matter of the Estate of Mwaura Gathari  (deceased) Cause number 1678 of 1999</w:t>
      </w:r>
      <w:r>
        <w:rPr>
          <w:rFonts w:ascii="Times New Roman" w:hAnsi="Times New Roman" w:cs="Times New Roman"/>
          <w:sz w:val="24"/>
          <w:szCs w:val="24"/>
        </w:rPr>
        <w:t>, where Rawal J pointed out that the Act does not discriminate between male and female children.</w:t>
      </w:r>
    </w:p>
    <w:p w14:paraId="343BC5C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t>In Re Estate of Solomon Ngatia Kariuki (Deceased) (2008) EKLR</w:t>
      </w:r>
      <w:r>
        <w:rPr>
          <w:rFonts w:ascii="Times New Roman" w:hAnsi="Times New Roman" w:cs="Times New Roman"/>
          <w:sz w:val="24"/>
          <w:szCs w:val="24"/>
        </w:rPr>
        <w:t xml:space="preserve">, the court stated as follows on the existing provisions of the Law of Succession Act and made a very strong statement on the issue of discrimination against daughters generally in succession matters; </w:t>
      </w:r>
      <w:r>
        <w:rPr>
          <w:rFonts w:ascii="Times New Roman" w:hAnsi="Times New Roman" w:cs="Times New Roman"/>
          <w:i/>
          <w:sz w:val="24"/>
          <w:szCs w:val="24"/>
        </w:rPr>
        <w:t>“The Law of Succession Act does not discriminate between the female and male children or married or unmarried daughters of the deceased person when it comes to the distribution of his estate. All children of the deceased are entitled to stake a claim to the deceased's estate.</w:t>
      </w:r>
    </w:p>
    <w:p w14:paraId="741E7FB6"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t>In the Matter of the Estate of Mariko Marumbi Kiuru (deceased) Cause number 2011 of 1997,</w:t>
      </w:r>
      <w:r>
        <w:rPr>
          <w:rFonts w:ascii="Times New Roman" w:hAnsi="Times New Roman" w:cs="Times New Roman"/>
          <w:sz w:val="24"/>
          <w:szCs w:val="24"/>
        </w:rPr>
        <w:t xml:space="preserve"> Ang’awa J stated that the Law of Succession Act takes into account women in the distribution of the estate. She stressed that unless there is a disclaimer by the daughters, they, whether married or not, will be entitled to the estate.</w:t>
      </w:r>
    </w:p>
    <w:p w14:paraId="511659F5"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Hon.Gikonyo J,  was faced with similar case; </w:t>
      </w:r>
      <w:r>
        <w:rPr>
          <w:rFonts w:ascii="Times New Roman" w:hAnsi="Times New Roman" w:cs="Times New Roman"/>
          <w:b/>
          <w:i/>
          <w:sz w:val="24"/>
          <w:szCs w:val="24"/>
        </w:rPr>
        <w:t>Matter of the Estate of M’ngarithi M’miriti Alias Paul M’ngarithi M’miriti (Deceased) [2017] eKLR</w:t>
      </w:r>
      <w:r>
        <w:rPr>
          <w:rFonts w:ascii="Times New Roman" w:hAnsi="Times New Roman" w:cs="Times New Roman"/>
          <w:sz w:val="24"/>
          <w:szCs w:val="24"/>
        </w:rPr>
        <w:t xml:space="preserve">, regarding the discrimination of daughters during inheritance. He held that: </w:t>
      </w:r>
      <w:r>
        <w:rPr>
          <w:rFonts w:ascii="Times New Roman" w:hAnsi="Times New Roman" w:cs="Times New Roman"/>
          <w:i/>
          <w:sz w:val="24"/>
          <w:szCs w:val="24"/>
        </w:rPr>
        <w:t xml:space="preserve">From the arguments coming through, it is clear issues to do with discrimination based on gender and sex have emerged. There were bad times in the heavily patriarchal African society; that being born as daughter disinherited you. And so, even the judicial journey to liberate daughters from being so down-trodden by the patriarchal society in Kenya on matters of inheritance has been long and painful. As a matter of fact, due to the constitutional architecture of our nation at the time, before 2010, we only saw pin-prick thrusts and rapier-like strokes by courts on these persistent patriarchal biases. But, things changed when RONO vs. RONO [2008] 1 KLR 803 delivered the downright bludgeon-blow on these discriminatory practices against women in inheritance; it splendidly paid deference to the international instruments against all forms of discrimination against women especially the </w:t>
      </w:r>
      <w:r>
        <w:rPr>
          <w:rFonts w:ascii="Times New Roman" w:hAnsi="Times New Roman" w:cs="Times New Roman"/>
          <w:i/>
          <w:sz w:val="24"/>
          <w:szCs w:val="24"/>
        </w:rPr>
        <w:lastRenderedPageBreak/>
        <w:t xml:space="preserve">Convention on the Elimination of All Forms of Discrimination Against Women (CEDAW). And, I am happy to say that from thence, there are many cases- and the number is rising by the day as courts implement the Constitution- which states categorically that discrimination in inheritance on the basis of gender or sex or status is prohibited discrimination in law and the Constitution. More specifically I am content to cite the proclamation by the Court of Appeal in the case of </w:t>
      </w:r>
      <w:r>
        <w:rPr>
          <w:rFonts w:ascii="Times New Roman" w:hAnsi="Times New Roman" w:cs="Times New Roman"/>
          <w:b/>
          <w:i/>
          <w:sz w:val="24"/>
          <w:szCs w:val="24"/>
        </w:rPr>
        <w:t xml:space="preserve">STEPHEN GITONGA M’MURITHI vs. FAITH NGIRAMURITHI [2015] eKLR </w:t>
      </w:r>
      <w:r>
        <w:rPr>
          <w:rFonts w:ascii="Times New Roman" w:hAnsi="Times New Roman" w:cs="Times New Roman"/>
          <w:i/>
          <w:sz w:val="24"/>
          <w:szCs w:val="24"/>
        </w:rPr>
        <w:t>that</w:t>
      </w:r>
      <w:r>
        <w:rPr>
          <w:rFonts w:ascii="Times New Roman" w:hAnsi="Times New Roman" w:cs="Times New Roman"/>
          <w:sz w:val="24"/>
          <w:szCs w:val="24"/>
        </w:rPr>
        <w:t>: - ‘’Section 38 enshrines the principle of equal distribution of the net intestate estate to the surviving children of the deceased irrespective of gender and whether married and comfortable in their marriage or unmarried…’’Therefore, a son will not have priority over a daughter of the deceased simply because he is male; all- male and female siblings- are equal before the law and are entitled to equal protection of the law.</w:t>
      </w:r>
    </w:p>
    <w:p w14:paraId="6185FB1F"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was similarly upheld in the Judgment by Hon.Kasango J in </w:t>
      </w:r>
      <w:r>
        <w:rPr>
          <w:rFonts w:ascii="Times New Roman" w:hAnsi="Times New Roman" w:cs="Times New Roman"/>
          <w:b/>
          <w:i/>
          <w:sz w:val="24"/>
          <w:szCs w:val="24"/>
        </w:rPr>
        <w:t>Samson Kiogora Rukunga v Zipporah Gaiti Rukunga [2011] eKLR</w:t>
      </w:r>
      <w:r>
        <w:rPr>
          <w:rFonts w:ascii="Times New Roman" w:hAnsi="Times New Roman" w:cs="Times New Roman"/>
          <w:sz w:val="24"/>
          <w:szCs w:val="24"/>
        </w:rPr>
        <w:t>.</w:t>
      </w:r>
    </w:p>
    <w:p w14:paraId="6BFFBC69" w14:textId="77777777" w:rsidR="00FC173B" w:rsidRDefault="00000000">
      <w:pPr>
        <w:spacing w:line="360" w:lineRule="auto"/>
        <w:jc w:val="both"/>
        <w:rPr>
          <w:rFonts w:ascii="Times New Roman" w:hAnsi="Times New Roman" w:cs="Times New Roman"/>
          <w:i/>
          <w:sz w:val="24"/>
          <w:szCs w:val="24"/>
        </w:rPr>
      </w:pPr>
      <w:r>
        <w:rPr>
          <w:rFonts w:ascii="Times New Roman" w:hAnsi="Times New Roman" w:cs="Times New Roman"/>
          <w:sz w:val="24"/>
          <w:szCs w:val="24"/>
        </w:rPr>
        <w:t>Even before the promulgation of the Constitution in 2010, Makhandia J (as he then was</w:t>
      </w:r>
      <w:r>
        <w:rPr>
          <w:rFonts w:ascii="Times New Roman" w:hAnsi="Times New Roman" w:cs="Times New Roman"/>
          <w:b/>
          <w:i/>
          <w:sz w:val="24"/>
          <w:szCs w:val="24"/>
        </w:rPr>
        <w:t>) In Re Estate of Solomon Ngatia Kariuki (deceased) (2008) EKLR,</w:t>
      </w:r>
      <w:r>
        <w:rPr>
          <w:rFonts w:ascii="Times New Roman" w:hAnsi="Times New Roman" w:cs="Times New Roman"/>
          <w:sz w:val="24"/>
          <w:szCs w:val="24"/>
        </w:rPr>
        <w:t xml:space="preserve"> while speaking about the existing provisions of the Law of Succession Act, made a very strong statement on the issue of discrimination against daughters generally in succession matters and he said; “</w:t>
      </w:r>
      <w:r>
        <w:rPr>
          <w:rFonts w:ascii="Times New Roman" w:hAnsi="Times New Roman" w:cs="Times New Roman"/>
          <w:i/>
          <w:sz w:val="24"/>
          <w:szCs w:val="24"/>
        </w:rPr>
        <w:t>The Law of Succession Act does not discriminate between the female and male children or married or unmarried daughters of the deceased person when it comes to the distribution of his estate. All children of the deceased are entitled to stake a claim to the deceased's estate. In seeking to disinherit the protestor under the guise that the protestor was married, her father, brothers and sisters were purportedly invoking a facet of an old Kikuyu Customary Law. Like most other customary laws in this country they are always biased against women and indeed they tend to bar married daughters from inheriting their father's estate. The justification for this rather archaic and primitive customary law demand appears to be that such married daughters should forego their father's inheritance because they are likely to enjoy inheritance of their husband's side of the family.”</w:t>
      </w:r>
    </w:p>
    <w:p w14:paraId="4CEBF46A"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t xml:space="preserve">In Re Estate of John Musambayi Katumanga – deceased [2014] eKLR </w:t>
      </w:r>
      <w:r>
        <w:rPr>
          <w:rFonts w:ascii="Times New Roman" w:hAnsi="Times New Roman" w:cs="Times New Roman"/>
          <w:sz w:val="24"/>
          <w:szCs w:val="24"/>
        </w:rPr>
        <w:t>W. Musyoka J, held that- “</w:t>
      </w:r>
      <w:r>
        <w:rPr>
          <w:rFonts w:ascii="Times New Roman" w:hAnsi="Times New Roman" w:cs="Times New Roman"/>
          <w:i/>
          <w:sz w:val="24"/>
          <w:szCs w:val="24"/>
        </w:rPr>
        <w:t xml:space="preserve">The spirit of Part V, especially Sections 35, 38 and 40, is equal distribution, of the intestate estate amongst the children of the deceased. There have been debates on whether the </w:t>
      </w:r>
      <w:r>
        <w:rPr>
          <w:rFonts w:ascii="Times New Roman" w:hAnsi="Times New Roman" w:cs="Times New Roman"/>
          <w:i/>
          <w:sz w:val="24"/>
          <w:szCs w:val="24"/>
        </w:rPr>
        <w:lastRenderedPageBreak/>
        <w:t>distribution should be equal or equitable. My reading of these provisions is that they envisage equal distribution for the word used in Sections 35(5) and 38 is ‘equally’ as opposed to ‘equitably’. This is the plain language of the provisions. The provisions are in mandatory terms – the property “shall … be equally divided among the surviving children.” Equal distribution is envisaged regardless of the ages, gender and financial status of the children.</w:t>
      </w:r>
      <w:r>
        <w:rPr>
          <w:rFonts w:ascii="Times New Roman" w:hAnsi="Times New Roman" w:cs="Times New Roman"/>
          <w:sz w:val="24"/>
          <w:szCs w:val="24"/>
        </w:rPr>
        <w:t>”</w:t>
      </w:r>
    </w:p>
    <w:p w14:paraId="130C727C"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i/>
          <w:sz w:val="24"/>
          <w:szCs w:val="24"/>
        </w:rPr>
        <w:t>Re Estate of Chesambili Sindani (Deceased ) (2021) Eklr,</w:t>
      </w:r>
      <w:r>
        <w:rPr>
          <w:rFonts w:ascii="Times New Roman" w:hAnsi="Times New Roman" w:cs="Times New Roman"/>
          <w:sz w:val="24"/>
          <w:szCs w:val="24"/>
        </w:rPr>
        <w:t xml:space="preserve">Musyoka J demystified the concept of gender in relation to succession. In this case, the deceased was survived by his eight children: four sons and four daughters. The administratrix was the daughter of the deceased. Her role was however challenged by one of the brothers on grounds that the administratrix and her sister were married hence they did not have any claim to their deceased father’s estate. He further claimed that the daughter were not entitled to any share in the estate according to Luhya customs. Musyoka J relied on Section 38 of the LSA which states that all the children of the deceased, whether male or female, whether married or not, are to be treated equally when it comes to the intestate distribution of the estate of the deceased parent. </w:t>
      </w:r>
    </w:p>
    <w:p w14:paraId="5F90A8B5"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from the above, we find that all Highness's children are entitled to inherit equally wherher they are male or female from the estate of the deceased.</w:t>
      </w:r>
    </w:p>
    <w:p w14:paraId="4BA5014B" w14:textId="77777777" w:rsidR="00FC173B" w:rsidRDefault="00000000">
      <w:pPr>
        <w:spacing w:line="360" w:lineRule="auto"/>
        <w:jc w:val="both"/>
        <w:rPr>
          <w:rFonts w:ascii="Times New Roman" w:hAnsi="Times New Roman" w:cs="Times New Roman"/>
          <w:sz w:val="24"/>
          <w:szCs w:val="24"/>
          <w:shd w:val="clear" w:color="auto" w:fill="FFF9EE"/>
        </w:rPr>
      </w:pPr>
      <w:r>
        <w:rPr>
          <w:rFonts w:ascii="Times New Roman" w:hAnsi="Times New Roman" w:cs="Times New Roman"/>
          <w:sz w:val="24"/>
          <w:szCs w:val="24"/>
        </w:rPr>
        <w:t>In the case of Mary Rono v Jane Rono &amp; another Civil Appeal No. 66 of 2002, a Court of Appeal decision.  The High Court had distributed the estate according to the Customary Law and the LSA.  The Judge was of the view that Section 40 of the Act allowed equal distribution among the children irrespective of gender but considered the fact that the daughters may get married and inherit property from their new families.  There were 6 daughters; each was given 5 acres and 3 sons who were given 30 acres each.  The Court of Appeal found that the finding of the High Court was inconsistent with Section 40 which requires that in a polygamous setting the property should be divided equally among the children.  The distribution was revised and each of the children were given 14.4 acres each out of the estate</w:t>
      </w:r>
      <w:r>
        <w:rPr>
          <w:rFonts w:ascii="Times New Roman" w:hAnsi="Times New Roman" w:cs="Times New Roman"/>
          <w:sz w:val="24"/>
          <w:szCs w:val="24"/>
          <w:shd w:val="clear" w:color="auto" w:fill="FFF9EE"/>
        </w:rPr>
        <w:t>.</w:t>
      </w:r>
    </w:p>
    <w:p w14:paraId="142F7669" w14:textId="77777777" w:rsidR="00FC173B" w:rsidRDefault="00000000">
      <w:pPr>
        <w:spacing w:line="360" w:lineRule="auto"/>
        <w:jc w:val="both"/>
        <w:rPr>
          <w:rFonts w:ascii="Times New Roman" w:hAnsi="Times New Roman" w:cs="Times New Roman"/>
          <w:sz w:val="24"/>
          <w:szCs w:val="24"/>
          <w:shd w:val="clear" w:color="auto" w:fill="FFF9EE"/>
        </w:rPr>
      </w:pPr>
      <w:r>
        <w:rPr>
          <w:rFonts w:ascii="Times New Roman" w:hAnsi="Times New Roman" w:cs="Times New Roman"/>
          <w:sz w:val="24"/>
          <w:szCs w:val="24"/>
        </w:rPr>
        <w:t>To conclude the same, you are entitled to equal shares of the estate and are protected from discrimination from the same.</w:t>
      </w:r>
      <w:r>
        <w:rPr>
          <w:rFonts w:ascii="Times New Roman" w:hAnsi="Times New Roman" w:cs="Times New Roman"/>
          <w:sz w:val="24"/>
          <w:szCs w:val="24"/>
          <w:shd w:val="clear" w:color="auto" w:fill="FFF9EE"/>
        </w:rPr>
        <w:t xml:space="preserve"> </w:t>
      </w:r>
      <w:r>
        <w:rPr>
          <w:rFonts w:ascii="Times New Roman" w:hAnsi="Times New Roman" w:cs="Times New Roman"/>
          <w:sz w:val="24"/>
          <w:szCs w:val="24"/>
        </w:rPr>
        <w:t xml:space="preserve">Justice Tobi emphasizes on better legal principles that adopt in such scenarios in the case of </w:t>
      </w:r>
      <w:r>
        <w:rPr>
          <w:rFonts w:ascii="Times New Roman" w:hAnsi="Times New Roman" w:cs="Times New Roman"/>
          <w:b/>
          <w:i/>
          <w:sz w:val="24"/>
          <w:szCs w:val="24"/>
        </w:rPr>
        <w:t>In Mojekwu v Mojekwu {1997} 7 NWLR 283</w:t>
      </w:r>
      <w:r>
        <w:rPr>
          <w:rFonts w:ascii="Times New Roman" w:hAnsi="Times New Roman" w:cs="Times New Roman"/>
          <w:sz w:val="24"/>
          <w:szCs w:val="24"/>
        </w:rPr>
        <w:t>. He states; “</w:t>
      </w:r>
      <w:r>
        <w:rPr>
          <w:rFonts w:ascii="Times New Roman" w:hAnsi="Times New Roman" w:cs="Times New Roman"/>
          <w:i/>
          <w:sz w:val="24"/>
          <w:szCs w:val="24"/>
        </w:rPr>
        <w:t xml:space="preserve">All human beings male and female are born into a free world and are expected to participate freely, without any intention on grounds of sex, and that is constitutional. Any form of societal </w:t>
      </w:r>
      <w:r>
        <w:rPr>
          <w:rFonts w:ascii="Times New Roman" w:hAnsi="Times New Roman" w:cs="Times New Roman"/>
          <w:i/>
          <w:sz w:val="24"/>
          <w:szCs w:val="24"/>
        </w:rPr>
        <w:lastRenderedPageBreak/>
        <w:t>discrimination on grounds of sex apart from being unconstitutional, is antithesis to a society built on the tenets of democracy which we have freely chosen as a people. Accordingly, for a custom or customary Law to discriminate against a particular sex is to say the least an affront on the Almighty God himself. Let nobody do such a thing….</w:t>
      </w:r>
      <w:r>
        <w:rPr>
          <w:rFonts w:ascii="Times New Roman" w:hAnsi="Times New Roman" w:cs="Times New Roman"/>
          <w:sz w:val="24"/>
          <w:szCs w:val="24"/>
        </w:rPr>
        <w:t>”</w:t>
      </w:r>
    </w:p>
    <w:p w14:paraId="7BDE5DA7"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What is your entitlement to your father’s estate?</w:t>
      </w:r>
    </w:p>
    <w:p w14:paraId="1CBBC2C3"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Section 40 of the LSA prescribes how</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the estate of a polygamous intestate is to be distributed. The section provides; </w:t>
      </w:r>
      <w:r>
        <w:rPr>
          <w:rFonts w:ascii="Times New Roman" w:hAnsi="Times New Roman" w:cs="Times New Roman"/>
          <w:b/>
          <w:bCs/>
          <w:sz w:val="24"/>
          <w:szCs w:val="24"/>
        </w:rPr>
        <w:t>‘Where an intestate has married more than once under any system of law permitting polygamy, his personal and household effects and the residue of the net intestate estate shall, in the first instance, be divided among the houses according to the number of children in each house, but also adding any wife surviving him as an additional unit to the number of children.’</w:t>
      </w:r>
    </w:p>
    <w:p w14:paraId="6A2B6650"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We have identified the following persons as possible beneficiaries from the estate;</w:t>
      </w:r>
    </w:p>
    <w:p w14:paraId="1E01031A"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Kelline wife to Highness</w:t>
      </w:r>
    </w:p>
    <w:p w14:paraId="27E0AF79"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four children of Kelline </w:t>
      </w:r>
    </w:p>
    <w:p w14:paraId="71B8832E"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Young (Clouvor’s child who is a minor)</w:t>
      </w:r>
    </w:p>
    <w:p w14:paraId="4E8D6DD3"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Kaka (Penzi’s child also a minor)</w:t>
      </w:r>
    </w:p>
    <w:p w14:paraId="22BB2A12"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Clouvor wife to Highness</w:t>
      </w:r>
    </w:p>
    <w:p w14:paraId="0149B608"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Besti  Highness's child from a past relationship </w:t>
      </w:r>
    </w:p>
    <w:p w14:paraId="03D8FAF2" w14:textId="77777777" w:rsidR="00FC173B"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Ex – wife to Highness</w:t>
      </w:r>
    </w:p>
    <w:p w14:paraId="361FC592" w14:textId="77777777" w:rsidR="00FC173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10 identifiable beneficiaries and in line with section 40 of the LSA then the estate shall be divided into 10 parts and you will each be entitled to a tenth of the estate. </w:t>
      </w:r>
    </w:p>
    <w:p w14:paraId="7BEB4517" w14:textId="77777777" w:rsidR="00FC173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was the rationale used by the </w:t>
      </w:r>
      <w:r>
        <w:rPr>
          <w:rFonts w:ascii="Times New Roman" w:hAnsi="Times New Roman" w:cs="Times New Roman"/>
          <w:b/>
          <w:i/>
          <w:sz w:val="24"/>
          <w:szCs w:val="24"/>
        </w:rPr>
        <w:t>court in the Matter of the Estate of Benson Ndirangu Mathenge (deceased) Nakuru High Court Succession Cause 231 0f 1998 (Ondeyo J).</w:t>
      </w:r>
      <w:r>
        <w:rPr>
          <w:rFonts w:ascii="Times New Roman" w:hAnsi="Times New Roman" w:cs="Times New Roman"/>
          <w:sz w:val="24"/>
          <w:szCs w:val="24"/>
        </w:rPr>
        <w:t xml:space="preserve"> The deceased had left behind two wives, the first who had four children and the second wife with six children. As such, there were twelve units in the matter, and the court divided the deceased’s net estate into twelve units to which the beneficiary was entitled to.</w:t>
      </w:r>
    </w:p>
    <w:p w14:paraId="0BC67626"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Whether age should be a factor upon which the distribution of an estate be premised on?</w:t>
      </w:r>
    </w:p>
    <w:p w14:paraId="57AF4DC5" w14:textId="77777777" w:rsidR="00FC173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Age is not factor upon which the distribution of an estate should be premised. In the case of </w:t>
      </w:r>
      <w:r>
        <w:rPr>
          <w:rFonts w:ascii="Times New Roman" w:hAnsi="Times New Roman" w:cs="Times New Roman"/>
          <w:b/>
          <w:sz w:val="24"/>
          <w:szCs w:val="24"/>
        </w:rPr>
        <w:t>Re Estate of JCG (Deceased) (2018) Eklr,</w:t>
      </w:r>
      <w:r>
        <w:rPr>
          <w:rFonts w:ascii="Times New Roman" w:hAnsi="Times New Roman" w:cs="Times New Roman"/>
          <w:sz w:val="24"/>
          <w:szCs w:val="24"/>
        </w:rPr>
        <w:t xml:space="preserve"> held that as long as beneficiaries can show that they are children of the deceased, they are entitled to inherit from the estate. In, this case the objector had been excluded from the distribution modalities of the estate as he was 52 years old at the time of the making of the claim. The objector adduced evidence that he was the son of the deceased and the court held that he was still regarded as a child of the deceased hence a beneficiary.</w:t>
      </w:r>
    </w:p>
    <w:p w14:paraId="7B4760B8"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Age only becomes an issue during distribution of the estate, if the deceased is survived by minor dependants. The question of equal and equitably distribution have been raised countless times in dynamics where some children of the deceased require more shares for the estate, for example a minor child requires more for his or her sustenance compared to an adult child who is able to fend for themselves. The court has been given discretion under section 26  and 27 to accord a dependant of an estate, shares in accordance with a will made, gift in contemplation of death and or by the law of intestacy; as the court deems fit. This distribution is subject to the ascertaining of the conditions provided for under section 28 of the Act.</w:t>
      </w:r>
    </w:p>
    <w:p w14:paraId="7C567118"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28 states that “In considering whether any order should be made under this part, and if so what order, the court shall have regard to – </w:t>
      </w:r>
    </w:p>
    <w:p w14:paraId="1B3DA879"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nature and amount of the deceased's property;</w:t>
      </w:r>
    </w:p>
    <w:p w14:paraId="2774DC16"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Any past, present or future capital or income from any source of the dependant;</w:t>
      </w:r>
    </w:p>
    <w:p w14:paraId="492BFF53"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existing and future means and needs of the dependant;</w:t>
      </w:r>
    </w:p>
    <w:p w14:paraId="37EEE9FF"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the deceased had made any advancement or other gift to the dependant during his lifetime;</w:t>
      </w:r>
    </w:p>
    <w:p w14:paraId="6393A31E"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conduct of the dependant in relation to the deceased;</w:t>
      </w:r>
    </w:p>
    <w:p w14:paraId="31E59AAE"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situation and circumstances of the deceased's other dependants and the beneficiaries under any will;</w:t>
      </w:r>
    </w:p>
    <w:p w14:paraId="506BC473" w14:textId="77777777" w:rsidR="00FC173B"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general circumstances of the case, including, so far as can be ascertained, the testator's reason for not making the provision for the dependant.</w:t>
      </w:r>
    </w:p>
    <w:p w14:paraId="515C554E"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Akiwumi JA, in </w:t>
      </w:r>
      <w:r>
        <w:rPr>
          <w:rFonts w:ascii="Times New Roman" w:hAnsi="Times New Roman" w:cs="Times New Roman"/>
          <w:b/>
          <w:i/>
          <w:sz w:val="24"/>
          <w:szCs w:val="24"/>
        </w:rPr>
        <w:t>John Gitata Mwangi &amp; 3 others v Jonathan Njuguna Mwangi &amp; 4 Others NBI CA Civil Appeal No. 213 of 1997 [1999] eKLR</w:t>
      </w:r>
      <w:r>
        <w:rPr>
          <w:rFonts w:ascii="Times New Roman" w:hAnsi="Times New Roman" w:cs="Times New Roman"/>
          <w:sz w:val="24"/>
          <w:szCs w:val="24"/>
        </w:rPr>
        <w:t xml:space="preserve">, observed that: </w:t>
      </w:r>
      <w:r>
        <w:rPr>
          <w:rFonts w:ascii="Times New Roman" w:hAnsi="Times New Roman" w:cs="Times New Roman"/>
          <w:i/>
          <w:sz w:val="24"/>
          <w:szCs w:val="24"/>
        </w:rPr>
        <w:t xml:space="preserve">In order that the court may be enabled to come to a proper conclusion as to what order it should make, a dependent has the duty to give satisfactory evidence as to his past, present or future capital or income and his </w:t>
      </w:r>
      <w:r>
        <w:rPr>
          <w:rFonts w:ascii="Times New Roman" w:hAnsi="Times New Roman" w:cs="Times New Roman"/>
          <w:i/>
          <w:sz w:val="24"/>
          <w:szCs w:val="24"/>
        </w:rPr>
        <w:lastRenderedPageBreak/>
        <w:t>existing and future needs.  Without this, the court will not be able to make any sensible order.  Whether the deceased has made any advancement to the dependant and the circumstances of the deceased’s other dependants are also factors to be considered.  The general circumstances of the case including the deceased’s ascertainable reasons for not providing for the dependent must also be considered.  Which of these factors will play a vital role in their combined effect, depends on each particular case</w:t>
      </w:r>
      <w:r>
        <w:rPr>
          <w:rFonts w:ascii="Times New Roman" w:hAnsi="Times New Roman" w:cs="Times New Roman"/>
          <w:sz w:val="24"/>
          <w:szCs w:val="24"/>
        </w:rPr>
        <w:t>.</w:t>
      </w:r>
    </w:p>
    <w:p w14:paraId="5E416FE5" w14:textId="77777777" w:rsidR="00FC173B"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Section 41of the LSA provides that where the deceased had children that are minors they too are entitled to the deceased property, which shall be held in trust until they attain the age of majority. This was restated in the matter of </w:t>
      </w:r>
      <w:r>
        <w:rPr>
          <w:rFonts w:ascii="Times New Roman" w:hAnsi="Times New Roman" w:cs="Times New Roman"/>
          <w:b/>
          <w:i/>
          <w:sz w:val="24"/>
          <w:szCs w:val="24"/>
        </w:rPr>
        <w:t xml:space="preserve">the estate of Joseph Kimemia Gichuhi Nairobi HCSC no. 1072 of 2002 </w:t>
      </w:r>
      <w:r>
        <w:rPr>
          <w:rFonts w:ascii="Times New Roman" w:hAnsi="Times New Roman" w:cs="Times New Roman"/>
          <w:sz w:val="24"/>
          <w:szCs w:val="24"/>
        </w:rPr>
        <w:t>Koome J, stated that section 41 of the act requires that the property devolving upon children should be held in trust for the children until they attain the age of eighteen.</w:t>
      </w:r>
    </w:p>
    <w:p w14:paraId="0F6E86E0"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Are you entitled to be informed of the ongoing process?</w:t>
      </w:r>
    </w:p>
    <w:p w14:paraId="1E38FB5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2010 Constitution of Kenya under Article 35 (1) prescribes for the access to information. It provides: </w:t>
      </w:r>
      <w:r>
        <w:rPr>
          <w:rFonts w:ascii="Times New Roman" w:hAnsi="Times New Roman" w:cs="Times New Roman"/>
          <w:i/>
          <w:sz w:val="24"/>
          <w:szCs w:val="24"/>
        </w:rPr>
        <w:t>Every citizen has the right to access to information held by the State and information held by another person and required for the exercise or protection of any right or fundamental freedom.</w:t>
      </w:r>
      <w:r>
        <w:rPr>
          <w:rFonts w:ascii="Times New Roman" w:hAnsi="Times New Roman" w:cs="Times New Roman"/>
          <w:sz w:val="24"/>
          <w:szCs w:val="24"/>
        </w:rPr>
        <w:t xml:space="preserve"> </w:t>
      </w:r>
    </w:p>
    <w:p w14:paraId="0B0E384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Under succession matters, Rule 26 of the Probate and Administration Rules is relevant. Subsection 1 and 2 state as follows:</w:t>
      </w:r>
    </w:p>
    <w:p w14:paraId="3B90E9AF" w14:textId="77777777" w:rsidR="00FC173B"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Letters of administration shall not be granted to any applicant without notice to every other person entitled in the same degree as or in priority to the applicant.</w:t>
      </w:r>
    </w:p>
    <w:p w14:paraId="4161B0C5" w14:textId="77777777" w:rsidR="00FC173B"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An application for a grant where the applicant is entitled in a degree equal to or lower than that of any other person shall in default of renunciation, or written consent in Form 38 or 39, by all persons so entitled in equally or priority, be supported by an affidavit of the applicant and such other evidence as the court may require.”</w:t>
      </w:r>
    </w:p>
    <w:p w14:paraId="5BC7595F"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t>In the Matter of the Estate of Agwang Wasiro alias Achwang Wasino (deceased) Succession Cause Number 859 of 2015</w:t>
      </w:r>
      <w:r>
        <w:rPr>
          <w:rFonts w:ascii="Times New Roman" w:hAnsi="Times New Roman" w:cs="Times New Roman"/>
          <w:sz w:val="24"/>
          <w:szCs w:val="24"/>
        </w:rPr>
        <w:t>,W. Musyoka stated; “</w:t>
      </w:r>
      <w:r>
        <w:rPr>
          <w:rFonts w:ascii="Times New Roman" w:hAnsi="Times New Roman" w:cs="Times New Roman"/>
          <w:i/>
          <w:sz w:val="24"/>
          <w:szCs w:val="24"/>
        </w:rPr>
        <w:t xml:space="preserve">The Rule 26(1) (2) would apply where representation is sought by a person with equal right to others who have not petitioned like him or with a lesser right. In such case, the petitioner is expected to notify such persons with equal entitlement with notice. The individuals with entitlement who have not applied for representation </w:t>
      </w:r>
      <w:r>
        <w:rPr>
          <w:rFonts w:ascii="Times New Roman" w:hAnsi="Times New Roman" w:cs="Times New Roman"/>
          <w:i/>
          <w:sz w:val="24"/>
          <w:szCs w:val="24"/>
        </w:rPr>
        <w:lastRenderedPageBreak/>
        <w:t>would signify that they had been notified of the petition by either executing their renunciation of their right to administration or by signing consents in Forms 38 or 39, depending on whether the deceased died testate or intestate. Where a consent or renunciation is not forthcoming, then the petitioner should file an affidavit, ostensibly dealing with these issues, that is by indicating that notice was given to all the other persons equally entitled, and perhaps demonstrating that such person had failed or refused to renounce their rights or to sign consents to allow him to go ahead with his petition</w:t>
      </w:r>
      <w:r>
        <w:rPr>
          <w:rFonts w:ascii="Times New Roman" w:hAnsi="Times New Roman" w:cs="Times New Roman"/>
          <w:sz w:val="24"/>
          <w:szCs w:val="24"/>
        </w:rPr>
        <w:t>.”</w:t>
      </w:r>
    </w:p>
    <w:p w14:paraId="09BC694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You are entitled to get information on the happenings of your father’s estate as prescribed by law.</w:t>
      </w:r>
    </w:p>
    <w:p w14:paraId="1C1EB0FE" w14:textId="77777777" w:rsidR="00FC173B" w:rsidRDefault="00FC173B">
      <w:pPr>
        <w:spacing w:line="360" w:lineRule="auto"/>
        <w:rPr>
          <w:rFonts w:ascii="Times New Roman" w:hAnsi="Times New Roman" w:cs="Times New Roman"/>
          <w:sz w:val="24"/>
          <w:szCs w:val="24"/>
        </w:rPr>
      </w:pPr>
    </w:p>
    <w:p w14:paraId="6078B399" w14:textId="77777777" w:rsidR="00FC173B" w:rsidRDefault="00000000">
      <w:pPr>
        <w:pStyle w:val="ListParagraph"/>
        <w:numPr>
          <w:ilvl w:val="0"/>
          <w:numId w:val="1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How will you stay informed informed about any developments in the matter?</w:t>
      </w:r>
    </w:p>
    <w:p w14:paraId="118EDEAF"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Section 67 and 68 of the LSA provide for notice for application for grants and objection to such application. Since notice has not been given to you the best way to stay informed of any developments in the distribution of your father’s estate is to register a caveat.</w:t>
      </w:r>
    </w:p>
    <w:p w14:paraId="31019AD8" w14:textId="77777777" w:rsidR="00FC173B" w:rsidRDefault="00000000">
      <w:pPr>
        <w:pStyle w:val="ListParagraph"/>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Caveat: </w:t>
      </w:r>
    </w:p>
    <w:p w14:paraId="259E1DF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W. M. Musyoka </w:t>
      </w:r>
      <w:r>
        <w:rPr>
          <w:rFonts w:ascii="Times New Roman" w:hAnsi="Times New Roman" w:cs="Times New Roman"/>
          <w:sz w:val="24"/>
          <w:szCs w:val="24"/>
        </w:rPr>
        <w:t>in his book</w:t>
      </w:r>
      <w:r>
        <w:rPr>
          <w:rFonts w:ascii="Times New Roman" w:hAnsi="Times New Roman" w:cs="Times New Roman"/>
          <w:b/>
          <w:sz w:val="24"/>
          <w:szCs w:val="24"/>
        </w:rPr>
        <w:t xml:space="preserve"> Law of Succession</w:t>
      </w:r>
      <w:r>
        <w:rPr>
          <w:rFonts w:ascii="Times New Roman" w:hAnsi="Times New Roman" w:cs="Times New Roman"/>
          <w:sz w:val="24"/>
          <w:szCs w:val="24"/>
        </w:rPr>
        <w:t xml:space="preserve"> defines a caveat as a notice entered at a probate registry to prevent a grant or representation being made or confirmed without first being given to the person who enters the caveat, known as the caveator. It subsequently enables the principal registrar to notify the caveator that an application for making of a grant in respect to the estate in which he has an interest has been lodged and therefore if he is intent on objecting to the making of the grant, he should file his objection within thirty days or such other longer period that the registry may allow from the date of receipt of the notification.</w:t>
      </w:r>
    </w:p>
    <w:p w14:paraId="3DEF9FB6"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Pr>
          <w:rFonts w:ascii="Times New Roman" w:hAnsi="Times New Roman" w:cs="Times New Roman"/>
          <w:b/>
          <w:i/>
          <w:sz w:val="24"/>
          <w:szCs w:val="24"/>
        </w:rPr>
        <w:t>D. D. Doshi v Abdulhussein Hassanali Jivanji (1942) 22 EACA 25</w:t>
      </w:r>
      <w:r>
        <w:rPr>
          <w:rFonts w:ascii="Times New Roman" w:hAnsi="Times New Roman" w:cs="Times New Roman"/>
          <w:sz w:val="24"/>
          <w:szCs w:val="24"/>
        </w:rPr>
        <w:t>, Thacker J stated that any interest in the deceased’s estate however slight is sufficient to enable a party to lodge a caveat and oppose a testamentary paper or instrument.</w:t>
      </w:r>
    </w:p>
    <w:p w14:paraId="2CCED7F1"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purpose of a caveat is to enable a person who may be considering opposing a grant to obtain legal advice or evidence on the matter. </w:t>
      </w:r>
    </w:p>
    <w:p w14:paraId="163F15B1"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b/>
          <w:i/>
          <w:sz w:val="24"/>
          <w:szCs w:val="24"/>
        </w:rPr>
        <w:lastRenderedPageBreak/>
        <w:t>In the Matter of the Estate of Thuo Megwe alias Thuo Migui alias G. Thuo Migwi (deceased) Succession cause No. 755 of 2013</w:t>
      </w:r>
      <w:r>
        <w:rPr>
          <w:rFonts w:ascii="Times New Roman" w:hAnsi="Times New Roman" w:cs="Times New Roman"/>
          <w:sz w:val="24"/>
          <w:szCs w:val="24"/>
        </w:rPr>
        <w:t xml:space="preserve">, it was held by Judge Ngaah Jarius that; </w:t>
      </w:r>
      <w:r>
        <w:rPr>
          <w:rFonts w:ascii="Times New Roman" w:hAnsi="Times New Roman" w:cs="Times New Roman"/>
          <w:i/>
          <w:sz w:val="24"/>
          <w:szCs w:val="24"/>
        </w:rPr>
        <w:t>A caveat serves to enable the principal registrar to notify the caveator that an application for making of a grant in respect of an estate in which he has an interest has been lodged and therefore if he is intent on objecting to the making of the grant he should file his objection within thirty days or such other</w:t>
      </w:r>
      <w:r>
        <w:rPr>
          <w:rFonts w:ascii="Times New Roman" w:hAnsi="Times New Roman" w:cs="Times New Roman"/>
          <w:sz w:val="24"/>
          <w:szCs w:val="24"/>
        </w:rPr>
        <w:t>.</w:t>
      </w:r>
    </w:p>
    <w:p w14:paraId="0D2FD250"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One can register a caveat before the grant is applied for. You can register the caveat in any court because the registrar at that court is required to forward all the caveats to the principal registrar, who then ensures that no grant is issued by any court nationwide with respect to any caveated estate rule 15(8).</w:t>
      </w:r>
    </w:p>
    <w:p w14:paraId="7EA40493"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law on caveats to applications for the making or confirming of grants is found in </w:t>
      </w:r>
      <w:r>
        <w:rPr>
          <w:rFonts w:ascii="Times New Roman" w:hAnsi="Times New Roman" w:cs="Times New Roman"/>
          <w:b/>
          <w:sz w:val="24"/>
          <w:szCs w:val="24"/>
        </w:rPr>
        <w:t>Part IV of the Probate and Administration Rules</w:t>
      </w:r>
      <w:r>
        <w:rPr>
          <w:rFonts w:ascii="Times New Roman" w:hAnsi="Times New Roman" w:cs="Times New Roman"/>
          <w:sz w:val="24"/>
          <w:szCs w:val="24"/>
        </w:rPr>
        <w:t xml:space="preserve"> whose statutory basis is section 97 of the Law of Succession Act. </w:t>
      </w:r>
    </w:p>
    <w:p w14:paraId="75508079"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Rule 15 (1) of the Probate and Administration Rules provides; </w:t>
      </w:r>
      <w:r>
        <w:rPr>
          <w:rFonts w:ascii="Times New Roman" w:hAnsi="Times New Roman" w:cs="Times New Roman"/>
          <w:i/>
          <w:sz w:val="24"/>
          <w:szCs w:val="24"/>
        </w:rPr>
        <w:t>Any person who wishes to ensure that he shall receive notice of any application either for the making or the confirming of a grant of representation to the estate of a particular deceased person may enter a caveat in any registry</w:t>
      </w:r>
      <w:r>
        <w:rPr>
          <w:rFonts w:ascii="Times New Roman" w:hAnsi="Times New Roman" w:cs="Times New Roman"/>
          <w:sz w:val="24"/>
          <w:szCs w:val="24"/>
        </w:rPr>
        <w:t xml:space="preserve">. W. M. Musyoka in the book Law of Succession referenced the case of </w:t>
      </w:r>
      <w:r>
        <w:rPr>
          <w:rFonts w:ascii="Times New Roman" w:hAnsi="Times New Roman" w:cs="Times New Roman"/>
          <w:b/>
          <w:i/>
          <w:sz w:val="24"/>
          <w:szCs w:val="24"/>
        </w:rPr>
        <w:t>Raphael Jacob Samuel v The Public Trustee and others Nairobi Court of Appeal civil appeal number 16 of 1980</w:t>
      </w:r>
      <w:r>
        <w:rPr>
          <w:rFonts w:ascii="Times New Roman" w:hAnsi="Times New Roman" w:cs="Times New Roman"/>
          <w:sz w:val="24"/>
          <w:szCs w:val="24"/>
        </w:rPr>
        <w:t xml:space="preserve"> (Law, Miller and Potter JJA).</w:t>
      </w:r>
    </w:p>
    <w:p w14:paraId="2C5D9293"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process of entering a caveat is prescribed under Rule 15 (2) of the Probate and Administration Rules as</w:t>
      </w:r>
      <w:r>
        <w:rPr>
          <w:rFonts w:ascii="Times New Roman" w:hAnsi="Times New Roman" w:cs="Times New Roman"/>
          <w:i/>
          <w:sz w:val="24"/>
          <w:szCs w:val="24"/>
        </w:rPr>
        <w:t>; Any person who wishes to enter a caveat (herein called the caveator) may do so by completing and signing Form 28 in the appropriate book at the registry, paying the prescribed fee, and obtaining an acknowledgement of entry from the proper officer, or by sending through the post at his own risk a caveat in Form 28, signed by him and accompanied by the prescribed fee, to the registry in which he wishes the caveat to be entered</w:t>
      </w:r>
      <w:r>
        <w:rPr>
          <w:rFonts w:ascii="Times New Roman" w:hAnsi="Times New Roman" w:cs="Times New Roman"/>
          <w:sz w:val="24"/>
          <w:szCs w:val="24"/>
        </w:rPr>
        <w:t>.  Such caveat, if filed in a district registry, is forwarded to the principal registry where it is filed and retained as affirmed in Rule 15(5) of the Probate and Administration Rules of Succession.</w:t>
      </w:r>
    </w:p>
    <w:p w14:paraId="1CCCEB8B"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law stipulates that one can seek to enter a caveat individually or by an advocate. On the former, Rule 15 (3) provides that </w:t>
      </w:r>
      <w:r>
        <w:rPr>
          <w:rFonts w:ascii="Times New Roman" w:hAnsi="Times New Roman" w:cs="Times New Roman"/>
          <w:i/>
          <w:sz w:val="24"/>
          <w:szCs w:val="24"/>
        </w:rPr>
        <w:t>No caveat shall be entered by or on behalf of more persons than one</w:t>
      </w:r>
      <w:r>
        <w:rPr>
          <w:rFonts w:ascii="Times New Roman" w:hAnsi="Times New Roman" w:cs="Times New Roman"/>
          <w:sz w:val="24"/>
          <w:szCs w:val="24"/>
        </w:rPr>
        <w:t xml:space="preserve">. Similarly, when entered by an advocate, on behalf of a caveator, the name and postal </w:t>
      </w:r>
      <w:r>
        <w:rPr>
          <w:rFonts w:ascii="Times New Roman" w:hAnsi="Times New Roman" w:cs="Times New Roman"/>
          <w:sz w:val="24"/>
          <w:szCs w:val="24"/>
        </w:rPr>
        <w:lastRenderedPageBreak/>
        <w:t>address of the caveator shall be stated in the caveat in addition to those of the advocate subject to subsection 4 of the same.</w:t>
      </w:r>
    </w:p>
    <w:p w14:paraId="7C74FAAD"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Once the caveat has been lodged and consequently its copy has been forwarded to the principal registry where it shall be filed and retained, the principal registrar shall maintain a comprehensive index of caveats entered and, on receiving an application for the making or confirming of a grant, or notice of an application made in a district registry, shall forthwith cause the index to be searched to ascertain if any caveat has been lodged in the matter. This is provided for under Rule 15 (6) of the Probate and Administration Rules.</w:t>
      </w:r>
    </w:p>
    <w:p w14:paraId="2EC1AE1E"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Rule 15 (7) provides that; </w:t>
      </w:r>
      <w:r>
        <w:rPr>
          <w:rFonts w:ascii="Times New Roman" w:hAnsi="Times New Roman" w:cs="Times New Roman"/>
          <w:i/>
          <w:sz w:val="24"/>
          <w:szCs w:val="24"/>
        </w:rPr>
        <w:t>Where it appears that a caveat has been lodged against the making or confirming of a grant to the estate of a deceased and that such a grant has been applied for in any registry, the principal registry shall forthwith notify the registrar at that registry of the name and particulars of the caveator.</w:t>
      </w:r>
      <w:r>
        <w:rPr>
          <w:rFonts w:ascii="Times New Roman" w:hAnsi="Times New Roman" w:cs="Times New Roman"/>
          <w:sz w:val="24"/>
          <w:szCs w:val="24"/>
        </w:rPr>
        <w:t xml:space="preserve"> The registrar shall then not allow any grant to be made or confirmed in his registry if he has knowledge of the existence of an effective caveat in respect thereof: Provided that no caveat shall operate to prevent the making or confirming of a grant on the day on which the caveat is lodged. The latter has been provided for under Rule 15 (8).</w:t>
      </w:r>
    </w:p>
    <w:p w14:paraId="574184B2"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When an application for confirmation of a grant is made and there is an existing caveat to the property in issue, the registrar should send notice to the caveator informing him of the application for confirmation made.</w:t>
      </w:r>
    </w:p>
    <w:p w14:paraId="078C8BAA"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a caveat is enforceable and perfected, the registrar subject to Rule 15(9) of the Probate and Administration Rules should warn the caveatee of the filing of the application for the making or confirmation of grant, and notify him that if he wishes to object to the making or confirmation of the grant he should lodge an objection to the application in accordance with the rules. </w:t>
      </w:r>
    </w:p>
    <w:p w14:paraId="35D6BAEC"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Highness’s children should file the caveat in a court near them as the registrar of the court forwards all the caveats to the principal registrar. After filing the caveat, they shall receive the notice from the registrar on the confirmation of the grant. </w:t>
      </w:r>
    </w:p>
    <w:p w14:paraId="09CDB220"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Yours Sincerely,</w:t>
      </w:r>
    </w:p>
    <w:p w14:paraId="3337268E" w14:textId="77777777" w:rsidR="00FC173B"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Firm 2 Class E</w:t>
      </w:r>
    </w:p>
    <w:p w14:paraId="65CEE083" w14:textId="77777777" w:rsidR="00FC173B"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FIRM 2 CLASS E &amp; COMPANY ADVOCATES</w:t>
      </w:r>
    </w:p>
    <w:p w14:paraId="4C87F401" w14:textId="77777777" w:rsidR="00FC173B" w:rsidRDefault="00FC173B">
      <w:pPr>
        <w:rPr>
          <w:rFonts w:ascii="Times New Roman" w:hAnsi="Times New Roman" w:cs="Times New Roman"/>
          <w:sz w:val="24"/>
          <w:szCs w:val="24"/>
        </w:rPr>
      </w:pPr>
    </w:p>
    <w:p w14:paraId="16A8B237" w14:textId="77777777" w:rsidR="00FC173B" w:rsidRDefault="00000000">
      <w:pPr>
        <w:rPr>
          <w:rFonts w:ascii="Times New Roman" w:hAnsi="Times New Roman" w:cs="Times New Roman"/>
          <w:sz w:val="24"/>
          <w:szCs w:val="24"/>
        </w:rPr>
      </w:pPr>
      <w:r>
        <w:rPr>
          <w:rFonts w:ascii="Times New Roman" w:hAnsi="Times New Roman" w:cs="Times New Roman"/>
          <w:sz w:val="24"/>
          <w:szCs w:val="24"/>
        </w:rPr>
        <w:t>Form 28</w:t>
      </w:r>
    </w:p>
    <w:p w14:paraId="60C9B860" w14:textId="77777777" w:rsidR="00FC173B" w:rsidRDefault="00000000">
      <w:pPr>
        <w:pStyle w:val="NoSpacing"/>
        <w:jc w:val="center"/>
        <w:rPr>
          <w:rFonts w:ascii="Times New Roman" w:hAnsi="Times New Roman" w:cs="Times New Roman"/>
          <w:b/>
          <w:sz w:val="24"/>
          <w:szCs w:val="24"/>
          <w:u w:val="single"/>
          <w:lang w:eastAsia="en-GB"/>
        </w:rPr>
      </w:pPr>
      <w:r>
        <w:rPr>
          <w:rFonts w:ascii="Times New Roman" w:hAnsi="Times New Roman" w:cs="Times New Roman"/>
          <w:b/>
          <w:sz w:val="24"/>
          <w:szCs w:val="24"/>
          <w:u w:val="single"/>
          <w:lang w:eastAsia="en-GB"/>
        </w:rPr>
        <w:t>REPUBLIC OF KENYA</w:t>
      </w:r>
    </w:p>
    <w:p w14:paraId="35B33742" w14:textId="77777777" w:rsidR="00FC173B" w:rsidRDefault="00000000">
      <w:pPr>
        <w:pStyle w:val="NoSpacing"/>
        <w:jc w:val="center"/>
        <w:rPr>
          <w:rFonts w:ascii="Times New Roman" w:hAnsi="Times New Roman" w:cs="Times New Roman"/>
          <w:b/>
          <w:sz w:val="24"/>
          <w:szCs w:val="24"/>
          <w:u w:val="single"/>
          <w:lang w:eastAsia="en-GB"/>
        </w:rPr>
      </w:pPr>
      <w:r>
        <w:rPr>
          <w:rFonts w:ascii="Times New Roman" w:hAnsi="Times New Roman" w:cs="Times New Roman"/>
          <w:b/>
          <w:sz w:val="24"/>
          <w:szCs w:val="24"/>
          <w:u w:val="single"/>
          <w:lang w:eastAsia="en-GB"/>
        </w:rPr>
        <w:t>IN THE HIGH COURT OF KENYA AT NAIROBI</w:t>
      </w:r>
    </w:p>
    <w:p w14:paraId="375BA689" w14:textId="77777777" w:rsidR="00FC173B" w:rsidRDefault="00000000">
      <w:pPr>
        <w:pStyle w:val="NoSpacing"/>
        <w:jc w:val="center"/>
        <w:rPr>
          <w:rFonts w:ascii="Times New Roman" w:hAnsi="Times New Roman" w:cs="Times New Roman"/>
          <w:b/>
          <w:sz w:val="24"/>
          <w:szCs w:val="24"/>
          <w:u w:val="single"/>
          <w:lang w:eastAsia="en-GB"/>
        </w:rPr>
      </w:pPr>
      <w:r>
        <w:rPr>
          <w:rFonts w:ascii="Times New Roman" w:hAnsi="Times New Roman" w:cs="Times New Roman"/>
          <w:b/>
          <w:sz w:val="24"/>
          <w:szCs w:val="24"/>
          <w:u w:val="single"/>
          <w:lang w:eastAsia="en-GB"/>
        </w:rPr>
        <w:t>SUCCESSION CAUSE NO. P&amp;A E 12 OF 2022</w:t>
      </w:r>
    </w:p>
    <w:p w14:paraId="52109B27" w14:textId="77777777" w:rsidR="00FC173B" w:rsidRDefault="00000000">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lang w:eastAsia="en-GB"/>
        </w:rPr>
        <w:t>IN THE MATTER OF THE ESTATE OF HIGHNESS MZEE (DECEASED)</w:t>
      </w:r>
    </w:p>
    <w:p w14:paraId="621D08A6" w14:textId="77777777" w:rsidR="00FC173B" w:rsidRDefault="00000000">
      <w:pPr>
        <w:pStyle w:val="NormalWeb"/>
        <w:spacing w:before="0" w:beforeAutospacing="0" w:after="0" w:afterAutospacing="0"/>
        <w:ind w:left="-2" w:right="-1" w:hanging="1"/>
        <w:rPr>
          <w:rStyle w:val="apple-tab-span"/>
          <w:b/>
          <w:bCs/>
          <w:color w:val="000000"/>
        </w:rPr>
      </w:pPr>
      <w:r>
        <w:rPr>
          <w:b/>
          <w:bCs/>
          <w:color w:val="000000"/>
        </w:rPr>
        <w:t>TO:</w:t>
      </w:r>
    </w:p>
    <w:p w14:paraId="0EE1AE36"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THE HIGH COURT</w:t>
      </w:r>
    </w:p>
    <w:p w14:paraId="02E5024C" w14:textId="77777777" w:rsidR="00FC173B" w:rsidRDefault="00000000">
      <w:pPr>
        <w:pStyle w:val="NoSpacing"/>
        <w:rPr>
          <w:rFonts w:ascii="Times New Roman" w:hAnsi="Times New Roman" w:cs="Times New Roman"/>
          <w:sz w:val="24"/>
          <w:szCs w:val="24"/>
        </w:rPr>
      </w:pPr>
      <w:r>
        <w:rPr>
          <w:rFonts w:ascii="Times New Roman" w:hAnsi="Times New Roman" w:cs="Times New Roman"/>
          <w:bCs/>
          <w:sz w:val="24"/>
          <w:szCs w:val="24"/>
        </w:rPr>
        <w:t>MILIMANI LAW COURT</w:t>
      </w:r>
      <w:r>
        <w:rPr>
          <w:rFonts w:ascii="Times New Roman" w:hAnsi="Times New Roman" w:cs="Times New Roman"/>
          <w:sz w:val="24"/>
          <w:szCs w:val="24"/>
        </w:rPr>
        <w:t xml:space="preserve"> </w:t>
      </w:r>
    </w:p>
    <w:p w14:paraId="2695C553"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FAMILY DIVISION</w:t>
      </w:r>
    </w:p>
    <w:p w14:paraId="5ABFBEF8" w14:textId="77777777" w:rsidR="00FC173B" w:rsidRDefault="00000000">
      <w:pPr>
        <w:pStyle w:val="NoSpacing"/>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P.O BOX 679-00100</w:t>
      </w:r>
    </w:p>
    <w:p w14:paraId="090E1B52" w14:textId="77777777" w:rsidR="00FC173B" w:rsidRDefault="00000000">
      <w:pPr>
        <w:pStyle w:val="NoSpacing"/>
        <w:rPr>
          <w:rFonts w:ascii="Times New Roman" w:hAnsi="Times New Roman" w:cs="Times New Roman"/>
          <w:sz w:val="24"/>
          <w:szCs w:val="24"/>
        </w:rPr>
      </w:pPr>
      <w:r>
        <w:rPr>
          <w:rFonts w:ascii="Times New Roman" w:eastAsia="Times New Roman" w:hAnsi="Times New Roman" w:cs="Times New Roman"/>
          <w:b/>
          <w:sz w:val="24"/>
          <w:szCs w:val="24"/>
          <w:lang w:eastAsia="en-GB"/>
        </w:rPr>
        <w:t>NAIROBI</w:t>
      </w:r>
    </w:p>
    <w:p w14:paraId="7D3AC97D" w14:textId="77777777" w:rsidR="00FC173B" w:rsidRDefault="00FC173B">
      <w:pPr>
        <w:pStyle w:val="Heading2"/>
        <w:spacing w:before="0"/>
        <w:ind w:left="-2" w:right="-1" w:hanging="1"/>
        <w:jc w:val="center"/>
        <w:rPr>
          <w:rFonts w:ascii="Times New Roman" w:hAnsi="Times New Roman" w:cs="Times New Roman"/>
          <w:color w:val="000000"/>
          <w:sz w:val="24"/>
          <w:szCs w:val="24"/>
          <w:u w:val="single"/>
        </w:rPr>
      </w:pPr>
    </w:p>
    <w:p w14:paraId="5350C329" w14:textId="77777777" w:rsidR="00FC173B" w:rsidRDefault="00000000">
      <w:pPr>
        <w:pStyle w:val="Heading2"/>
        <w:spacing w:before="0"/>
        <w:ind w:left="-2" w:right="-1" w:hanging="1"/>
        <w:jc w:val="center"/>
        <w:rPr>
          <w:rFonts w:ascii="Times New Roman" w:hAnsi="Times New Roman" w:cs="Times New Roman"/>
        </w:rPr>
      </w:pPr>
      <w:r>
        <w:rPr>
          <w:rFonts w:ascii="Times New Roman" w:hAnsi="Times New Roman" w:cs="Times New Roman"/>
          <w:color w:val="000000"/>
          <w:sz w:val="24"/>
          <w:szCs w:val="24"/>
          <w:u w:val="single"/>
        </w:rPr>
        <w:t>CAVEAT</w:t>
      </w:r>
    </w:p>
    <w:p w14:paraId="5C5BD462" w14:textId="77777777" w:rsidR="00FC173B" w:rsidRDefault="00FC173B">
      <w:pPr>
        <w:rPr>
          <w:rFonts w:ascii="Times New Roman" w:hAnsi="Times New Roman" w:cs="Times New Roman"/>
        </w:rPr>
      </w:pPr>
    </w:p>
    <w:p w14:paraId="49EFA14C" w14:textId="77777777" w:rsidR="00FC173B" w:rsidRDefault="00000000">
      <w:pPr>
        <w:spacing w:line="360" w:lineRule="auto"/>
        <w:jc w:val="both"/>
        <w:rPr>
          <w:rFonts w:ascii="Times New Roman" w:hAnsi="Times New Roman" w:cs="Times New Roman"/>
          <w:b/>
          <w:sz w:val="24"/>
          <w:szCs w:val="24"/>
        </w:rPr>
      </w:pPr>
      <w:r>
        <w:rPr>
          <w:rFonts w:ascii="Times New Roman" w:hAnsi="Times New Roman" w:cs="Times New Roman"/>
          <w:color w:val="000000"/>
          <w:sz w:val="24"/>
          <w:szCs w:val="24"/>
          <w:u w:val="single"/>
        </w:rPr>
        <w:t>LET</w:t>
      </w:r>
      <w:r>
        <w:rPr>
          <w:rFonts w:ascii="Times New Roman" w:hAnsi="Times New Roman" w:cs="Times New Roman"/>
          <w:color w:val="000000"/>
          <w:sz w:val="24"/>
          <w:szCs w:val="24"/>
        </w:rPr>
        <w:t xml:space="preserve"> nothing be done in the estate of the above-named </w:t>
      </w:r>
      <w:r>
        <w:rPr>
          <w:rFonts w:ascii="Times New Roman" w:hAnsi="Times New Roman" w:cs="Times New Roman"/>
          <w:b/>
          <w:color w:val="000000"/>
          <w:sz w:val="24"/>
          <w:szCs w:val="24"/>
        </w:rPr>
        <w:t>HIGHNESS MZEE</w:t>
      </w:r>
      <w:r>
        <w:rPr>
          <w:rFonts w:ascii="Times New Roman" w:hAnsi="Times New Roman" w:cs="Times New Roman"/>
          <w:color w:val="000000"/>
          <w:sz w:val="24"/>
          <w:szCs w:val="24"/>
        </w:rPr>
        <w:t xml:space="preserve"> (DECEASED) who died on the </w:t>
      </w:r>
      <w:r>
        <w:rPr>
          <w:rFonts w:ascii="Times New Roman" w:hAnsi="Times New Roman" w:cs="Times New Roman"/>
          <w:b/>
          <w:sz w:val="24"/>
          <w:szCs w:val="24"/>
          <w:lang w:eastAsia="en-GB"/>
        </w:rPr>
        <w:t>20th November, 2021</w:t>
      </w:r>
      <w:r>
        <w:rPr>
          <w:rFonts w:ascii="Times New Roman" w:hAnsi="Times New Roman" w:cs="Times New Roman"/>
          <w:color w:val="000000"/>
          <w:sz w:val="24"/>
          <w:szCs w:val="24"/>
        </w:rPr>
        <w:t xml:space="preserve">, without notice to </w:t>
      </w:r>
      <w:r>
        <w:rPr>
          <w:rFonts w:ascii="Times New Roman" w:hAnsi="Times New Roman" w:cs="Times New Roman"/>
          <w:b/>
          <w:color w:val="000000"/>
          <w:sz w:val="24"/>
          <w:szCs w:val="24"/>
        </w:rPr>
        <w:t>SELLINE HIGHNESS</w:t>
      </w:r>
      <w:r>
        <w:rPr>
          <w:rFonts w:ascii="Times New Roman" w:hAnsi="Times New Roman" w:cs="Times New Roman"/>
          <w:color w:val="000000"/>
          <w:sz w:val="24"/>
          <w:szCs w:val="24"/>
        </w:rPr>
        <w:t xml:space="preserve"> of P.O. Box 1234 Nairobi and whose address for service herein is care of Messrs., </w:t>
      </w:r>
      <w:r>
        <w:rPr>
          <w:rFonts w:ascii="Times New Roman" w:hAnsi="Times New Roman" w:cs="Times New Roman"/>
          <w:b/>
          <w:sz w:val="24"/>
          <w:szCs w:val="24"/>
        </w:rPr>
        <w:t>FIRM 2 &amp; COMPANY ADVOCATES Nafrom Building, 4</w:t>
      </w:r>
      <w:r>
        <w:rPr>
          <w:rFonts w:ascii="Times New Roman" w:hAnsi="Times New Roman" w:cs="Times New Roman"/>
          <w:b/>
          <w:sz w:val="24"/>
          <w:szCs w:val="24"/>
          <w:vertAlign w:val="superscript"/>
        </w:rPr>
        <w:t>th</w:t>
      </w:r>
      <w:r>
        <w:rPr>
          <w:rFonts w:ascii="Times New Roman" w:hAnsi="Times New Roman" w:cs="Times New Roman"/>
          <w:b/>
          <w:sz w:val="24"/>
          <w:szCs w:val="24"/>
        </w:rPr>
        <w:t xml:space="preserve"> Floor, Bogani Rd, P.O BOX 102030 Nairobi</w:t>
      </w:r>
    </w:p>
    <w:p w14:paraId="090BB774" w14:textId="77777777" w:rsidR="00FC173B" w:rsidRDefault="00000000">
      <w:pPr>
        <w:pStyle w:val="NormalWeb"/>
        <w:spacing w:before="0" w:beforeAutospacing="0" w:after="0" w:afterAutospacing="0"/>
        <w:ind w:left="-2" w:right="-1" w:hanging="1"/>
        <w:jc w:val="both"/>
      </w:pPr>
      <w:r>
        <w:rPr>
          <w:color w:val="000000"/>
        </w:rPr>
        <w:t>Dated at Nairobi on the ................... day of ......................................... 2022</w:t>
      </w:r>
    </w:p>
    <w:p w14:paraId="2189A4A0" w14:textId="77777777" w:rsidR="00FC173B" w:rsidRDefault="00000000">
      <w:pPr>
        <w:pStyle w:val="NoSpacing"/>
        <w:jc w:val="center"/>
        <w:rPr>
          <w:rFonts w:ascii="Times New Roman" w:hAnsi="Times New Roman" w:cs="Times New Roman"/>
          <w:sz w:val="24"/>
          <w:szCs w:val="24"/>
        </w:rPr>
      </w:pPr>
      <w:r>
        <w:rPr>
          <w:rFonts w:ascii="Times New Roman" w:hAnsi="Times New Roman" w:cs="Times New Roman"/>
        </w:rPr>
        <w:br/>
      </w:r>
      <w:r>
        <w:rPr>
          <w:rFonts w:ascii="Times New Roman" w:hAnsi="Times New Roman" w:cs="Times New Roman"/>
        </w:rPr>
        <w:br/>
      </w:r>
      <w:r>
        <w:rPr>
          <w:rFonts w:ascii="Times New Roman" w:hAnsi="Times New Roman" w:cs="Times New Roman"/>
          <w:sz w:val="24"/>
          <w:szCs w:val="24"/>
        </w:rPr>
        <w:t>…………………………..</w:t>
      </w:r>
    </w:p>
    <w:p w14:paraId="387D4C8B" w14:textId="77777777" w:rsidR="00FC173B" w:rsidRDefault="00000000">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rPr>
        <w:t>FIRM 2 CLASS E &amp; COMPANY ADVOCATES</w:t>
      </w:r>
    </w:p>
    <w:p w14:paraId="39EE2FBC" w14:textId="77777777" w:rsidR="00FC173B" w:rsidRDefault="00000000">
      <w:pPr>
        <w:pStyle w:val="NoSpacing"/>
        <w:jc w:val="center"/>
        <w:rPr>
          <w:rFonts w:ascii="Times New Roman" w:hAnsi="Times New Roman" w:cs="Times New Roman"/>
          <w:sz w:val="24"/>
          <w:szCs w:val="24"/>
        </w:rPr>
      </w:pPr>
      <w:r>
        <w:rPr>
          <w:rFonts w:ascii="Times New Roman" w:hAnsi="Times New Roman" w:cs="Times New Roman"/>
          <w:b/>
          <w:bCs/>
          <w:color w:val="000000"/>
          <w:sz w:val="24"/>
          <w:szCs w:val="24"/>
          <w:u w:val="single"/>
        </w:rPr>
        <w:t>ADVOCATES FOR CAVEATOR</w:t>
      </w:r>
    </w:p>
    <w:p w14:paraId="01AA24D4" w14:textId="77777777" w:rsidR="00FC173B" w:rsidRDefault="00000000">
      <w:pPr>
        <w:pStyle w:val="NoSpacing"/>
        <w:jc w:val="center"/>
        <w:rPr>
          <w:rFonts w:ascii="Times New Roman" w:hAnsi="Times New Roman" w:cs="Times New Roman"/>
        </w:rPr>
      </w:pPr>
      <w:r>
        <w:rPr>
          <w:rFonts w:ascii="Times New Roman" w:hAnsi="Times New Roman" w:cs="Times New Roman"/>
        </w:rPr>
        <w:br/>
      </w:r>
    </w:p>
    <w:p w14:paraId="77539135" w14:textId="77777777" w:rsidR="00FC173B" w:rsidRDefault="00000000">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Drawn &amp; filed by:</w:t>
      </w:r>
    </w:p>
    <w:p w14:paraId="5BF6A74C"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FIRM 2 &amp; COMPANY ADVOCATES</w:t>
      </w:r>
    </w:p>
    <w:p w14:paraId="207CFC88"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Nafrom Building,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Floor, Bogani Rd, </w:t>
      </w:r>
    </w:p>
    <w:p w14:paraId="75F0B2C9"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P.O BOX 102030 Nairobi</w:t>
      </w:r>
    </w:p>
    <w:p w14:paraId="2E07D0DE"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 xml:space="preserve">Tel- +2541234567 </w:t>
      </w:r>
    </w:p>
    <w:p w14:paraId="7CE49442" w14:textId="77777777" w:rsidR="00FC173B" w:rsidRDefault="00000000">
      <w:pPr>
        <w:pStyle w:val="NoSpacing"/>
        <w:rPr>
          <w:rFonts w:ascii="Times New Roman" w:hAnsi="Times New Roman" w:cs="Times New Roman"/>
          <w:sz w:val="24"/>
          <w:szCs w:val="24"/>
        </w:rPr>
      </w:pPr>
      <w:r>
        <w:rPr>
          <w:rFonts w:ascii="Times New Roman" w:hAnsi="Times New Roman" w:cs="Times New Roman"/>
          <w:sz w:val="24"/>
          <w:szCs w:val="24"/>
        </w:rPr>
        <w:t xml:space="preserve">Email: </w:t>
      </w:r>
      <w:hyperlink r:id="rId6" w:history="1">
        <w:r>
          <w:rPr>
            <w:rStyle w:val="Hyperlink"/>
            <w:rFonts w:ascii="Times New Roman" w:hAnsi="Times New Roman" w:cs="Times New Roman"/>
            <w:sz w:val="24"/>
            <w:szCs w:val="24"/>
          </w:rPr>
          <w:t>firm2companyadvocates@gmail.com</w:t>
        </w:r>
      </w:hyperlink>
      <w:r>
        <w:rPr>
          <w:rFonts w:ascii="Times New Roman" w:hAnsi="Times New Roman" w:cs="Times New Roman"/>
          <w:sz w:val="24"/>
          <w:szCs w:val="24"/>
        </w:rPr>
        <w:t xml:space="preserve"> </w:t>
      </w:r>
    </w:p>
    <w:p w14:paraId="6818B058" w14:textId="77777777" w:rsidR="00FC173B" w:rsidRDefault="00FC173B">
      <w:pPr>
        <w:rPr>
          <w:rFonts w:ascii="Times New Roman" w:hAnsi="Times New Roman" w:cs="Times New Roman"/>
        </w:rPr>
      </w:pPr>
    </w:p>
    <w:p w14:paraId="1632104A" w14:textId="77777777" w:rsidR="00FC173B" w:rsidRDefault="00000000">
      <w:pPr>
        <w:pStyle w:val="NormalWeb"/>
        <w:spacing w:before="0" w:beforeAutospacing="0" w:after="0" w:afterAutospacing="0"/>
        <w:ind w:left="-2" w:right="-1" w:hanging="1"/>
        <w:rPr>
          <w:b/>
          <w:bCs/>
          <w:color w:val="000000"/>
          <w:u w:val="single"/>
        </w:rPr>
      </w:pPr>
      <w:r>
        <w:rPr>
          <w:b/>
          <w:bCs/>
          <w:color w:val="000000"/>
          <w:u w:val="single"/>
        </w:rPr>
        <w:t>To Be Served upon:</w:t>
      </w:r>
    </w:p>
    <w:p w14:paraId="19A7A513" w14:textId="77777777" w:rsidR="00FC173B" w:rsidRDefault="00000000">
      <w:pPr>
        <w:pStyle w:val="NormalWeb"/>
        <w:spacing w:before="0" w:beforeAutospacing="0" w:after="0" w:afterAutospacing="0"/>
        <w:ind w:left="-2" w:right="-1" w:hanging="1"/>
        <w:rPr>
          <w:bCs/>
          <w:color w:val="000000"/>
        </w:rPr>
      </w:pPr>
      <w:r>
        <w:rPr>
          <w:bCs/>
          <w:color w:val="000000"/>
        </w:rPr>
        <w:t>Kelline Highness</w:t>
      </w:r>
    </w:p>
    <w:p w14:paraId="4F749A99" w14:textId="77777777" w:rsidR="00FC173B" w:rsidRDefault="00000000">
      <w:pPr>
        <w:pStyle w:val="NormalWeb"/>
        <w:spacing w:before="0" w:beforeAutospacing="0" w:after="0" w:afterAutospacing="0"/>
        <w:ind w:left="-2" w:right="-1" w:hanging="1"/>
        <w:rPr>
          <w:bCs/>
          <w:color w:val="000000"/>
        </w:rPr>
      </w:pPr>
      <w:r>
        <w:rPr>
          <w:bCs/>
          <w:color w:val="000000"/>
        </w:rPr>
        <w:t>P.O. BOX 4263-00200</w:t>
      </w:r>
    </w:p>
    <w:p w14:paraId="475BD179" w14:textId="77777777" w:rsidR="00FC173B" w:rsidRDefault="00000000">
      <w:pPr>
        <w:pStyle w:val="NormalWeb"/>
        <w:spacing w:before="0" w:beforeAutospacing="0" w:after="0" w:afterAutospacing="0"/>
        <w:ind w:left="-2" w:right="-1" w:hanging="1"/>
      </w:pPr>
      <w:r>
        <w:rPr>
          <w:bCs/>
          <w:color w:val="000000"/>
        </w:rPr>
        <w:t>NAIROBI</w:t>
      </w:r>
    </w:p>
    <w:p w14:paraId="287FEC65" w14:textId="77777777" w:rsidR="00FC173B" w:rsidRDefault="00FC173B">
      <w:pPr>
        <w:rPr>
          <w:rFonts w:ascii="Times New Roman" w:hAnsi="Times New Roman" w:cs="Times New Roman"/>
        </w:rPr>
      </w:pPr>
    </w:p>
    <w:p w14:paraId="4E9CA593" w14:textId="77777777" w:rsidR="00FC173B" w:rsidRDefault="00000000">
      <w:pPr>
        <w:pStyle w:val="NormalWeb"/>
        <w:spacing w:before="0" w:beforeAutospacing="0" w:after="0" w:afterAutospacing="0"/>
        <w:ind w:left="-2" w:right="-1" w:hanging="1"/>
        <w:jc w:val="both"/>
      </w:pPr>
      <w:r>
        <w:rPr>
          <w:color w:val="000000"/>
        </w:rPr>
        <w:t>{</w:t>
      </w:r>
      <w:r>
        <w:rPr>
          <w:i/>
          <w:iCs/>
          <w:color w:val="000000"/>
        </w:rPr>
        <w:t>Note:- This form if not completed and signed in the registry must be sent to the registry in duplicate and be accompanied by the prescribed fee</w:t>
      </w:r>
      <w:r>
        <w:rPr>
          <w:color w:val="000000"/>
        </w:rPr>
        <w:t>.}</w:t>
      </w:r>
    </w:p>
    <w:p w14:paraId="6A88CBCC" w14:textId="77777777" w:rsidR="00FC173B" w:rsidRDefault="00FC173B">
      <w:pPr>
        <w:rPr>
          <w:rFonts w:ascii="Times New Roman" w:hAnsi="Times New Roman" w:cs="Times New Roman"/>
          <w:sz w:val="24"/>
          <w:szCs w:val="24"/>
        </w:rPr>
      </w:pPr>
    </w:p>
    <w:sectPr w:rsidR="00FC1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D8F8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hybridMultilevel"/>
    <w:tmpl w:val="8B9A2EBA"/>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D8F8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B1165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000004"/>
    <w:multiLevelType w:val="hybridMultilevel"/>
    <w:tmpl w:val="B48C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88CA3C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6"/>
    <w:multiLevelType w:val="hybridMultilevel"/>
    <w:tmpl w:val="CA6636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hybridMultilevel"/>
    <w:tmpl w:val="D8F8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8"/>
    <w:multiLevelType w:val="hybridMultilevel"/>
    <w:tmpl w:val="DAFA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9"/>
    <w:multiLevelType w:val="hybridMultilevel"/>
    <w:tmpl w:val="8E3E7896"/>
    <w:lvl w:ilvl="0" w:tplc="F43EACA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D8F8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hybridMultilevel"/>
    <w:tmpl w:val="EB92E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C"/>
    <w:multiLevelType w:val="multilevel"/>
    <w:tmpl w:val="77E4D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000000D"/>
    <w:multiLevelType w:val="hybridMultilevel"/>
    <w:tmpl w:val="67A24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E"/>
    <w:multiLevelType w:val="hybridMultilevel"/>
    <w:tmpl w:val="0A083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0F"/>
    <w:multiLevelType w:val="hybridMultilevel"/>
    <w:tmpl w:val="82382758"/>
    <w:lvl w:ilvl="0" w:tplc="98743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0000010"/>
    <w:multiLevelType w:val="hybridMultilevel"/>
    <w:tmpl w:val="910AC4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1"/>
    <w:multiLevelType w:val="hybridMultilevel"/>
    <w:tmpl w:val="6F88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2"/>
    <w:multiLevelType w:val="hybridMultilevel"/>
    <w:tmpl w:val="5B6CBB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2237748">
    <w:abstractNumId w:val="14"/>
  </w:num>
  <w:num w:numId="2" w16cid:durableId="1317077553">
    <w:abstractNumId w:val="16"/>
  </w:num>
  <w:num w:numId="3" w16cid:durableId="1741559301">
    <w:abstractNumId w:val="9"/>
  </w:num>
  <w:num w:numId="4" w16cid:durableId="662122200">
    <w:abstractNumId w:val="2"/>
  </w:num>
  <w:num w:numId="5" w16cid:durableId="393360596">
    <w:abstractNumId w:val="11"/>
  </w:num>
  <w:num w:numId="6" w16cid:durableId="1539052758">
    <w:abstractNumId w:val="8"/>
  </w:num>
  <w:num w:numId="7" w16cid:durableId="1134908276">
    <w:abstractNumId w:val="10"/>
  </w:num>
  <w:num w:numId="8" w16cid:durableId="1813448376">
    <w:abstractNumId w:val="7"/>
  </w:num>
  <w:num w:numId="9" w16cid:durableId="433214736">
    <w:abstractNumId w:val="4"/>
  </w:num>
  <w:num w:numId="10" w16cid:durableId="200018329">
    <w:abstractNumId w:val="18"/>
  </w:num>
  <w:num w:numId="11" w16cid:durableId="1349990445">
    <w:abstractNumId w:val="6"/>
  </w:num>
  <w:num w:numId="12" w16cid:durableId="1553886336">
    <w:abstractNumId w:val="0"/>
  </w:num>
  <w:num w:numId="13" w16cid:durableId="959871826">
    <w:abstractNumId w:val="5"/>
  </w:num>
  <w:num w:numId="14" w16cid:durableId="789662880">
    <w:abstractNumId w:val="1"/>
  </w:num>
  <w:num w:numId="15" w16cid:durableId="1230573706">
    <w:abstractNumId w:val="3"/>
  </w:num>
  <w:num w:numId="16" w16cid:durableId="2119908940">
    <w:abstractNumId w:val="17"/>
  </w:num>
  <w:num w:numId="17" w16cid:durableId="2001930327">
    <w:abstractNumId w:val="13"/>
  </w:num>
  <w:num w:numId="18" w16cid:durableId="1329989531">
    <w:abstractNumId w:val="12"/>
  </w:num>
  <w:num w:numId="19" w16cid:durableId="13013057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173B"/>
    <w:rsid w:val="002E4342"/>
    <w:rsid w:val="00FC1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8B95"/>
  <w15:docId w15:val="{707C9CE6-3F0C-4E6E-BA05-24DF025E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SimSun" w:hAnsi="Cambria"/>
      <w:color w:val="365F9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mbria" w:eastAsia="SimSun" w:hAnsi="Cambria"/>
      <w:color w:val="365F9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pPr>
      <w:spacing w:after="200"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mbria" w:eastAsia="SimSun" w:hAnsi="Cambria" w:cs="SimSun"/>
      <w:color w:val="365F91"/>
      <w:sz w:val="32"/>
      <w:szCs w:val="32"/>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character" w:customStyle="1" w:styleId="apple-tab-span">
    <w:name w:val="apple-tab-span"/>
    <w:basedOn w:val="DefaultParagraphFont"/>
  </w:style>
  <w:style w:type="character" w:styleId="Hyperlink">
    <w:name w:val="Hyperlink"/>
    <w:basedOn w:val="DefaultParagraphFont"/>
    <w:uiPriority w:val="99"/>
    <w:rPr>
      <w:color w:val="0000FF"/>
      <w:u w:val="single"/>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rFonts w:ascii="Calibri" w:eastAsia="Calibri" w:hAnsi="Calibri" w:cs="SimSun"/>
      <w:sz w:val="20"/>
      <w:szCs w:val="20"/>
    </w:rPr>
  </w:style>
  <w:style w:type="character" w:styleId="FootnoteReference">
    <w:name w:val="footnote reference"/>
    <w:basedOn w:val="DefaultParagraphFont"/>
    <w:uiPriority w:val="99"/>
    <w:rPr>
      <w:vertAlign w:val="superscrip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rm2companyadvocates@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5458</Words>
  <Characters>31112</Characters>
  <Application>Microsoft Office Word</Application>
  <DocSecurity>0</DocSecurity>
  <Lines>259</Lines>
  <Paragraphs>72</Paragraphs>
  <ScaleCrop>false</ScaleCrop>
  <Company/>
  <LinksUpToDate>false</LinksUpToDate>
  <CharactersWithSpaces>36498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calvin mudoga</cp:lastModifiedBy>
  <cp:revision>10</cp:revision>
  <dcterms:created xsi:type="dcterms:W3CDTF">2022-08-01T05:48:00Z</dcterms:created>
  <dcterms:modified xsi:type="dcterms:W3CDTF">2022-08-18T12:16:00Z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f925070d29374aea9417298c32e605d9</vt:lpwstr>
  </property>
</Properties>
</file>