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3B759"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                                       </w:t>
      </w:r>
      <w:r>
        <w:rPr>
          <w:rFonts w:eastAsia="Times New Roman" w:cs="Times New Roman"/>
          <w:b/>
          <w:noProof/>
          <w:szCs w:val="24"/>
        </w:rPr>
        <w:drawing>
          <wp:inline distT="0" distB="0" distL="0" distR="0" wp14:anchorId="084B0B18" wp14:editId="41F5431A">
            <wp:extent cx="2503705" cy="2504206"/>
            <wp:effectExtent l="0" t="0" r="0" b="0"/>
            <wp:docPr id="1026" name="image1.png" descr="C:\Users\USER\Desktop\KSL L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srcRect/>
                    <a:stretch/>
                  </pic:blipFill>
                  <pic:spPr>
                    <a:xfrm>
                      <a:off x="0" y="0"/>
                      <a:ext cx="2503705" cy="2504206"/>
                    </a:xfrm>
                    <a:prstGeom prst="rect">
                      <a:avLst/>
                    </a:prstGeom>
                    <a:ln w="9525" cap="flat" cmpd="sng">
                      <a:solidFill>
                        <a:srgbClr val="000000"/>
                      </a:solidFill>
                      <a:prstDash val="solid"/>
                      <a:round/>
                      <a:headEnd/>
                      <a:tailEnd/>
                    </a:ln>
                  </pic:spPr>
                </pic:pic>
              </a:graphicData>
            </a:graphic>
          </wp:inline>
        </w:drawing>
      </w:r>
    </w:p>
    <w:p w14:paraId="773DD14E" w14:textId="77777777" w:rsidR="0026676C" w:rsidRDefault="004A315C">
      <w:pPr>
        <w:spacing w:before="200" w:after="160" w:line="360" w:lineRule="auto"/>
        <w:jc w:val="center"/>
        <w:rPr>
          <w:rFonts w:eastAsia="Times New Roman" w:cs="Times New Roman"/>
          <w:b/>
          <w:szCs w:val="24"/>
        </w:rPr>
      </w:pPr>
      <w:r>
        <w:rPr>
          <w:rFonts w:eastAsia="Times New Roman" w:cs="Times New Roman"/>
          <w:b/>
          <w:szCs w:val="24"/>
        </w:rPr>
        <w:t>ATP 102: PROBATE AND ADMINISTRATION</w:t>
      </w:r>
    </w:p>
    <w:p w14:paraId="1993A6D5" w14:textId="77777777" w:rsidR="0026676C" w:rsidRDefault="004A315C">
      <w:pPr>
        <w:spacing w:before="200" w:after="160" w:line="360" w:lineRule="auto"/>
        <w:jc w:val="center"/>
        <w:rPr>
          <w:rFonts w:eastAsia="Times New Roman" w:cs="Times New Roman"/>
          <w:b/>
          <w:szCs w:val="24"/>
        </w:rPr>
      </w:pPr>
      <w:r>
        <w:rPr>
          <w:rFonts w:eastAsia="Times New Roman" w:cs="Times New Roman"/>
          <w:b/>
          <w:szCs w:val="24"/>
        </w:rPr>
        <w:t>INSTRUCTOR – MS. ANASTASIA OTIENO</w:t>
      </w:r>
    </w:p>
    <w:p w14:paraId="5073F8D8" w14:textId="77777777" w:rsidR="0026676C" w:rsidRDefault="004A315C">
      <w:pPr>
        <w:spacing w:before="200" w:after="160" w:line="360" w:lineRule="auto"/>
        <w:jc w:val="center"/>
        <w:rPr>
          <w:rFonts w:eastAsia="Times New Roman" w:cs="Times New Roman"/>
          <w:b/>
          <w:szCs w:val="24"/>
        </w:rPr>
      </w:pPr>
      <w:r>
        <w:rPr>
          <w:rFonts w:eastAsia="Times New Roman" w:cs="Times New Roman"/>
          <w:b/>
          <w:szCs w:val="24"/>
        </w:rPr>
        <w:t>CLASS PRESENTATION</w:t>
      </w:r>
    </w:p>
    <w:p w14:paraId="0C1E4A8B" w14:textId="77777777" w:rsidR="0026676C" w:rsidRDefault="004A315C">
      <w:pPr>
        <w:spacing w:before="200" w:after="160" w:line="360" w:lineRule="auto"/>
        <w:jc w:val="center"/>
        <w:rPr>
          <w:rFonts w:eastAsia="Times New Roman" w:cs="Times New Roman"/>
          <w:b/>
          <w:szCs w:val="24"/>
        </w:rPr>
      </w:pPr>
      <w:r>
        <w:rPr>
          <w:rFonts w:eastAsia="Times New Roman" w:cs="Times New Roman"/>
          <w:b/>
          <w:szCs w:val="24"/>
        </w:rPr>
        <w:t xml:space="preserve">FIRM 21 CLASS E </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2160"/>
        <w:gridCol w:w="2160"/>
      </w:tblGrid>
      <w:tr w:rsidR="0026676C" w14:paraId="5262EC47" w14:textId="77777777">
        <w:trPr>
          <w:jc w:val="center"/>
        </w:trPr>
        <w:tc>
          <w:tcPr>
            <w:tcW w:w="4675" w:type="dxa"/>
          </w:tcPr>
          <w:p w14:paraId="011E6255" w14:textId="77777777" w:rsidR="0026676C" w:rsidRDefault="004A315C">
            <w:pPr>
              <w:spacing w:before="200" w:line="276" w:lineRule="auto"/>
              <w:jc w:val="both"/>
              <w:rPr>
                <w:rFonts w:cs="Times New Roman"/>
                <w:b/>
                <w:szCs w:val="24"/>
              </w:rPr>
            </w:pPr>
            <w:r>
              <w:rPr>
                <w:rFonts w:cs="Times New Roman"/>
                <w:b/>
                <w:szCs w:val="24"/>
              </w:rPr>
              <w:t xml:space="preserve">NAME </w:t>
            </w:r>
          </w:p>
        </w:tc>
        <w:tc>
          <w:tcPr>
            <w:tcW w:w="2160" w:type="dxa"/>
          </w:tcPr>
          <w:p w14:paraId="05AF1453" w14:textId="77777777" w:rsidR="0026676C" w:rsidRDefault="004A315C">
            <w:pPr>
              <w:spacing w:before="200" w:line="276" w:lineRule="auto"/>
              <w:jc w:val="both"/>
              <w:rPr>
                <w:rFonts w:cs="Times New Roman"/>
                <w:b/>
                <w:szCs w:val="24"/>
              </w:rPr>
            </w:pPr>
            <w:r>
              <w:rPr>
                <w:rFonts w:cs="Times New Roman"/>
                <w:b/>
                <w:szCs w:val="24"/>
              </w:rPr>
              <w:t>ADMISSION NO.</w:t>
            </w:r>
          </w:p>
        </w:tc>
        <w:tc>
          <w:tcPr>
            <w:tcW w:w="2160" w:type="dxa"/>
          </w:tcPr>
          <w:p w14:paraId="28AB6588" w14:textId="77777777" w:rsidR="0026676C" w:rsidRDefault="004A315C">
            <w:pPr>
              <w:spacing w:before="200" w:line="360" w:lineRule="auto"/>
              <w:jc w:val="both"/>
              <w:rPr>
                <w:rFonts w:ascii="Calibri" w:hAnsi="Calibri" w:cs="Calibri"/>
                <w:b/>
                <w:sz w:val="22"/>
              </w:rPr>
            </w:pPr>
            <w:r>
              <w:rPr>
                <w:rFonts w:ascii="Calibri" w:hAnsi="Calibri" w:cs="Calibri"/>
                <w:b/>
                <w:sz w:val="22"/>
              </w:rPr>
              <w:t>SIGNATURE</w:t>
            </w:r>
          </w:p>
        </w:tc>
      </w:tr>
      <w:tr w:rsidR="0026676C" w14:paraId="10EFCB44" w14:textId="77777777">
        <w:trPr>
          <w:jc w:val="center"/>
        </w:trPr>
        <w:tc>
          <w:tcPr>
            <w:tcW w:w="4675" w:type="dxa"/>
          </w:tcPr>
          <w:p w14:paraId="380F407D" w14:textId="77777777" w:rsidR="0026676C" w:rsidRDefault="004A315C">
            <w:pPr>
              <w:spacing w:before="200" w:line="276" w:lineRule="auto"/>
              <w:jc w:val="both"/>
              <w:rPr>
                <w:rFonts w:cs="Times New Roman"/>
                <w:b/>
                <w:szCs w:val="24"/>
              </w:rPr>
            </w:pPr>
            <w:r>
              <w:rPr>
                <w:rFonts w:cs="Times New Roman"/>
                <w:b/>
                <w:szCs w:val="24"/>
              </w:rPr>
              <w:t>ATIENO KEZIAH TRUPHOSA</w:t>
            </w:r>
          </w:p>
        </w:tc>
        <w:tc>
          <w:tcPr>
            <w:tcW w:w="2160" w:type="dxa"/>
          </w:tcPr>
          <w:p w14:paraId="3C29D1BA" w14:textId="77777777" w:rsidR="0026676C" w:rsidRDefault="004A315C">
            <w:pPr>
              <w:spacing w:before="200" w:line="276" w:lineRule="auto"/>
              <w:jc w:val="both"/>
              <w:rPr>
                <w:rFonts w:cs="Times New Roman"/>
                <w:b/>
                <w:szCs w:val="24"/>
              </w:rPr>
            </w:pPr>
            <w:r>
              <w:rPr>
                <w:rFonts w:cs="Times New Roman"/>
                <w:b/>
                <w:szCs w:val="24"/>
              </w:rPr>
              <w:t>20220068</w:t>
            </w:r>
          </w:p>
        </w:tc>
        <w:tc>
          <w:tcPr>
            <w:tcW w:w="2160" w:type="dxa"/>
          </w:tcPr>
          <w:p w14:paraId="2B5FB000" w14:textId="77777777" w:rsidR="0026676C" w:rsidRDefault="0026676C">
            <w:pPr>
              <w:spacing w:before="200" w:line="360" w:lineRule="auto"/>
              <w:jc w:val="both"/>
              <w:rPr>
                <w:rFonts w:ascii="Calibri" w:hAnsi="Calibri" w:cs="Calibri"/>
                <w:b/>
                <w:sz w:val="22"/>
              </w:rPr>
            </w:pPr>
          </w:p>
        </w:tc>
      </w:tr>
      <w:tr w:rsidR="0026676C" w14:paraId="3A9D943D" w14:textId="77777777">
        <w:trPr>
          <w:jc w:val="center"/>
        </w:trPr>
        <w:tc>
          <w:tcPr>
            <w:tcW w:w="4675" w:type="dxa"/>
          </w:tcPr>
          <w:p w14:paraId="5A55AC52" w14:textId="77777777" w:rsidR="0026676C" w:rsidRDefault="004A315C">
            <w:pPr>
              <w:spacing w:before="200" w:line="276" w:lineRule="auto"/>
              <w:jc w:val="both"/>
              <w:rPr>
                <w:rFonts w:cs="Times New Roman"/>
                <w:b/>
                <w:szCs w:val="24"/>
              </w:rPr>
            </w:pPr>
            <w:r>
              <w:rPr>
                <w:rFonts w:cs="Times New Roman"/>
                <w:b/>
                <w:szCs w:val="24"/>
              </w:rPr>
              <w:t xml:space="preserve">JOAN KARIUKI </w:t>
            </w:r>
          </w:p>
        </w:tc>
        <w:tc>
          <w:tcPr>
            <w:tcW w:w="2160" w:type="dxa"/>
          </w:tcPr>
          <w:p w14:paraId="23C09D9B" w14:textId="77777777" w:rsidR="0026676C" w:rsidRDefault="004A315C">
            <w:pPr>
              <w:spacing w:before="200" w:line="276" w:lineRule="auto"/>
              <w:jc w:val="both"/>
              <w:rPr>
                <w:rFonts w:cs="Times New Roman"/>
                <w:b/>
                <w:szCs w:val="24"/>
              </w:rPr>
            </w:pPr>
            <w:r>
              <w:rPr>
                <w:rFonts w:cs="Times New Roman"/>
                <w:b/>
                <w:szCs w:val="24"/>
              </w:rPr>
              <w:t>20220985</w:t>
            </w:r>
          </w:p>
        </w:tc>
        <w:tc>
          <w:tcPr>
            <w:tcW w:w="2160" w:type="dxa"/>
          </w:tcPr>
          <w:p w14:paraId="2F6B18A7" w14:textId="77777777" w:rsidR="0026676C" w:rsidRDefault="0026676C">
            <w:pPr>
              <w:spacing w:before="200" w:line="360" w:lineRule="auto"/>
              <w:jc w:val="both"/>
              <w:rPr>
                <w:rFonts w:ascii="Calibri" w:hAnsi="Calibri" w:cs="Calibri"/>
                <w:b/>
                <w:sz w:val="22"/>
              </w:rPr>
            </w:pPr>
          </w:p>
        </w:tc>
      </w:tr>
      <w:tr w:rsidR="0026676C" w14:paraId="6ACA2ADF" w14:textId="77777777">
        <w:trPr>
          <w:jc w:val="center"/>
        </w:trPr>
        <w:tc>
          <w:tcPr>
            <w:tcW w:w="4675" w:type="dxa"/>
          </w:tcPr>
          <w:p w14:paraId="4A4CAC45" w14:textId="77777777" w:rsidR="0026676C" w:rsidRDefault="004A315C">
            <w:pPr>
              <w:spacing w:before="200" w:line="276" w:lineRule="auto"/>
              <w:jc w:val="both"/>
              <w:rPr>
                <w:rFonts w:cs="Times New Roman"/>
                <w:b/>
                <w:szCs w:val="24"/>
              </w:rPr>
            </w:pPr>
            <w:r>
              <w:rPr>
                <w:rFonts w:cs="Times New Roman"/>
                <w:b/>
                <w:szCs w:val="24"/>
              </w:rPr>
              <w:t xml:space="preserve">MILLY NYAMBURA </w:t>
            </w:r>
          </w:p>
        </w:tc>
        <w:tc>
          <w:tcPr>
            <w:tcW w:w="2160" w:type="dxa"/>
          </w:tcPr>
          <w:p w14:paraId="7A79B12C" w14:textId="77777777" w:rsidR="0026676C" w:rsidRDefault="004A315C">
            <w:pPr>
              <w:spacing w:before="200" w:line="276" w:lineRule="auto"/>
              <w:jc w:val="both"/>
              <w:rPr>
                <w:rFonts w:cs="Times New Roman"/>
                <w:b/>
                <w:szCs w:val="24"/>
              </w:rPr>
            </w:pPr>
            <w:r>
              <w:rPr>
                <w:rFonts w:cs="Times New Roman"/>
                <w:b/>
                <w:szCs w:val="24"/>
              </w:rPr>
              <w:t>20220879</w:t>
            </w:r>
          </w:p>
        </w:tc>
        <w:tc>
          <w:tcPr>
            <w:tcW w:w="2160" w:type="dxa"/>
          </w:tcPr>
          <w:p w14:paraId="298EEA95" w14:textId="77777777" w:rsidR="0026676C" w:rsidRDefault="0026676C">
            <w:pPr>
              <w:spacing w:before="200" w:line="360" w:lineRule="auto"/>
              <w:jc w:val="both"/>
              <w:rPr>
                <w:rFonts w:ascii="Calibri" w:hAnsi="Calibri" w:cs="Calibri"/>
                <w:b/>
                <w:sz w:val="22"/>
              </w:rPr>
            </w:pPr>
          </w:p>
        </w:tc>
      </w:tr>
      <w:tr w:rsidR="0026676C" w14:paraId="7D85DEDA" w14:textId="77777777">
        <w:trPr>
          <w:jc w:val="center"/>
        </w:trPr>
        <w:tc>
          <w:tcPr>
            <w:tcW w:w="4675" w:type="dxa"/>
          </w:tcPr>
          <w:p w14:paraId="68DB978F" w14:textId="77777777" w:rsidR="0026676C" w:rsidRDefault="004A315C">
            <w:pPr>
              <w:spacing w:before="200" w:line="276" w:lineRule="auto"/>
              <w:jc w:val="both"/>
              <w:rPr>
                <w:rFonts w:cs="Times New Roman"/>
                <w:b/>
                <w:szCs w:val="24"/>
              </w:rPr>
            </w:pPr>
            <w:r>
              <w:rPr>
                <w:rFonts w:cs="Times New Roman"/>
                <w:b/>
                <w:szCs w:val="24"/>
              </w:rPr>
              <w:t>MURITHI JUNERITAH</w:t>
            </w:r>
          </w:p>
        </w:tc>
        <w:tc>
          <w:tcPr>
            <w:tcW w:w="2160" w:type="dxa"/>
          </w:tcPr>
          <w:p w14:paraId="4B522E2D" w14:textId="77777777" w:rsidR="0026676C" w:rsidRDefault="004A315C">
            <w:pPr>
              <w:spacing w:before="200" w:line="276" w:lineRule="auto"/>
              <w:jc w:val="both"/>
              <w:rPr>
                <w:rFonts w:cs="Times New Roman"/>
                <w:b/>
                <w:szCs w:val="24"/>
              </w:rPr>
            </w:pPr>
            <w:r>
              <w:rPr>
                <w:rFonts w:cs="Times New Roman"/>
                <w:b/>
                <w:szCs w:val="24"/>
              </w:rPr>
              <w:t>20220887</w:t>
            </w:r>
          </w:p>
        </w:tc>
        <w:tc>
          <w:tcPr>
            <w:tcW w:w="2160" w:type="dxa"/>
          </w:tcPr>
          <w:p w14:paraId="2AC25D66" w14:textId="77777777" w:rsidR="0026676C" w:rsidRDefault="0026676C">
            <w:pPr>
              <w:spacing w:before="200" w:line="360" w:lineRule="auto"/>
              <w:jc w:val="both"/>
              <w:rPr>
                <w:rFonts w:ascii="Calibri" w:hAnsi="Calibri" w:cs="Calibri"/>
                <w:b/>
                <w:sz w:val="22"/>
              </w:rPr>
            </w:pPr>
          </w:p>
        </w:tc>
      </w:tr>
      <w:tr w:rsidR="0026676C" w14:paraId="6260A573" w14:textId="77777777">
        <w:trPr>
          <w:jc w:val="center"/>
        </w:trPr>
        <w:tc>
          <w:tcPr>
            <w:tcW w:w="4675" w:type="dxa"/>
          </w:tcPr>
          <w:p w14:paraId="13C3585E" w14:textId="77777777" w:rsidR="0026676C" w:rsidRDefault="004A315C">
            <w:pPr>
              <w:spacing w:before="200" w:line="276" w:lineRule="auto"/>
              <w:jc w:val="both"/>
              <w:rPr>
                <w:rFonts w:cs="Times New Roman"/>
                <w:b/>
                <w:szCs w:val="24"/>
              </w:rPr>
            </w:pPr>
            <w:r>
              <w:rPr>
                <w:rFonts w:cs="Times New Roman"/>
                <w:b/>
                <w:szCs w:val="24"/>
              </w:rPr>
              <w:t xml:space="preserve">MUTUGI DENIS </w:t>
            </w:r>
          </w:p>
        </w:tc>
        <w:tc>
          <w:tcPr>
            <w:tcW w:w="2160" w:type="dxa"/>
          </w:tcPr>
          <w:p w14:paraId="4821DBB3" w14:textId="77777777" w:rsidR="0026676C" w:rsidRDefault="004A315C">
            <w:pPr>
              <w:spacing w:before="200" w:line="276" w:lineRule="auto"/>
              <w:jc w:val="both"/>
              <w:rPr>
                <w:rFonts w:cs="Times New Roman"/>
                <w:b/>
                <w:szCs w:val="24"/>
              </w:rPr>
            </w:pPr>
            <w:r>
              <w:rPr>
                <w:rFonts w:cs="Times New Roman"/>
                <w:b/>
                <w:szCs w:val="24"/>
              </w:rPr>
              <w:t>20220181</w:t>
            </w:r>
          </w:p>
        </w:tc>
        <w:tc>
          <w:tcPr>
            <w:tcW w:w="2160" w:type="dxa"/>
          </w:tcPr>
          <w:p w14:paraId="55F63BCA" w14:textId="77777777" w:rsidR="0026676C" w:rsidRDefault="0026676C">
            <w:pPr>
              <w:spacing w:before="200" w:line="360" w:lineRule="auto"/>
              <w:jc w:val="both"/>
              <w:rPr>
                <w:rFonts w:ascii="Calibri" w:hAnsi="Calibri" w:cs="Calibri"/>
                <w:b/>
                <w:sz w:val="22"/>
              </w:rPr>
            </w:pPr>
          </w:p>
        </w:tc>
      </w:tr>
      <w:tr w:rsidR="0026676C" w14:paraId="0CC626A0" w14:textId="77777777">
        <w:trPr>
          <w:jc w:val="center"/>
        </w:trPr>
        <w:tc>
          <w:tcPr>
            <w:tcW w:w="4675" w:type="dxa"/>
          </w:tcPr>
          <w:p w14:paraId="30B80A4A" w14:textId="77777777" w:rsidR="0026676C" w:rsidRDefault="004A315C">
            <w:pPr>
              <w:spacing w:before="200" w:line="276" w:lineRule="auto"/>
              <w:jc w:val="both"/>
              <w:rPr>
                <w:rFonts w:cs="Times New Roman"/>
                <w:b/>
                <w:szCs w:val="24"/>
              </w:rPr>
            </w:pPr>
            <w:r>
              <w:rPr>
                <w:rFonts w:cs="Times New Roman"/>
                <w:b/>
                <w:szCs w:val="24"/>
              </w:rPr>
              <w:t>ROSE GEORGINA AWINO ONYANGO</w:t>
            </w:r>
          </w:p>
        </w:tc>
        <w:tc>
          <w:tcPr>
            <w:tcW w:w="2160" w:type="dxa"/>
          </w:tcPr>
          <w:p w14:paraId="1F6F86BC" w14:textId="77777777" w:rsidR="0026676C" w:rsidRDefault="004A315C">
            <w:pPr>
              <w:spacing w:before="200" w:line="276" w:lineRule="auto"/>
              <w:jc w:val="both"/>
              <w:rPr>
                <w:rFonts w:cs="Times New Roman"/>
                <w:b/>
                <w:szCs w:val="24"/>
              </w:rPr>
            </w:pPr>
            <w:r>
              <w:rPr>
                <w:rFonts w:cs="Times New Roman"/>
                <w:b/>
                <w:szCs w:val="24"/>
              </w:rPr>
              <w:t>20220588</w:t>
            </w:r>
          </w:p>
        </w:tc>
        <w:tc>
          <w:tcPr>
            <w:tcW w:w="2160" w:type="dxa"/>
          </w:tcPr>
          <w:p w14:paraId="1490A993" w14:textId="77777777" w:rsidR="0026676C" w:rsidRDefault="0026676C">
            <w:pPr>
              <w:spacing w:before="200" w:line="360" w:lineRule="auto"/>
              <w:jc w:val="both"/>
              <w:rPr>
                <w:rFonts w:ascii="Calibri" w:hAnsi="Calibri" w:cs="Calibri"/>
                <w:b/>
                <w:sz w:val="22"/>
              </w:rPr>
            </w:pPr>
          </w:p>
        </w:tc>
      </w:tr>
      <w:tr w:rsidR="0026676C" w14:paraId="1E13939A" w14:textId="77777777">
        <w:trPr>
          <w:jc w:val="center"/>
        </w:trPr>
        <w:tc>
          <w:tcPr>
            <w:tcW w:w="4675" w:type="dxa"/>
          </w:tcPr>
          <w:p w14:paraId="28C480C6" w14:textId="77777777" w:rsidR="0026676C" w:rsidRDefault="004A315C">
            <w:pPr>
              <w:spacing w:before="200" w:line="276" w:lineRule="auto"/>
              <w:jc w:val="both"/>
              <w:rPr>
                <w:rFonts w:cs="Times New Roman"/>
                <w:b/>
                <w:szCs w:val="24"/>
              </w:rPr>
            </w:pPr>
            <w:r>
              <w:rPr>
                <w:rFonts w:cs="Times New Roman"/>
                <w:b/>
                <w:szCs w:val="24"/>
              </w:rPr>
              <w:t xml:space="preserve">SAM GARE </w:t>
            </w:r>
          </w:p>
        </w:tc>
        <w:tc>
          <w:tcPr>
            <w:tcW w:w="2160" w:type="dxa"/>
          </w:tcPr>
          <w:p w14:paraId="158CEBB2" w14:textId="77777777" w:rsidR="0026676C" w:rsidRDefault="004A315C">
            <w:pPr>
              <w:spacing w:before="200" w:line="276" w:lineRule="auto"/>
              <w:jc w:val="both"/>
              <w:rPr>
                <w:rFonts w:cs="Times New Roman"/>
                <w:b/>
                <w:szCs w:val="24"/>
              </w:rPr>
            </w:pPr>
            <w:r>
              <w:rPr>
                <w:rFonts w:cs="Times New Roman"/>
                <w:b/>
                <w:szCs w:val="24"/>
              </w:rPr>
              <w:t>20220038</w:t>
            </w:r>
          </w:p>
        </w:tc>
        <w:tc>
          <w:tcPr>
            <w:tcW w:w="2160" w:type="dxa"/>
          </w:tcPr>
          <w:p w14:paraId="5A3AD53E" w14:textId="77777777" w:rsidR="0026676C" w:rsidRDefault="0026676C">
            <w:pPr>
              <w:spacing w:before="200" w:line="360" w:lineRule="auto"/>
              <w:jc w:val="both"/>
              <w:rPr>
                <w:rFonts w:ascii="Calibri" w:hAnsi="Calibri" w:cs="Calibri"/>
                <w:b/>
                <w:sz w:val="22"/>
              </w:rPr>
            </w:pPr>
          </w:p>
        </w:tc>
      </w:tr>
      <w:tr w:rsidR="0026676C" w14:paraId="066F529B" w14:textId="77777777">
        <w:trPr>
          <w:trHeight w:val="65"/>
          <w:jc w:val="center"/>
        </w:trPr>
        <w:tc>
          <w:tcPr>
            <w:tcW w:w="4675" w:type="dxa"/>
          </w:tcPr>
          <w:p w14:paraId="701239E2" w14:textId="77777777" w:rsidR="0026676C" w:rsidRDefault="004A315C">
            <w:pPr>
              <w:spacing w:before="200" w:line="276" w:lineRule="auto"/>
              <w:jc w:val="both"/>
              <w:rPr>
                <w:rFonts w:cs="Times New Roman"/>
                <w:b/>
                <w:szCs w:val="24"/>
              </w:rPr>
            </w:pPr>
            <w:r>
              <w:rPr>
                <w:rFonts w:cs="Times New Roman"/>
                <w:b/>
                <w:szCs w:val="24"/>
              </w:rPr>
              <w:t>SILVIA NDWIGA</w:t>
            </w:r>
          </w:p>
        </w:tc>
        <w:tc>
          <w:tcPr>
            <w:tcW w:w="2160" w:type="dxa"/>
          </w:tcPr>
          <w:p w14:paraId="06438320" w14:textId="77777777" w:rsidR="0026676C" w:rsidRDefault="004A315C">
            <w:pPr>
              <w:spacing w:before="200" w:line="276" w:lineRule="auto"/>
              <w:jc w:val="both"/>
              <w:rPr>
                <w:rFonts w:cs="Times New Roman"/>
                <w:b/>
                <w:szCs w:val="24"/>
              </w:rPr>
            </w:pPr>
            <w:r>
              <w:rPr>
                <w:rFonts w:cs="Times New Roman"/>
                <w:b/>
                <w:szCs w:val="24"/>
              </w:rPr>
              <w:t>20220569</w:t>
            </w:r>
          </w:p>
        </w:tc>
        <w:tc>
          <w:tcPr>
            <w:tcW w:w="2160" w:type="dxa"/>
          </w:tcPr>
          <w:p w14:paraId="670A0504" w14:textId="77777777" w:rsidR="0026676C" w:rsidRDefault="0026676C">
            <w:pPr>
              <w:spacing w:before="200" w:line="360" w:lineRule="auto"/>
              <w:jc w:val="both"/>
              <w:rPr>
                <w:rFonts w:ascii="Calibri" w:hAnsi="Calibri" w:cs="Calibri"/>
                <w:b/>
                <w:sz w:val="22"/>
              </w:rPr>
            </w:pPr>
          </w:p>
        </w:tc>
      </w:tr>
    </w:tbl>
    <w:p w14:paraId="77C0CA37" w14:textId="77777777" w:rsidR="0026676C" w:rsidRDefault="0026676C">
      <w:pPr>
        <w:spacing w:before="200" w:after="160" w:line="360" w:lineRule="auto"/>
        <w:jc w:val="both"/>
        <w:rPr>
          <w:rFonts w:eastAsia="Times New Roman" w:cs="Times New Roman"/>
          <w:b/>
          <w:szCs w:val="24"/>
          <w:highlight w:val="white"/>
        </w:rPr>
      </w:pPr>
    </w:p>
    <w:p w14:paraId="3A1A8BE1" w14:textId="77777777" w:rsidR="0026676C" w:rsidRDefault="004A315C">
      <w:pPr>
        <w:spacing w:before="200" w:after="160" w:line="360" w:lineRule="auto"/>
        <w:jc w:val="both"/>
        <w:rPr>
          <w:rFonts w:eastAsia="Times New Roman" w:cs="Times New Roman"/>
          <w:b/>
          <w:szCs w:val="24"/>
        </w:rPr>
      </w:pPr>
      <w:r>
        <w:rPr>
          <w:rFonts w:eastAsia="Times New Roman" w:cs="Times New Roman"/>
          <w:b/>
          <w:szCs w:val="24"/>
          <w:highlight w:val="white"/>
        </w:rPr>
        <w:t>QUESTION</w:t>
      </w:r>
    </w:p>
    <w:p w14:paraId="2774FFCC" w14:textId="77777777" w:rsidR="0026676C" w:rsidRDefault="004A315C">
      <w:pPr>
        <w:spacing w:before="200" w:after="160" w:line="360" w:lineRule="auto"/>
        <w:jc w:val="both"/>
        <w:rPr>
          <w:rFonts w:eastAsia="Times New Roman" w:cs="Times New Roman"/>
          <w:b/>
          <w:i/>
          <w:szCs w:val="24"/>
        </w:rPr>
      </w:pPr>
      <w:r>
        <w:rPr>
          <w:rFonts w:eastAsia="Times New Roman" w:cs="Times New Roman"/>
          <w:b/>
          <w:i/>
          <w:szCs w:val="24"/>
        </w:rPr>
        <w:t>Kelline comes to you and asks you about what to expect at the confirmation hearing and ruling on the same.</w:t>
      </w:r>
    </w:p>
    <w:p w14:paraId="4E85EC68" w14:textId="77777777" w:rsidR="00DE54ED" w:rsidRDefault="00DE54ED">
      <w:pPr>
        <w:spacing w:before="200" w:after="160" w:line="360" w:lineRule="auto"/>
        <w:jc w:val="both"/>
        <w:rPr>
          <w:rFonts w:eastAsia="Times New Roman" w:cs="Times New Roman"/>
          <w:b/>
          <w:i/>
          <w:szCs w:val="24"/>
        </w:rPr>
      </w:pPr>
    </w:p>
    <w:p w14:paraId="02CB2D93" w14:textId="77777777" w:rsidR="00DE54ED" w:rsidRDefault="00DE54ED">
      <w:pPr>
        <w:spacing w:before="200" w:after="160" w:line="360" w:lineRule="auto"/>
        <w:jc w:val="both"/>
        <w:rPr>
          <w:rFonts w:eastAsia="Times New Roman" w:cs="Times New Roman"/>
          <w:b/>
          <w:i/>
          <w:szCs w:val="24"/>
        </w:rPr>
      </w:pPr>
    </w:p>
    <w:p w14:paraId="47A00112" w14:textId="77777777" w:rsidR="00DE54ED" w:rsidRDefault="00DE54ED">
      <w:pPr>
        <w:spacing w:before="200" w:after="160" w:line="360" w:lineRule="auto"/>
        <w:jc w:val="both"/>
        <w:rPr>
          <w:rFonts w:eastAsia="Times New Roman" w:cs="Times New Roman"/>
          <w:b/>
          <w:i/>
          <w:szCs w:val="24"/>
        </w:rPr>
      </w:pPr>
    </w:p>
    <w:p w14:paraId="6055F0DF" w14:textId="77777777" w:rsidR="00DE54ED" w:rsidRDefault="00DE54ED">
      <w:pPr>
        <w:spacing w:before="200" w:after="160" w:line="360" w:lineRule="auto"/>
        <w:jc w:val="both"/>
        <w:rPr>
          <w:rFonts w:eastAsia="Times New Roman" w:cs="Times New Roman"/>
          <w:b/>
          <w:i/>
          <w:szCs w:val="24"/>
        </w:rPr>
      </w:pPr>
    </w:p>
    <w:p w14:paraId="5C0689FB" w14:textId="77777777" w:rsidR="00DE54ED" w:rsidRDefault="00DE54ED">
      <w:pPr>
        <w:spacing w:before="200" w:after="160" w:line="360" w:lineRule="auto"/>
        <w:jc w:val="both"/>
        <w:rPr>
          <w:rFonts w:eastAsia="Times New Roman" w:cs="Times New Roman"/>
          <w:b/>
          <w:i/>
          <w:szCs w:val="24"/>
        </w:rPr>
      </w:pPr>
    </w:p>
    <w:p w14:paraId="01E83C67" w14:textId="77777777" w:rsidR="00DE54ED" w:rsidRDefault="00DE54ED">
      <w:pPr>
        <w:spacing w:before="200" w:after="160" w:line="360" w:lineRule="auto"/>
        <w:jc w:val="both"/>
        <w:rPr>
          <w:rFonts w:eastAsia="Times New Roman" w:cs="Times New Roman"/>
          <w:b/>
          <w:i/>
          <w:szCs w:val="24"/>
        </w:rPr>
      </w:pPr>
    </w:p>
    <w:p w14:paraId="4561E334" w14:textId="77777777" w:rsidR="00DE54ED" w:rsidRDefault="00DE54ED">
      <w:pPr>
        <w:spacing w:before="200" w:after="160" w:line="360" w:lineRule="auto"/>
        <w:jc w:val="both"/>
        <w:rPr>
          <w:rFonts w:eastAsia="Times New Roman" w:cs="Times New Roman"/>
          <w:b/>
          <w:i/>
          <w:szCs w:val="24"/>
        </w:rPr>
      </w:pPr>
    </w:p>
    <w:p w14:paraId="57562D0A" w14:textId="77777777" w:rsidR="00DE54ED" w:rsidRDefault="00DE54ED">
      <w:pPr>
        <w:spacing w:before="200" w:after="160" w:line="360" w:lineRule="auto"/>
        <w:jc w:val="both"/>
        <w:rPr>
          <w:rFonts w:eastAsia="Times New Roman" w:cs="Times New Roman"/>
          <w:b/>
          <w:i/>
          <w:szCs w:val="24"/>
        </w:rPr>
      </w:pPr>
    </w:p>
    <w:p w14:paraId="200ABFBD" w14:textId="77777777" w:rsidR="00DE54ED" w:rsidRDefault="00DE54ED">
      <w:pPr>
        <w:spacing w:before="200" w:after="160" w:line="360" w:lineRule="auto"/>
        <w:jc w:val="both"/>
        <w:rPr>
          <w:rFonts w:eastAsia="Times New Roman" w:cs="Times New Roman"/>
          <w:b/>
          <w:i/>
          <w:szCs w:val="24"/>
        </w:rPr>
      </w:pPr>
    </w:p>
    <w:p w14:paraId="576A66BD" w14:textId="77777777" w:rsidR="00DE54ED" w:rsidRDefault="00DE54ED">
      <w:pPr>
        <w:spacing w:before="200" w:after="160" w:line="360" w:lineRule="auto"/>
        <w:jc w:val="both"/>
        <w:rPr>
          <w:rFonts w:eastAsia="Times New Roman" w:cs="Times New Roman"/>
          <w:b/>
          <w:i/>
          <w:szCs w:val="24"/>
        </w:rPr>
      </w:pPr>
    </w:p>
    <w:p w14:paraId="27F43987" w14:textId="77777777" w:rsidR="00DE54ED" w:rsidRDefault="00DE54ED">
      <w:pPr>
        <w:spacing w:before="200" w:after="160" w:line="360" w:lineRule="auto"/>
        <w:jc w:val="both"/>
        <w:rPr>
          <w:rFonts w:eastAsia="Times New Roman" w:cs="Times New Roman"/>
          <w:b/>
          <w:i/>
          <w:szCs w:val="24"/>
        </w:rPr>
      </w:pPr>
    </w:p>
    <w:p w14:paraId="5F4FB3DA" w14:textId="77777777" w:rsidR="00DE54ED" w:rsidRDefault="00DE54ED">
      <w:pPr>
        <w:spacing w:before="200" w:after="160" w:line="360" w:lineRule="auto"/>
        <w:jc w:val="both"/>
        <w:rPr>
          <w:rFonts w:eastAsia="Times New Roman" w:cs="Times New Roman"/>
          <w:b/>
          <w:i/>
          <w:szCs w:val="24"/>
        </w:rPr>
      </w:pPr>
    </w:p>
    <w:p w14:paraId="0FB39ACC" w14:textId="77777777" w:rsidR="00DE54ED" w:rsidRDefault="00DE54ED">
      <w:pPr>
        <w:spacing w:before="200" w:after="160" w:line="360" w:lineRule="auto"/>
        <w:jc w:val="both"/>
        <w:rPr>
          <w:rFonts w:eastAsia="Times New Roman" w:cs="Times New Roman"/>
          <w:b/>
          <w:i/>
          <w:szCs w:val="24"/>
        </w:rPr>
      </w:pPr>
    </w:p>
    <w:p w14:paraId="78464D76" w14:textId="77777777" w:rsidR="00DE54ED" w:rsidRDefault="00DE54ED">
      <w:pPr>
        <w:spacing w:before="200" w:after="160" w:line="360" w:lineRule="auto"/>
        <w:jc w:val="both"/>
        <w:rPr>
          <w:rFonts w:eastAsia="Times New Roman" w:cs="Times New Roman"/>
          <w:b/>
          <w:i/>
          <w:szCs w:val="24"/>
        </w:rPr>
      </w:pPr>
    </w:p>
    <w:p w14:paraId="3C16A167" w14:textId="77777777" w:rsidR="00DE54ED" w:rsidRDefault="00DE54ED">
      <w:pPr>
        <w:spacing w:before="200" w:after="160" w:line="360" w:lineRule="auto"/>
        <w:jc w:val="both"/>
        <w:rPr>
          <w:rFonts w:eastAsia="Times New Roman" w:cs="Times New Roman"/>
          <w:b/>
          <w:i/>
          <w:szCs w:val="24"/>
        </w:rPr>
      </w:pPr>
    </w:p>
    <w:p w14:paraId="4B3AB7DF" w14:textId="77777777" w:rsidR="00DE54ED" w:rsidRDefault="00DE54ED">
      <w:pPr>
        <w:spacing w:before="200" w:after="160" w:line="360" w:lineRule="auto"/>
        <w:jc w:val="both"/>
        <w:rPr>
          <w:rFonts w:eastAsia="Times New Roman" w:cs="Times New Roman"/>
          <w:b/>
          <w:i/>
          <w:szCs w:val="24"/>
        </w:rPr>
      </w:pPr>
    </w:p>
    <w:p w14:paraId="26ACBC7B" w14:textId="77777777" w:rsidR="00DE54ED" w:rsidRDefault="00DE54ED">
      <w:pPr>
        <w:spacing w:before="200" w:after="160" w:line="360" w:lineRule="auto"/>
        <w:jc w:val="both"/>
        <w:rPr>
          <w:rFonts w:eastAsia="Times New Roman" w:cs="Times New Roman"/>
          <w:b/>
          <w:i/>
          <w:szCs w:val="24"/>
        </w:rPr>
      </w:pPr>
    </w:p>
    <w:p w14:paraId="4BC785B0" w14:textId="77777777" w:rsidR="00DE54ED" w:rsidRDefault="00DE54ED">
      <w:pPr>
        <w:spacing w:before="200" w:after="160" w:line="360" w:lineRule="auto"/>
        <w:jc w:val="both"/>
        <w:rPr>
          <w:rFonts w:eastAsia="Times New Roman" w:cs="Times New Roman"/>
          <w:b/>
          <w:i/>
          <w:szCs w:val="24"/>
        </w:rPr>
      </w:pPr>
    </w:p>
    <w:sdt>
      <w:sdtPr>
        <w:rPr>
          <w:rFonts w:ascii="Times New Roman" w:eastAsia="Calibri" w:hAnsi="Times New Roman" w:cs="Times New Roman"/>
          <w:color w:val="auto"/>
          <w:sz w:val="24"/>
          <w:szCs w:val="24"/>
        </w:rPr>
        <w:id w:val="416914505"/>
        <w:docPartObj>
          <w:docPartGallery w:val="Table of Contents"/>
          <w:docPartUnique/>
        </w:docPartObj>
      </w:sdtPr>
      <w:sdtEndPr>
        <w:rPr>
          <w:rFonts w:cs="SimSun"/>
          <w:b/>
          <w:bCs/>
          <w:noProof/>
          <w:szCs w:val="22"/>
        </w:rPr>
      </w:sdtEndPr>
      <w:sdtContent>
        <w:p w14:paraId="406083F5" w14:textId="77777777" w:rsidR="00DE54ED" w:rsidRPr="00DE54ED" w:rsidRDefault="00DE54ED" w:rsidP="00DE54ED">
          <w:pPr>
            <w:pStyle w:val="TOCHeading"/>
            <w:spacing w:line="360" w:lineRule="auto"/>
            <w:rPr>
              <w:rFonts w:ascii="Times New Roman" w:hAnsi="Times New Roman" w:cs="Times New Roman"/>
              <w:sz w:val="24"/>
              <w:szCs w:val="24"/>
            </w:rPr>
          </w:pPr>
          <w:r w:rsidRPr="00DE54ED">
            <w:rPr>
              <w:rFonts w:ascii="Times New Roman" w:hAnsi="Times New Roman" w:cs="Times New Roman"/>
              <w:sz w:val="24"/>
              <w:szCs w:val="24"/>
            </w:rPr>
            <w:t>Table of Contents</w:t>
          </w:r>
        </w:p>
        <w:p w14:paraId="51B331BC" w14:textId="77777777" w:rsidR="00DE54ED" w:rsidRPr="00DE54ED" w:rsidRDefault="00DE54ED" w:rsidP="00DE54ED">
          <w:pPr>
            <w:pStyle w:val="TOC1"/>
            <w:tabs>
              <w:tab w:val="right" w:leader="dot" w:pos="9350"/>
            </w:tabs>
            <w:spacing w:line="360" w:lineRule="auto"/>
            <w:rPr>
              <w:rFonts w:eastAsiaTheme="minorEastAsia" w:cs="Times New Roman"/>
              <w:noProof/>
              <w:szCs w:val="24"/>
            </w:rPr>
          </w:pPr>
          <w:r w:rsidRPr="00DE54ED">
            <w:rPr>
              <w:rFonts w:cs="Times New Roman"/>
              <w:szCs w:val="24"/>
            </w:rPr>
            <w:fldChar w:fldCharType="begin"/>
          </w:r>
          <w:r w:rsidRPr="00DE54ED">
            <w:rPr>
              <w:rFonts w:cs="Times New Roman"/>
              <w:szCs w:val="24"/>
            </w:rPr>
            <w:instrText xml:space="preserve"> TOC \o "1-3" \h \z \u </w:instrText>
          </w:r>
          <w:r w:rsidRPr="00DE54ED">
            <w:rPr>
              <w:rFonts w:cs="Times New Roman"/>
              <w:szCs w:val="24"/>
            </w:rPr>
            <w:fldChar w:fldCharType="separate"/>
          </w:r>
          <w:hyperlink w:anchor="_Toc115977731" w:history="1">
            <w:r w:rsidRPr="00DE54ED">
              <w:rPr>
                <w:rStyle w:val="Hyperlink"/>
                <w:rFonts w:cs="Times New Roman"/>
                <w:noProof/>
                <w:szCs w:val="24"/>
              </w:rPr>
              <w:t>BACKGROUND</w:t>
            </w:r>
            <w:r w:rsidRPr="00DE54ED">
              <w:rPr>
                <w:rFonts w:cs="Times New Roman"/>
                <w:noProof/>
                <w:webHidden/>
                <w:szCs w:val="24"/>
              </w:rPr>
              <w:tab/>
            </w:r>
            <w:r w:rsidRPr="00DE54ED">
              <w:rPr>
                <w:rFonts w:cs="Times New Roman"/>
                <w:noProof/>
                <w:webHidden/>
                <w:szCs w:val="24"/>
              </w:rPr>
              <w:fldChar w:fldCharType="begin"/>
            </w:r>
            <w:r w:rsidRPr="00DE54ED">
              <w:rPr>
                <w:rFonts w:cs="Times New Roman"/>
                <w:noProof/>
                <w:webHidden/>
                <w:szCs w:val="24"/>
              </w:rPr>
              <w:instrText xml:space="preserve"> PAGEREF _Toc115977731 \h </w:instrText>
            </w:r>
            <w:r w:rsidRPr="00DE54ED">
              <w:rPr>
                <w:rFonts w:cs="Times New Roman"/>
                <w:noProof/>
                <w:webHidden/>
                <w:szCs w:val="24"/>
              </w:rPr>
            </w:r>
            <w:r w:rsidRPr="00DE54ED">
              <w:rPr>
                <w:rFonts w:cs="Times New Roman"/>
                <w:noProof/>
                <w:webHidden/>
                <w:szCs w:val="24"/>
              </w:rPr>
              <w:fldChar w:fldCharType="separate"/>
            </w:r>
            <w:r w:rsidRPr="00DE54ED">
              <w:rPr>
                <w:rFonts w:cs="Times New Roman"/>
                <w:noProof/>
                <w:webHidden/>
                <w:szCs w:val="24"/>
              </w:rPr>
              <w:t>4</w:t>
            </w:r>
            <w:r w:rsidRPr="00DE54ED">
              <w:rPr>
                <w:rFonts w:cs="Times New Roman"/>
                <w:noProof/>
                <w:webHidden/>
                <w:szCs w:val="24"/>
              </w:rPr>
              <w:fldChar w:fldCharType="end"/>
            </w:r>
          </w:hyperlink>
        </w:p>
        <w:p w14:paraId="6287CA11" w14:textId="77777777" w:rsidR="00DE54ED" w:rsidRPr="00DE54ED" w:rsidRDefault="00C3269C" w:rsidP="00DE54ED">
          <w:pPr>
            <w:pStyle w:val="TOC1"/>
            <w:tabs>
              <w:tab w:val="right" w:leader="dot" w:pos="9350"/>
            </w:tabs>
            <w:spacing w:line="360" w:lineRule="auto"/>
            <w:rPr>
              <w:rFonts w:eastAsiaTheme="minorEastAsia" w:cs="Times New Roman"/>
              <w:noProof/>
              <w:szCs w:val="24"/>
            </w:rPr>
          </w:pPr>
          <w:hyperlink w:anchor="_Toc115977732" w:history="1">
            <w:r w:rsidR="00DE54ED" w:rsidRPr="00DE54ED">
              <w:rPr>
                <w:rStyle w:val="Hyperlink"/>
                <w:rFonts w:cs="Times New Roman"/>
                <w:noProof/>
                <w:szCs w:val="24"/>
              </w:rPr>
              <w:t>ISSUES ARISING</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_Toc115977732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5</w:t>
            </w:r>
            <w:r w:rsidR="00DE54ED" w:rsidRPr="00DE54ED">
              <w:rPr>
                <w:rFonts w:cs="Times New Roman"/>
                <w:noProof/>
                <w:webHidden/>
                <w:szCs w:val="24"/>
              </w:rPr>
              <w:fldChar w:fldCharType="end"/>
            </w:r>
          </w:hyperlink>
        </w:p>
        <w:p w14:paraId="0E5FE70A" w14:textId="77777777" w:rsidR="00DE54ED" w:rsidRPr="00DE54ED" w:rsidRDefault="00C3269C" w:rsidP="00DE54ED">
          <w:pPr>
            <w:pStyle w:val="TOC2"/>
            <w:tabs>
              <w:tab w:val="left" w:pos="880"/>
              <w:tab w:val="right" w:leader="dot" w:pos="9350"/>
            </w:tabs>
            <w:spacing w:line="360" w:lineRule="auto"/>
            <w:rPr>
              <w:rFonts w:eastAsiaTheme="minorEastAsia" w:cs="Times New Roman"/>
              <w:noProof/>
              <w:szCs w:val="24"/>
            </w:rPr>
          </w:pPr>
          <w:hyperlink w:anchor="_Toc115977733" w:history="1">
            <w:r w:rsidR="00DE54ED" w:rsidRPr="00DE54ED">
              <w:rPr>
                <w:rStyle w:val="Hyperlink"/>
                <w:rFonts w:cs="Times New Roman"/>
                <w:noProof/>
                <w:szCs w:val="24"/>
              </w:rPr>
              <w:t>1)</w:t>
            </w:r>
            <w:r w:rsidR="00DE54ED" w:rsidRPr="00DE54ED">
              <w:rPr>
                <w:rFonts w:eastAsiaTheme="minorEastAsia" w:cs="Times New Roman"/>
                <w:noProof/>
                <w:szCs w:val="24"/>
              </w:rPr>
              <w:tab/>
            </w:r>
            <w:r w:rsidR="00DE54ED" w:rsidRPr="00DE54ED">
              <w:rPr>
                <w:rStyle w:val="Hyperlink"/>
                <w:rFonts w:cs="Times New Roman"/>
                <w:noProof/>
                <w:szCs w:val="24"/>
              </w:rPr>
              <w:t>WHAT ARE THE PRELIMINARIES BEFORE CONFIRMATION OF GRANT?</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_Toc115977733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5</w:t>
            </w:r>
            <w:r w:rsidR="00DE54ED" w:rsidRPr="00DE54ED">
              <w:rPr>
                <w:rFonts w:cs="Times New Roman"/>
                <w:noProof/>
                <w:webHidden/>
                <w:szCs w:val="24"/>
              </w:rPr>
              <w:fldChar w:fldCharType="end"/>
            </w:r>
          </w:hyperlink>
        </w:p>
        <w:p w14:paraId="102F1D96" w14:textId="77777777" w:rsidR="00DE54ED" w:rsidRPr="00DE54ED" w:rsidRDefault="00C3269C" w:rsidP="00DE54ED">
          <w:pPr>
            <w:pStyle w:val="TOC3"/>
            <w:tabs>
              <w:tab w:val="left" w:pos="1100"/>
              <w:tab w:val="right" w:leader="dot" w:pos="9350"/>
            </w:tabs>
            <w:spacing w:line="360" w:lineRule="auto"/>
            <w:rPr>
              <w:rFonts w:eastAsiaTheme="minorEastAsia" w:cs="Times New Roman"/>
              <w:noProof/>
              <w:szCs w:val="24"/>
            </w:rPr>
          </w:pPr>
          <w:hyperlink w:anchor="_Toc115977734" w:history="1">
            <w:r w:rsidR="00DE54ED" w:rsidRPr="00DE54ED">
              <w:rPr>
                <w:rStyle w:val="Hyperlink"/>
                <w:rFonts w:eastAsia="Times New Roman" w:cs="Times New Roman"/>
                <w:noProof/>
                <w:szCs w:val="24"/>
              </w:rPr>
              <w:t>i).</w:t>
            </w:r>
            <w:r w:rsidR="00DE54ED" w:rsidRPr="00DE54ED">
              <w:rPr>
                <w:rFonts w:eastAsiaTheme="minorEastAsia" w:cs="Times New Roman"/>
                <w:noProof/>
                <w:szCs w:val="24"/>
              </w:rPr>
              <w:tab/>
            </w:r>
            <w:r w:rsidR="00DE54ED" w:rsidRPr="00DE54ED">
              <w:rPr>
                <w:rStyle w:val="Hyperlink"/>
                <w:rFonts w:eastAsia="Times New Roman" w:cs="Times New Roman"/>
                <w:noProof/>
                <w:szCs w:val="24"/>
              </w:rPr>
              <w:t>The Power of Courts</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_Toc115977734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5</w:t>
            </w:r>
            <w:r w:rsidR="00DE54ED" w:rsidRPr="00DE54ED">
              <w:rPr>
                <w:rFonts w:cs="Times New Roman"/>
                <w:noProof/>
                <w:webHidden/>
                <w:szCs w:val="24"/>
              </w:rPr>
              <w:fldChar w:fldCharType="end"/>
            </w:r>
          </w:hyperlink>
        </w:p>
        <w:p w14:paraId="7A8ECABF" w14:textId="77777777" w:rsidR="00DE54ED" w:rsidRPr="00DE54ED" w:rsidRDefault="00C3269C" w:rsidP="00DE54ED">
          <w:pPr>
            <w:pStyle w:val="TOC3"/>
            <w:tabs>
              <w:tab w:val="left" w:pos="1100"/>
              <w:tab w:val="right" w:leader="dot" w:pos="9350"/>
            </w:tabs>
            <w:spacing w:line="360" w:lineRule="auto"/>
            <w:rPr>
              <w:rFonts w:eastAsiaTheme="minorEastAsia" w:cs="Times New Roman"/>
              <w:noProof/>
              <w:szCs w:val="24"/>
            </w:rPr>
          </w:pPr>
          <w:hyperlink w:anchor="_Toc115977735" w:history="1">
            <w:r w:rsidR="00DE54ED" w:rsidRPr="00DE54ED">
              <w:rPr>
                <w:rStyle w:val="Hyperlink"/>
                <w:rFonts w:eastAsia="Times New Roman" w:cs="Times New Roman"/>
                <w:noProof/>
                <w:szCs w:val="24"/>
              </w:rPr>
              <w:t>ii).</w:t>
            </w:r>
            <w:r w:rsidR="00DE54ED" w:rsidRPr="00DE54ED">
              <w:rPr>
                <w:rFonts w:eastAsiaTheme="minorEastAsia" w:cs="Times New Roman"/>
                <w:noProof/>
                <w:szCs w:val="24"/>
              </w:rPr>
              <w:tab/>
            </w:r>
            <w:r w:rsidR="00DE54ED" w:rsidRPr="00DE54ED">
              <w:rPr>
                <w:rStyle w:val="Hyperlink"/>
                <w:rFonts w:eastAsia="Times New Roman" w:cs="Times New Roman"/>
                <w:noProof/>
                <w:szCs w:val="24"/>
              </w:rPr>
              <w:t>Form of the Application for Confirmation of Grant</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_Toc115977735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6</w:t>
            </w:r>
            <w:r w:rsidR="00DE54ED" w:rsidRPr="00DE54ED">
              <w:rPr>
                <w:rFonts w:cs="Times New Roman"/>
                <w:noProof/>
                <w:webHidden/>
                <w:szCs w:val="24"/>
              </w:rPr>
              <w:fldChar w:fldCharType="end"/>
            </w:r>
          </w:hyperlink>
        </w:p>
        <w:p w14:paraId="5304F79F" w14:textId="77777777" w:rsidR="00DE54ED" w:rsidRPr="00DE54ED" w:rsidRDefault="00C3269C" w:rsidP="00DE54ED">
          <w:pPr>
            <w:pStyle w:val="TOC3"/>
            <w:tabs>
              <w:tab w:val="left" w:pos="1100"/>
              <w:tab w:val="right" w:leader="dot" w:pos="9350"/>
            </w:tabs>
            <w:spacing w:line="360" w:lineRule="auto"/>
            <w:rPr>
              <w:rFonts w:eastAsiaTheme="minorEastAsia" w:cs="Times New Roman"/>
              <w:noProof/>
              <w:szCs w:val="24"/>
            </w:rPr>
          </w:pPr>
          <w:hyperlink w:anchor="_Toc115977736" w:history="1">
            <w:r w:rsidR="00DE54ED" w:rsidRPr="00DE54ED">
              <w:rPr>
                <w:rStyle w:val="Hyperlink"/>
                <w:rFonts w:eastAsia="Times New Roman" w:cs="Times New Roman"/>
                <w:noProof/>
                <w:szCs w:val="24"/>
              </w:rPr>
              <w:t>iii).</w:t>
            </w:r>
            <w:r w:rsidR="00DE54ED" w:rsidRPr="00DE54ED">
              <w:rPr>
                <w:rFonts w:eastAsiaTheme="minorEastAsia" w:cs="Times New Roman"/>
                <w:noProof/>
                <w:szCs w:val="24"/>
              </w:rPr>
              <w:tab/>
            </w:r>
            <w:r w:rsidR="00DE54ED" w:rsidRPr="00DE54ED">
              <w:rPr>
                <w:rStyle w:val="Hyperlink"/>
                <w:rFonts w:eastAsia="Times New Roman" w:cs="Times New Roman"/>
                <w:noProof/>
                <w:szCs w:val="24"/>
              </w:rPr>
              <w:t>Notices, Objections and Consent</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_Toc115977736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7</w:t>
            </w:r>
            <w:r w:rsidR="00DE54ED" w:rsidRPr="00DE54ED">
              <w:rPr>
                <w:rFonts w:cs="Times New Roman"/>
                <w:noProof/>
                <w:webHidden/>
                <w:szCs w:val="24"/>
              </w:rPr>
              <w:fldChar w:fldCharType="end"/>
            </w:r>
          </w:hyperlink>
        </w:p>
        <w:p w14:paraId="009C80E2" w14:textId="77777777" w:rsidR="00DE54ED" w:rsidRPr="00DE54ED" w:rsidRDefault="00C3269C" w:rsidP="00DE54ED">
          <w:pPr>
            <w:pStyle w:val="TOC2"/>
            <w:tabs>
              <w:tab w:val="left" w:pos="880"/>
              <w:tab w:val="right" w:leader="dot" w:pos="9350"/>
            </w:tabs>
            <w:spacing w:line="360" w:lineRule="auto"/>
            <w:rPr>
              <w:rFonts w:eastAsiaTheme="minorEastAsia" w:cs="Times New Roman"/>
              <w:noProof/>
              <w:szCs w:val="24"/>
            </w:rPr>
          </w:pPr>
          <w:hyperlink w:anchor="_Toc115977737" w:history="1">
            <w:r w:rsidR="00DE54ED" w:rsidRPr="00DE54ED">
              <w:rPr>
                <w:rStyle w:val="Hyperlink"/>
                <w:rFonts w:cs="Times New Roman"/>
                <w:noProof/>
                <w:szCs w:val="24"/>
              </w:rPr>
              <w:t>2)</w:t>
            </w:r>
            <w:r w:rsidR="00DE54ED" w:rsidRPr="00DE54ED">
              <w:rPr>
                <w:rFonts w:eastAsiaTheme="minorEastAsia" w:cs="Times New Roman"/>
                <w:noProof/>
                <w:szCs w:val="24"/>
              </w:rPr>
              <w:tab/>
            </w:r>
            <w:r w:rsidR="00DE54ED" w:rsidRPr="00DE54ED">
              <w:rPr>
                <w:rStyle w:val="Hyperlink"/>
                <w:rFonts w:cs="Times New Roman"/>
                <w:noProof/>
                <w:szCs w:val="24"/>
              </w:rPr>
              <w:t>WHAT HAPPENS DURING NON-CONTENTIOUS PROBATE HEARINGS?</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_Toc115977737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9</w:t>
            </w:r>
            <w:r w:rsidR="00DE54ED" w:rsidRPr="00DE54ED">
              <w:rPr>
                <w:rFonts w:cs="Times New Roman"/>
                <w:noProof/>
                <w:webHidden/>
                <w:szCs w:val="24"/>
              </w:rPr>
              <w:fldChar w:fldCharType="end"/>
            </w:r>
          </w:hyperlink>
        </w:p>
        <w:p w14:paraId="0F0903B8" w14:textId="77777777" w:rsidR="00DE54ED" w:rsidRPr="00DE54ED" w:rsidRDefault="00C3269C" w:rsidP="00DE54ED">
          <w:pPr>
            <w:pStyle w:val="TOC2"/>
            <w:tabs>
              <w:tab w:val="left" w:pos="880"/>
              <w:tab w:val="right" w:leader="dot" w:pos="9350"/>
            </w:tabs>
            <w:spacing w:line="360" w:lineRule="auto"/>
            <w:rPr>
              <w:rFonts w:eastAsiaTheme="minorEastAsia" w:cs="Times New Roman"/>
              <w:noProof/>
              <w:szCs w:val="24"/>
            </w:rPr>
          </w:pPr>
          <w:hyperlink w:anchor="_Toc115977738" w:history="1">
            <w:r w:rsidR="00DE54ED" w:rsidRPr="00DE54ED">
              <w:rPr>
                <w:rStyle w:val="Hyperlink"/>
                <w:rFonts w:cs="Times New Roman"/>
                <w:noProof/>
                <w:szCs w:val="24"/>
              </w:rPr>
              <w:t>3)</w:t>
            </w:r>
            <w:r w:rsidR="00DE54ED" w:rsidRPr="00DE54ED">
              <w:rPr>
                <w:rFonts w:eastAsiaTheme="minorEastAsia" w:cs="Times New Roman"/>
                <w:noProof/>
                <w:szCs w:val="24"/>
              </w:rPr>
              <w:tab/>
            </w:r>
            <w:r w:rsidR="00DE54ED" w:rsidRPr="00DE54ED">
              <w:rPr>
                <w:rStyle w:val="Hyperlink"/>
                <w:rFonts w:cs="Times New Roman"/>
                <w:noProof/>
                <w:szCs w:val="24"/>
              </w:rPr>
              <w:t>WHAT HAPPENS DURING CONTENTIOUS PROBATE HEARINGS?</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_Toc115977738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11</w:t>
            </w:r>
            <w:r w:rsidR="00DE54ED" w:rsidRPr="00DE54ED">
              <w:rPr>
                <w:rFonts w:cs="Times New Roman"/>
                <w:noProof/>
                <w:webHidden/>
                <w:szCs w:val="24"/>
              </w:rPr>
              <w:fldChar w:fldCharType="end"/>
            </w:r>
          </w:hyperlink>
        </w:p>
        <w:p w14:paraId="67E0645D" w14:textId="77777777" w:rsidR="00DE54ED" w:rsidRPr="00DE54ED" w:rsidRDefault="00C3269C" w:rsidP="00DE54ED">
          <w:pPr>
            <w:pStyle w:val="TOC2"/>
            <w:tabs>
              <w:tab w:val="left" w:pos="880"/>
              <w:tab w:val="right" w:leader="dot" w:pos="9350"/>
            </w:tabs>
            <w:spacing w:line="360" w:lineRule="auto"/>
            <w:rPr>
              <w:rFonts w:eastAsiaTheme="minorEastAsia" w:cs="Times New Roman"/>
              <w:noProof/>
              <w:szCs w:val="24"/>
            </w:rPr>
          </w:pPr>
          <w:hyperlink w:anchor="_Toc115977739" w:history="1">
            <w:r w:rsidR="00DE54ED" w:rsidRPr="00DE54ED">
              <w:rPr>
                <w:rStyle w:val="Hyperlink"/>
                <w:rFonts w:cs="Times New Roman"/>
                <w:noProof/>
                <w:szCs w:val="24"/>
              </w:rPr>
              <w:t>4)</w:t>
            </w:r>
            <w:r w:rsidR="00DE54ED" w:rsidRPr="00DE54ED">
              <w:rPr>
                <w:rFonts w:eastAsiaTheme="minorEastAsia" w:cs="Times New Roman"/>
                <w:noProof/>
                <w:szCs w:val="24"/>
              </w:rPr>
              <w:tab/>
            </w:r>
            <w:r w:rsidR="00DE54ED" w:rsidRPr="00DE54ED">
              <w:rPr>
                <w:rStyle w:val="Hyperlink"/>
                <w:rFonts w:cs="Times New Roman"/>
                <w:noProof/>
                <w:szCs w:val="24"/>
              </w:rPr>
              <w:t>WHAT RULING SHOULD KELLINE EXPECT?</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_Toc115977739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12</w:t>
            </w:r>
            <w:r w:rsidR="00DE54ED" w:rsidRPr="00DE54ED">
              <w:rPr>
                <w:rFonts w:cs="Times New Roman"/>
                <w:noProof/>
                <w:webHidden/>
                <w:szCs w:val="24"/>
              </w:rPr>
              <w:fldChar w:fldCharType="end"/>
            </w:r>
          </w:hyperlink>
        </w:p>
        <w:p w14:paraId="267723CF" w14:textId="77777777" w:rsidR="00DE54ED" w:rsidRPr="00DE54ED" w:rsidRDefault="00C3269C" w:rsidP="00DE54ED">
          <w:pPr>
            <w:pStyle w:val="TOC3"/>
            <w:tabs>
              <w:tab w:val="left" w:pos="1100"/>
              <w:tab w:val="right" w:leader="dot" w:pos="9350"/>
            </w:tabs>
            <w:spacing w:line="360" w:lineRule="auto"/>
            <w:rPr>
              <w:rFonts w:eastAsiaTheme="minorEastAsia" w:cs="Times New Roman"/>
              <w:noProof/>
              <w:szCs w:val="24"/>
            </w:rPr>
          </w:pPr>
          <w:hyperlink w:anchor="_Toc115977740" w:history="1">
            <w:r w:rsidR="00DE54ED" w:rsidRPr="00DE54ED">
              <w:rPr>
                <w:rStyle w:val="Hyperlink"/>
                <w:rFonts w:eastAsia="Times New Roman" w:cs="Times New Roman"/>
                <w:noProof/>
                <w:szCs w:val="24"/>
              </w:rPr>
              <w:t>i).</w:t>
            </w:r>
            <w:r w:rsidR="00DE54ED" w:rsidRPr="00DE54ED">
              <w:rPr>
                <w:rFonts w:eastAsiaTheme="minorEastAsia" w:cs="Times New Roman"/>
                <w:noProof/>
                <w:szCs w:val="24"/>
              </w:rPr>
              <w:tab/>
            </w:r>
            <w:r w:rsidR="00DE54ED" w:rsidRPr="00DE54ED">
              <w:rPr>
                <w:rStyle w:val="Hyperlink"/>
                <w:rFonts w:eastAsia="Times New Roman" w:cs="Times New Roman"/>
                <w:noProof/>
                <w:szCs w:val="24"/>
              </w:rPr>
              <w:t>Where the Grant is Confirmed</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_Toc115977740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13</w:t>
            </w:r>
            <w:r w:rsidR="00DE54ED" w:rsidRPr="00DE54ED">
              <w:rPr>
                <w:rFonts w:cs="Times New Roman"/>
                <w:noProof/>
                <w:webHidden/>
                <w:szCs w:val="24"/>
              </w:rPr>
              <w:fldChar w:fldCharType="end"/>
            </w:r>
          </w:hyperlink>
        </w:p>
        <w:p w14:paraId="43A57A17" w14:textId="77777777" w:rsidR="00DE54ED" w:rsidRPr="00DE54ED" w:rsidRDefault="00C3269C" w:rsidP="00DE54ED">
          <w:pPr>
            <w:pStyle w:val="TOC3"/>
            <w:tabs>
              <w:tab w:val="left" w:pos="1100"/>
              <w:tab w:val="right" w:leader="dot" w:pos="9350"/>
            </w:tabs>
            <w:spacing w:line="360" w:lineRule="auto"/>
            <w:rPr>
              <w:rFonts w:eastAsiaTheme="minorEastAsia" w:cs="Times New Roman"/>
              <w:noProof/>
              <w:szCs w:val="24"/>
            </w:rPr>
          </w:pPr>
          <w:hyperlink w:anchor="_Toc115977741" w:history="1">
            <w:r w:rsidR="00DE54ED" w:rsidRPr="00DE54ED">
              <w:rPr>
                <w:rStyle w:val="Hyperlink"/>
                <w:rFonts w:eastAsia="Times New Roman" w:cs="Times New Roman"/>
                <w:noProof/>
                <w:szCs w:val="24"/>
              </w:rPr>
              <w:t>ii).</w:t>
            </w:r>
            <w:r w:rsidR="00DE54ED" w:rsidRPr="00DE54ED">
              <w:rPr>
                <w:rFonts w:eastAsiaTheme="minorEastAsia" w:cs="Times New Roman"/>
                <w:noProof/>
                <w:szCs w:val="24"/>
              </w:rPr>
              <w:tab/>
            </w:r>
            <w:r w:rsidR="00DE54ED" w:rsidRPr="00DE54ED">
              <w:rPr>
                <w:rStyle w:val="Hyperlink"/>
                <w:rFonts w:eastAsia="Times New Roman" w:cs="Times New Roman"/>
                <w:noProof/>
                <w:szCs w:val="24"/>
              </w:rPr>
              <w:t>Rectification and Revocation of grant</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_Toc115977741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13</w:t>
            </w:r>
            <w:r w:rsidR="00DE54ED" w:rsidRPr="00DE54ED">
              <w:rPr>
                <w:rFonts w:cs="Times New Roman"/>
                <w:noProof/>
                <w:webHidden/>
                <w:szCs w:val="24"/>
              </w:rPr>
              <w:fldChar w:fldCharType="end"/>
            </w:r>
          </w:hyperlink>
        </w:p>
        <w:p w14:paraId="3E499F8B" w14:textId="77777777" w:rsidR="00DE54ED" w:rsidRPr="00DE54ED" w:rsidRDefault="00C3269C" w:rsidP="00DE54ED">
          <w:pPr>
            <w:pStyle w:val="TOC3"/>
            <w:tabs>
              <w:tab w:val="left" w:pos="1100"/>
              <w:tab w:val="right" w:leader="dot" w:pos="9350"/>
            </w:tabs>
            <w:spacing w:line="360" w:lineRule="auto"/>
            <w:rPr>
              <w:rFonts w:eastAsiaTheme="minorEastAsia" w:cs="Times New Roman"/>
              <w:noProof/>
              <w:szCs w:val="24"/>
            </w:rPr>
          </w:pPr>
          <w:hyperlink w:anchor="_Toc115977742" w:history="1">
            <w:r w:rsidR="00DE54ED" w:rsidRPr="00DE54ED">
              <w:rPr>
                <w:rStyle w:val="Hyperlink"/>
                <w:rFonts w:eastAsia="Times New Roman" w:cs="Times New Roman"/>
                <w:noProof/>
                <w:szCs w:val="24"/>
              </w:rPr>
              <w:t>iii).</w:t>
            </w:r>
            <w:r w:rsidR="00DE54ED" w:rsidRPr="00DE54ED">
              <w:rPr>
                <w:rFonts w:eastAsiaTheme="minorEastAsia" w:cs="Times New Roman"/>
                <w:noProof/>
                <w:szCs w:val="24"/>
              </w:rPr>
              <w:tab/>
            </w:r>
            <w:r w:rsidR="00DE54ED" w:rsidRPr="00DE54ED">
              <w:rPr>
                <w:rStyle w:val="Hyperlink"/>
                <w:rFonts w:eastAsia="Times New Roman" w:cs="Times New Roman"/>
                <w:noProof/>
                <w:szCs w:val="24"/>
              </w:rPr>
              <w:t>Revocation</w:t>
            </w:r>
            <w:r w:rsidR="00DE54ED" w:rsidRPr="00DE54ED">
              <w:rPr>
                <w:rFonts w:cs="Times New Roman"/>
                <w:noProof/>
                <w:webHidden/>
                <w:szCs w:val="24"/>
              </w:rPr>
              <w:tab/>
            </w:r>
            <w:r w:rsidR="00DE54ED" w:rsidRPr="00DE54ED">
              <w:rPr>
                <w:rFonts w:cs="Times New Roman"/>
                <w:noProof/>
                <w:webHidden/>
                <w:szCs w:val="24"/>
              </w:rPr>
              <w:fldChar w:fldCharType="begin"/>
            </w:r>
            <w:r w:rsidR="00DE54ED" w:rsidRPr="00DE54ED">
              <w:rPr>
                <w:rFonts w:cs="Times New Roman"/>
                <w:noProof/>
                <w:webHidden/>
                <w:szCs w:val="24"/>
              </w:rPr>
              <w:instrText xml:space="preserve"> PAGEREF _Toc115977742 \h </w:instrText>
            </w:r>
            <w:r w:rsidR="00DE54ED" w:rsidRPr="00DE54ED">
              <w:rPr>
                <w:rFonts w:cs="Times New Roman"/>
                <w:noProof/>
                <w:webHidden/>
                <w:szCs w:val="24"/>
              </w:rPr>
            </w:r>
            <w:r w:rsidR="00DE54ED" w:rsidRPr="00DE54ED">
              <w:rPr>
                <w:rFonts w:cs="Times New Roman"/>
                <w:noProof/>
                <w:webHidden/>
                <w:szCs w:val="24"/>
              </w:rPr>
              <w:fldChar w:fldCharType="separate"/>
            </w:r>
            <w:r w:rsidR="00DE54ED" w:rsidRPr="00DE54ED">
              <w:rPr>
                <w:rFonts w:cs="Times New Roman"/>
                <w:noProof/>
                <w:webHidden/>
                <w:szCs w:val="24"/>
              </w:rPr>
              <w:t>15</w:t>
            </w:r>
            <w:r w:rsidR="00DE54ED" w:rsidRPr="00DE54ED">
              <w:rPr>
                <w:rFonts w:cs="Times New Roman"/>
                <w:noProof/>
                <w:webHidden/>
                <w:szCs w:val="24"/>
              </w:rPr>
              <w:fldChar w:fldCharType="end"/>
            </w:r>
          </w:hyperlink>
        </w:p>
        <w:p w14:paraId="297A7382" w14:textId="77777777" w:rsidR="00DE54ED" w:rsidRDefault="00DE54ED" w:rsidP="00DE54ED">
          <w:pPr>
            <w:spacing w:line="360" w:lineRule="auto"/>
          </w:pPr>
          <w:r w:rsidRPr="00DE54ED">
            <w:rPr>
              <w:rFonts w:cs="Times New Roman"/>
              <w:b/>
              <w:bCs/>
              <w:noProof/>
              <w:szCs w:val="24"/>
            </w:rPr>
            <w:fldChar w:fldCharType="end"/>
          </w:r>
        </w:p>
      </w:sdtContent>
    </w:sdt>
    <w:p w14:paraId="59AE1E2A" w14:textId="77777777" w:rsidR="00DE54ED" w:rsidRPr="00DE54ED" w:rsidRDefault="00DE54ED">
      <w:pPr>
        <w:spacing w:before="200" w:after="160" w:line="360" w:lineRule="auto"/>
        <w:jc w:val="both"/>
        <w:rPr>
          <w:rFonts w:eastAsia="Times New Roman" w:cs="Times New Roman"/>
          <w:szCs w:val="24"/>
        </w:rPr>
      </w:pPr>
    </w:p>
    <w:p w14:paraId="07C8063B" w14:textId="77777777" w:rsidR="00DE54ED" w:rsidRDefault="00DE54ED">
      <w:pPr>
        <w:spacing w:before="200" w:after="160" w:line="360" w:lineRule="auto"/>
        <w:jc w:val="both"/>
        <w:rPr>
          <w:rFonts w:eastAsia="Times New Roman" w:cs="Times New Roman"/>
          <w:i/>
          <w:szCs w:val="24"/>
        </w:rPr>
      </w:pPr>
    </w:p>
    <w:p w14:paraId="1FA3B82A" w14:textId="77777777" w:rsidR="0026676C" w:rsidRDefault="0026676C">
      <w:pPr>
        <w:spacing w:after="160" w:line="360" w:lineRule="auto"/>
        <w:rPr>
          <w:rFonts w:eastAsia="Times New Roman" w:cs="Times New Roman"/>
          <w:b/>
          <w:szCs w:val="24"/>
        </w:rPr>
      </w:pPr>
    </w:p>
    <w:p w14:paraId="66DCD59C" w14:textId="77777777" w:rsidR="00DE54ED" w:rsidRDefault="00DE54ED">
      <w:pPr>
        <w:spacing w:after="160" w:line="360" w:lineRule="auto"/>
        <w:rPr>
          <w:rFonts w:ascii="Calibri" w:hAnsi="Calibri" w:cs="Calibri"/>
          <w:sz w:val="22"/>
        </w:rPr>
      </w:pPr>
    </w:p>
    <w:p w14:paraId="40FB9DE9" w14:textId="77777777" w:rsidR="0026676C" w:rsidRDefault="0026676C">
      <w:pPr>
        <w:spacing w:before="200" w:after="160" w:line="360" w:lineRule="auto"/>
        <w:jc w:val="both"/>
        <w:rPr>
          <w:rFonts w:eastAsia="Times New Roman" w:cs="Times New Roman"/>
          <w:szCs w:val="24"/>
        </w:rPr>
      </w:pPr>
    </w:p>
    <w:p w14:paraId="0FE5BE20" w14:textId="77777777" w:rsidR="0026676C" w:rsidRDefault="0026676C">
      <w:pPr>
        <w:spacing w:before="200" w:after="160" w:line="360" w:lineRule="auto"/>
        <w:jc w:val="both"/>
        <w:rPr>
          <w:rFonts w:eastAsia="Times New Roman" w:cs="Times New Roman"/>
          <w:szCs w:val="24"/>
        </w:rPr>
      </w:pPr>
    </w:p>
    <w:p w14:paraId="7BBB9A3A" w14:textId="77777777" w:rsidR="0026676C" w:rsidRDefault="0026676C">
      <w:pPr>
        <w:spacing w:before="200" w:after="160" w:line="360" w:lineRule="auto"/>
        <w:jc w:val="both"/>
        <w:rPr>
          <w:rFonts w:eastAsia="Times New Roman" w:cs="Times New Roman"/>
          <w:szCs w:val="24"/>
        </w:rPr>
      </w:pPr>
    </w:p>
    <w:p w14:paraId="6718A3A5" w14:textId="77777777" w:rsidR="0026676C" w:rsidRDefault="0026676C">
      <w:pPr>
        <w:spacing w:before="200" w:after="160" w:line="360" w:lineRule="auto"/>
        <w:jc w:val="both"/>
        <w:rPr>
          <w:rFonts w:eastAsia="Times New Roman" w:cs="Times New Roman"/>
          <w:szCs w:val="24"/>
        </w:rPr>
      </w:pPr>
    </w:p>
    <w:p w14:paraId="374AE575" w14:textId="77777777" w:rsidR="0026676C" w:rsidRDefault="004A315C" w:rsidP="00984F98">
      <w:pPr>
        <w:pStyle w:val="Heading1"/>
      </w:pPr>
      <w:bookmarkStart w:id="0" w:name="_gjdgxs" w:colFirst="0" w:colLast="0"/>
      <w:bookmarkStart w:id="1" w:name="_Toc115977731"/>
      <w:bookmarkEnd w:id="0"/>
      <w:r>
        <w:t>BACKGROUND</w:t>
      </w:r>
      <w:bookmarkEnd w:id="1"/>
    </w:p>
    <w:p w14:paraId="4F517E4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The deceased, Mr. Highness, died intestate as the will that he had allegedly left was declared invalid. The deceased left behind two wives; Kelline, and Clovour. Kelline was his first wife whom he married under customary law. Penzi does not qualify as a wife or dependant under succession. However, her children qualify as dependants and therefore, she stands in as a trustee on behalf of her children. As for Clovour, the woman whom Mr. Highness was cohabiting with, she stands as a wife for the purposes of succession.</w:t>
      </w:r>
    </w:p>
    <w:p w14:paraId="0466ACFC"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A grant for letters for administration has been applied for together with the accompanying documents as set out in the Probate and Administration Rules. To this application, Clovour and Penzi filed objections as a result of being excluded from it. Additionally, Highness’ father, siblings and brother’s children filed a notice of objection to the making and confirmation of the grant on the basis of not being included in the succession matter. Kelline’s children have also filed a caveat to prevent the full grant for letters of administration from being confirmed without them being notified first.</w:t>
      </w:r>
    </w:p>
    <w:p w14:paraId="7206F9B0" w14:textId="77777777" w:rsidR="0026676C" w:rsidRDefault="004A315C" w:rsidP="00984F98">
      <w:pPr>
        <w:pStyle w:val="Heading1"/>
      </w:pPr>
      <w:bookmarkStart w:id="2" w:name="_30j0zll" w:colFirst="0" w:colLast="0"/>
      <w:bookmarkStart w:id="3" w:name="_Toc115977732"/>
      <w:bookmarkEnd w:id="2"/>
      <w:r>
        <w:t>ISSUES ARISING</w:t>
      </w:r>
      <w:bookmarkEnd w:id="3"/>
      <w:r>
        <w:t xml:space="preserve"> </w:t>
      </w:r>
    </w:p>
    <w:p w14:paraId="10A5D358"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In the present instance, Kelline is seeking guidance on what to expect at the confirmation hearing and ruling for the same. The following issues shall be discussed to the effect;</w:t>
      </w:r>
    </w:p>
    <w:p w14:paraId="44A99AEE" w14:textId="77777777" w:rsidR="0026676C" w:rsidRDefault="004A315C">
      <w:pPr>
        <w:numPr>
          <w:ilvl w:val="0"/>
          <w:numId w:val="1"/>
        </w:numPr>
        <w:pBdr>
          <w:top w:val="nil"/>
          <w:left w:val="nil"/>
          <w:bottom w:val="nil"/>
          <w:right w:val="nil"/>
          <w:between w:val="nil"/>
        </w:pBdr>
        <w:spacing w:before="200" w:after="160" w:line="360" w:lineRule="auto"/>
        <w:jc w:val="both"/>
        <w:rPr>
          <w:rFonts w:eastAsia="Times New Roman" w:cs="Times New Roman"/>
          <w:color w:val="000000"/>
          <w:szCs w:val="24"/>
        </w:rPr>
      </w:pPr>
      <w:r>
        <w:rPr>
          <w:rFonts w:eastAsia="Times New Roman" w:cs="Times New Roman"/>
          <w:color w:val="000000"/>
          <w:szCs w:val="24"/>
        </w:rPr>
        <w:t xml:space="preserve">What are the preliminaries before confirmation of grant? </w:t>
      </w:r>
    </w:p>
    <w:p w14:paraId="39A96CA3" w14:textId="77777777" w:rsidR="0026676C" w:rsidRDefault="004A315C">
      <w:pPr>
        <w:numPr>
          <w:ilvl w:val="0"/>
          <w:numId w:val="1"/>
        </w:numPr>
        <w:pBdr>
          <w:top w:val="nil"/>
          <w:left w:val="nil"/>
          <w:bottom w:val="nil"/>
          <w:right w:val="nil"/>
          <w:between w:val="nil"/>
        </w:pBdr>
        <w:spacing w:before="200" w:after="160" w:line="360" w:lineRule="auto"/>
        <w:jc w:val="both"/>
        <w:rPr>
          <w:rFonts w:eastAsia="Times New Roman" w:cs="Times New Roman"/>
          <w:color w:val="000000"/>
          <w:szCs w:val="24"/>
        </w:rPr>
      </w:pPr>
      <w:r>
        <w:rPr>
          <w:rFonts w:eastAsia="Times New Roman" w:cs="Times New Roman"/>
          <w:color w:val="000000"/>
          <w:szCs w:val="24"/>
        </w:rPr>
        <w:t>What happens during non-contentious probate hearings?</w:t>
      </w:r>
    </w:p>
    <w:p w14:paraId="33B96A54" w14:textId="77777777" w:rsidR="0026676C" w:rsidRDefault="004A315C">
      <w:pPr>
        <w:numPr>
          <w:ilvl w:val="0"/>
          <w:numId w:val="1"/>
        </w:numPr>
        <w:pBdr>
          <w:top w:val="nil"/>
          <w:left w:val="nil"/>
          <w:bottom w:val="nil"/>
          <w:right w:val="nil"/>
          <w:between w:val="nil"/>
        </w:pBdr>
        <w:spacing w:before="200" w:after="160" w:line="360" w:lineRule="auto"/>
        <w:jc w:val="both"/>
        <w:rPr>
          <w:rFonts w:eastAsia="Times New Roman" w:cs="Times New Roman"/>
          <w:color w:val="000000"/>
          <w:szCs w:val="24"/>
        </w:rPr>
      </w:pPr>
      <w:r>
        <w:rPr>
          <w:rFonts w:eastAsia="Times New Roman" w:cs="Times New Roman"/>
          <w:color w:val="000000"/>
          <w:szCs w:val="24"/>
        </w:rPr>
        <w:t>What happens during contentious probate hearings?</w:t>
      </w:r>
    </w:p>
    <w:p w14:paraId="6B30EC6F" w14:textId="77777777" w:rsidR="0026676C" w:rsidRDefault="004A315C">
      <w:pPr>
        <w:numPr>
          <w:ilvl w:val="0"/>
          <w:numId w:val="1"/>
        </w:numPr>
        <w:pBdr>
          <w:top w:val="nil"/>
          <w:left w:val="nil"/>
          <w:bottom w:val="nil"/>
          <w:right w:val="nil"/>
          <w:between w:val="nil"/>
        </w:pBdr>
        <w:spacing w:before="200" w:after="160" w:line="360" w:lineRule="auto"/>
        <w:jc w:val="both"/>
        <w:rPr>
          <w:rFonts w:eastAsia="Times New Roman" w:cs="Times New Roman"/>
          <w:color w:val="000000"/>
          <w:szCs w:val="24"/>
        </w:rPr>
      </w:pPr>
      <w:r>
        <w:rPr>
          <w:rFonts w:eastAsia="Times New Roman" w:cs="Times New Roman"/>
          <w:color w:val="000000"/>
          <w:szCs w:val="24"/>
        </w:rPr>
        <w:t xml:space="preserve">What ruling should Kelline expect? </w:t>
      </w:r>
    </w:p>
    <w:p w14:paraId="4EEB48F2" w14:textId="77777777" w:rsidR="0026676C" w:rsidRDefault="004A315C" w:rsidP="00984F98">
      <w:pPr>
        <w:pStyle w:val="Heading2"/>
        <w:numPr>
          <w:ilvl w:val="0"/>
          <w:numId w:val="17"/>
        </w:numPr>
      </w:pPr>
      <w:bookmarkStart w:id="4" w:name="_1fob9te" w:colFirst="0" w:colLast="0"/>
      <w:bookmarkStart w:id="5" w:name="_Toc115977733"/>
      <w:bookmarkEnd w:id="4"/>
      <w:r>
        <w:t>WHAT ARE THE PRELIMINARIES BEFORE CONFIRMATION OF GRANT?</w:t>
      </w:r>
      <w:bookmarkEnd w:id="5"/>
      <w:r>
        <w:t xml:space="preserve"> </w:t>
      </w:r>
    </w:p>
    <w:p w14:paraId="335A5809"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Kelline made an application for a grant of letters of administration by virtue of </w:t>
      </w:r>
      <w:r>
        <w:rPr>
          <w:rFonts w:eastAsia="Times New Roman" w:cs="Times New Roman"/>
          <w:b/>
          <w:szCs w:val="24"/>
        </w:rPr>
        <w:t>Section 66</w:t>
      </w:r>
      <w:r>
        <w:rPr>
          <w:rFonts w:eastAsia="Times New Roman" w:cs="Times New Roman"/>
          <w:szCs w:val="24"/>
        </w:rPr>
        <w:t xml:space="preserve"> of the </w:t>
      </w:r>
      <w:r>
        <w:rPr>
          <w:rFonts w:eastAsia="Times New Roman" w:cs="Times New Roman"/>
          <w:b/>
          <w:szCs w:val="24"/>
        </w:rPr>
        <w:t>Law of Succession Act</w:t>
      </w:r>
      <w:r>
        <w:rPr>
          <w:rFonts w:eastAsia="Times New Roman" w:cs="Times New Roman"/>
          <w:szCs w:val="24"/>
        </w:rPr>
        <w:t xml:space="preserve">, being Highness’s surviving spouse. In the event that such a grant is issued, it would confirm that Highness died intestate and give Kelline uauthority to administer the estate in accordance with the rules of intestacy. </w:t>
      </w:r>
      <w:r w:rsidR="00DE54ED">
        <w:rPr>
          <w:rFonts w:eastAsia="Times New Roman" w:cs="Times New Roman"/>
          <w:szCs w:val="24"/>
        </w:rPr>
        <w:t>In</w:t>
      </w:r>
      <w:r>
        <w:rPr>
          <w:rFonts w:eastAsia="Times New Roman" w:cs="Times New Roman"/>
          <w:b/>
          <w:szCs w:val="24"/>
        </w:rPr>
        <w:t xml:space="preserve"> re Estate of the Late Mwaura Makuro (Deceased) [2021] eKLR</w:t>
      </w:r>
      <w:r>
        <w:rPr>
          <w:rFonts w:eastAsia="Times New Roman" w:cs="Times New Roman"/>
          <w:szCs w:val="24"/>
        </w:rPr>
        <w:t xml:space="preserve">, the court stated that the issuance of a grant to a personal representative effectively makes them answerable to the court as far as the administration of the deceased person’s estate. To this end, failure to act responsibly may lead to the revocation of such powers. Given the importance of these grants of representation, it is important to take note of the following; </w:t>
      </w:r>
    </w:p>
    <w:p w14:paraId="2BF02F3B" w14:textId="77777777" w:rsidR="0026676C" w:rsidRDefault="004A315C" w:rsidP="00984F98">
      <w:pPr>
        <w:pStyle w:val="Heading3"/>
        <w:numPr>
          <w:ilvl w:val="0"/>
          <w:numId w:val="19"/>
        </w:numPr>
        <w:rPr>
          <w:rFonts w:eastAsia="Times New Roman"/>
        </w:rPr>
      </w:pPr>
      <w:bookmarkStart w:id="6" w:name="_Toc115977734"/>
      <w:r>
        <w:rPr>
          <w:rFonts w:eastAsia="Times New Roman"/>
        </w:rPr>
        <w:t>The Power of Courts</w:t>
      </w:r>
      <w:bookmarkEnd w:id="6"/>
      <w:r>
        <w:rPr>
          <w:rFonts w:eastAsia="Times New Roman"/>
        </w:rPr>
        <w:t xml:space="preserve"> </w:t>
      </w:r>
    </w:p>
    <w:p w14:paraId="3850BBBB" w14:textId="77777777" w:rsidR="0026676C" w:rsidRDefault="004A315C">
      <w:pPr>
        <w:spacing w:before="200" w:after="160" w:line="360" w:lineRule="auto"/>
        <w:jc w:val="both"/>
        <w:rPr>
          <w:rFonts w:eastAsia="Times New Roman" w:cs="Times New Roman"/>
          <w:szCs w:val="24"/>
        </w:rPr>
      </w:pPr>
      <w:r>
        <w:rPr>
          <w:rFonts w:eastAsia="Times New Roman" w:cs="Times New Roman"/>
          <w:b/>
          <w:i/>
          <w:szCs w:val="24"/>
        </w:rPr>
        <w:t>Section 70</w:t>
      </w:r>
      <w:r>
        <w:rPr>
          <w:rFonts w:eastAsia="Times New Roman" w:cs="Times New Roman"/>
          <w:szCs w:val="24"/>
        </w:rPr>
        <w:t xml:space="preserve"> of the </w:t>
      </w:r>
      <w:r>
        <w:rPr>
          <w:rFonts w:eastAsia="Times New Roman" w:cs="Times New Roman"/>
          <w:b/>
          <w:i/>
          <w:szCs w:val="24"/>
        </w:rPr>
        <w:t>Law of Succession Act</w:t>
      </w:r>
      <w:r>
        <w:rPr>
          <w:rFonts w:eastAsia="Times New Roman" w:cs="Times New Roman"/>
          <w:szCs w:val="24"/>
        </w:rPr>
        <w:t xml:space="preserve"> states that whether or not there is a dispute regarding the issuance of grant, every court shall have power to examine any applicant on oath or affirmation; or call for further evidence as to the rights of dependants and of persons claiming interests on intestacy, or any other matter which appears to require further investigation before a grant is made; or issue a special, citation to any person appearing to have reason to object to the application. </w:t>
      </w:r>
    </w:p>
    <w:p w14:paraId="0C3ED1D9"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In </w:t>
      </w:r>
      <w:r>
        <w:rPr>
          <w:rFonts w:eastAsia="Times New Roman" w:cs="Times New Roman"/>
          <w:b/>
          <w:i/>
          <w:szCs w:val="24"/>
        </w:rPr>
        <w:t>re Estate Timothy Githua Kariuki (Deceased) [2019] eKLR</w:t>
      </w:r>
      <w:r>
        <w:rPr>
          <w:rFonts w:eastAsia="Times New Roman" w:cs="Times New Roman"/>
          <w:szCs w:val="24"/>
        </w:rPr>
        <w:t>, the court exercised its discretion in accordance to Section 70, 47 and</w:t>
      </w:r>
      <w:r w:rsidR="00DE54ED">
        <w:rPr>
          <w:rFonts w:eastAsia="Times New Roman" w:cs="Times New Roman"/>
          <w:szCs w:val="24"/>
        </w:rPr>
        <w:t xml:space="preserve"> 66 of the LSA</w:t>
      </w:r>
      <w:r>
        <w:rPr>
          <w:rFonts w:eastAsia="Times New Roman" w:cs="Times New Roman"/>
          <w:szCs w:val="24"/>
        </w:rPr>
        <w:t xml:space="preserve"> and made orders for the provision of further information on the beneficiaries and production of documents that it considered necessary to allow it to make a determination on the issuance of a grant of administration.  </w:t>
      </w:r>
    </w:p>
    <w:p w14:paraId="61052E4C" w14:textId="77777777" w:rsidR="0026676C" w:rsidRPr="00984F98" w:rsidRDefault="00984F98" w:rsidP="00984F98">
      <w:pPr>
        <w:pStyle w:val="Heading3"/>
        <w:numPr>
          <w:ilvl w:val="0"/>
          <w:numId w:val="19"/>
        </w:numPr>
        <w:rPr>
          <w:rFonts w:eastAsia="Times New Roman"/>
        </w:rPr>
      </w:pPr>
      <w:bookmarkStart w:id="7" w:name="_3znysh7" w:colFirst="0" w:colLast="0"/>
      <w:bookmarkStart w:id="8" w:name="_Toc115977735"/>
      <w:bookmarkEnd w:id="7"/>
      <w:r w:rsidRPr="00984F98">
        <w:rPr>
          <w:rFonts w:eastAsia="Times New Roman"/>
        </w:rPr>
        <w:t>Form of t</w:t>
      </w:r>
      <w:r w:rsidR="004A315C" w:rsidRPr="00984F98">
        <w:rPr>
          <w:rFonts w:eastAsia="Times New Roman"/>
        </w:rPr>
        <w:t>he Application for Confirmation of Grant</w:t>
      </w:r>
      <w:bookmarkEnd w:id="8"/>
      <w:r w:rsidR="004A315C" w:rsidRPr="00984F98">
        <w:rPr>
          <w:rFonts w:eastAsia="Times New Roman"/>
        </w:rPr>
        <w:t xml:space="preserve"> </w:t>
      </w:r>
    </w:p>
    <w:p w14:paraId="1ECE09DB" w14:textId="77777777" w:rsidR="0026676C" w:rsidRDefault="004A315C">
      <w:pPr>
        <w:spacing w:before="280" w:line="360" w:lineRule="auto"/>
        <w:jc w:val="both"/>
        <w:rPr>
          <w:rFonts w:eastAsia="Times New Roman" w:cs="Times New Roman"/>
          <w:szCs w:val="24"/>
        </w:rPr>
      </w:pPr>
      <w:r>
        <w:rPr>
          <w:rFonts w:eastAsia="Times New Roman" w:cs="Times New Roman"/>
          <w:szCs w:val="24"/>
        </w:rPr>
        <w:t xml:space="preserve">The application for confirmation takes the form of a ‘Summons for Confirmation’ supported by an affidavit giving details of the persons who have survived the deceased. Rule </w:t>
      </w:r>
      <w:r>
        <w:rPr>
          <w:rFonts w:eastAsia="Times New Roman" w:cs="Times New Roman"/>
          <w:b/>
          <w:i/>
          <w:szCs w:val="24"/>
        </w:rPr>
        <w:t>40(2) of P&amp;A Rules</w:t>
      </w:r>
      <w:r>
        <w:rPr>
          <w:rFonts w:eastAsia="Times New Roman" w:cs="Times New Roman"/>
          <w:szCs w:val="24"/>
        </w:rPr>
        <w:t xml:space="preserve"> provides that where the holder of a grant which has not been confirmed seeks confirmation of the grant he shall apply for such confirmation by;</w:t>
      </w:r>
    </w:p>
    <w:p w14:paraId="615CCDC7" w14:textId="77777777" w:rsidR="0026676C" w:rsidRDefault="004A315C">
      <w:pPr>
        <w:numPr>
          <w:ilvl w:val="0"/>
          <w:numId w:val="13"/>
        </w:numPr>
        <w:spacing w:before="280" w:after="160" w:line="360" w:lineRule="auto"/>
        <w:jc w:val="both"/>
        <w:rPr>
          <w:rFonts w:eastAsia="Times New Roman" w:cs="Times New Roman"/>
          <w:szCs w:val="24"/>
        </w:rPr>
      </w:pPr>
      <w:r>
        <w:rPr>
          <w:rFonts w:eastAsia="Times New Roman" w:cs="Times New Roman"/>
          <w:szCs w:val="24"/>
        </w:rPr>
        <w:t xml:space="preserve">summons in </w:t>
      </w:r>
      <w:r>
        <w:rPr>
          <w:rFonts w:eastAsia="Times New Roman" w:cs="Times New Roman"/>
          <w:b/>
          <w:szCs w:val="24"/>
        </w:rPr>
        <w:t>Form 108</w:t>
      </w:r>
      <w:r>
        <w:rPr>
          <w:rFonts w:eastAsia="Times New Roman" w:cs="Times New Roman"/>
          <w:szCs w:val="24"/>
        </w:rPr>
        <w:t xml:space="preserve"> in the cause in which the grant was issued, </w:t>
      </w:r>
    </w:p>
    <w:p w14:paraId="404F467A" w14:textId="77777777" w:rsidR="0026676C" w:rsidRDefault="004A315C">
      <w:pPr>
        <w:numPr>
          <w:ilvl w:val="0"/>
          <w:numId w:val="13"/>
        </w:numPr>
        <w:spacing w:after="160" w:line="360" w:lineRule="auto"/>
        <w:jc w:val="both"/>
        <w:rPr>
          <w:rFonts w:eastAsia="Times New Roman" w:cs="Times New Roman"/>
          <w:szCs w:val="24"/>
        </w:rPr>
      </w:pPr>
      <w:r>
        <w:rPr>
          <w:rFonts w:eastAsia="Times New Roman" w:cs="Times New Roman"/>
          <w:szCs w:val="24"/>
        </w:rPr>
        <w:t xml:space="preserve">supported by an affidavit in </w:t>
      </w:r>
      <w:r>
        <w:rPr>
          <w:rFonts w:eastAsia="Times New Roman" w:cs="Times New Roman"/>
          <w:b/>
          <w:szCs w:val="24"/>
        </w:rPr>
        <w:t>Form 8 or 9</w:t>
      </w:r>
      <w:r>
        <w:rPr>
          <w:rFonts w:eastAsia="Times New Roman" w:cs="Times New Roman"/>
          <w:szCs w:val="24"/>
        </w:rPr>
        <w:t xml:space="preserve"> exhibiting the grant </w:t>
      </w:r>
    </w:p>
    <w:p w14:paraId="3C4F8179" w14:textId="77777777" w:rsidR="0026676C" w:rsidRDefault="004A315C">
      <w:pPr>
        <w:numPr>
          <w:ilvl w:val="0"/>
          <w:numId w:val="13"/>
        </w:numPr>
        <w:spacing w:after="160" w:line="360" w:lineRule="auto"/>
        <w:jc w:val="both"/>
        <w:rPr>
          <w:rFonts w:eastAsia="Times New Roman" w:cs="Times New Roman"/>
          <w:szCs w:val="24"/>
        </w:rPr>
      </w:pPr>
      <w:r>
        <w:rPr>
          <w:rFonts w:eastAsia="Times New Roman" w:cs="Times New Roman"/>
          <w:szCs w:val="24"/>
        </w:rPr>
        <w:t>attach an estate duty compliance certificate or other satisfactory evidence that no estate duty is payable</w:t>
      </w:r>
    </w:p>
    <w:p w14:paraId="5126DFEA" w14:textId="77777777" w:rsidR="0026676C" w:rsidRDefault="004A315C">
      <w:pPr>
        <w:numPr>
          <w:ilvl w:val="0"/>
          <w:numId w:val="13"/>
        </w:numPr>
        <w:spacing w:after="160" w:line="360" w:lineRule="auto"/>
        <w:jc w:val="both"/>
        <w:rPr>
          <w:rFonts w:eastAsia="Times New Roman" w:cs="Times New Roman"/>
          <w:szCs w:val="24"/>
        </w:rPr>
      </w:pPr>
      <w:r>
        <w:rPr>
          <w:rFonts w:eastAsia="Times New Roman" w:cs="Times New Roman"/>
          <w:szCs w:val="24"/>
        </w:rPr>
        <w:t>set out the full names of the deceased person to whose estate the grant relates, and</w:t>
      </w:r>
    </w:p>
    <w:p w14:paraId="5B68EF7E" w14:textId="77777777" w:rsidR="0026676C" w:rsidRDefault="004A315C">
      <w:pPr>
        <w:numPr>
          <w:ilvl w:val="0"/>
          <w:numId w:val="13"/>
        </w:numPr>
        <w:spacing w:after="160" w:line="360" w:lineRule="auto"/>
        <w:jc w:val="both"/>
        <w:rPr>
          <w:rFonts w:eastAsia="Times New Roman" w:cs="Times New Roman"/>
          <w:szCs w:val="24"/>
        </w:rPr>
      </w:pPr>
      <w:r>
        <w:rPr>
          <w:rFonts w:eastAsia="Times New Roman" w:cs="Times New Roman"/>
          <w:szCs w:val="24"/>
        </w:rPr>
        <w:t>satisfy the court that no application under Part III of the Act is pending.</w:t>
      </w:r>
    </w:p>
    <w:p w14:paraId="63B8ACA8" w14:textId="77777777" w:rsidR="0026676C" w:rsidRDefault="004A315C">
      <w:pPr>
        <w:spacing w:before="200" w:line="360" w:lineRule="auto"/>
        <w:jc w:val="both"/>
        <w:rPr>
          <w:rFonts w:eastAsia="Times New Roman" w:cs="Times New Roman"/>
          <w:szCs w:val="24"/>
        </w:rPr>
      </w:pPr>
      <w:r>
        <w:rPr>
          <w:rFonts w:eastAsia="Times New Roman" w:cs="Times New Roman"/>
          <w:szCs w:val="24"/>
        </w:rPr>
        <w:t xml:space="preserve">Also the dependants of the deceased must be mentioned in the application, assets of the deceased listed, and method of distribution outlined. The Court </w:t>
      </w:r>
      <w:r>
        <w:rPr>
          <w:rFonts w:eastAsia="Times New Roman" w:cs="Times New Roman"/>
          <w:b/>
          <w:szCs w:val="24"/>
        </w:rPr>
        <w:t>In re Estate of Helon Ihachi Isiaho (Deceased) [2021] eKLR</w:t>
      </w:r>
      <w:r>
        <w:rPr>
          <w:rFonts w:eastAsia="Times New Roman" w:cs="Times New Roman"/>
          <w:szCs w:val="24"/>
        </w:rPr>
        <w:t xml:space="preserve"> stated that in confirmation applications, there are two principal factors for the court to consider, which are appointment of administrators and distribution of the estate. The court in supporting these two factors emphasized that the grant should not be confirmed before it is satisfied that the administrator had properly ascertained all the persons beneficially entitled to a share in the estate and properly identified the shares due to them.</w:t>
      </w:r>
    </w:p>
    <w:p w14:paraId="3EC49AD9" w14:textId="77777777" w:rsidR="0026676C" w:rsidRDefault="004A315C">
      <w:pPr>
        <w:spacing w:before="200" w:line="360" w:lineRule="auto"/>
        <w:jc w:val="both"/>
        <w:rPr>
          <w:rFonts w:eastAsia="Times New Roman" w:cs="Times New Roman"/>
          <w:szCs w:val="24"/>
        </w:rPr>
      </w:pPr>
      <w:r>
        <w:rPr>
          <w:rFonts w:eastAsia="Times New Roman" w:cs="Times New Roman"/>
          <w:szCs w:val="24"/>
        </w:rPr>
        <w:t>The court may also direct that the grant be confirmed before the expiration of six months from the date of grant in cases where there is no dependant of the deceased and where it is expedient so to direct. This is provided for in Section 71(3) of the LSA. Application for such an instance is made by;</w:t>
      </w:r>
    </w:p>
    <w:p w14:paraId="17754D4D" w14:textId="77777777" w:rsidR="0026676C" w:rsidRDefault="004A315C">
      <w:pPr>
        <w:numPr>
          <w:ilvl w:val="0"/>
          <w:numId w:val="3"/>
        </w:numPr>
        <w:spacing w:after="160" w:line="360" w:lineRule="auto"/>
        <w:jc w:val="both"/>
        <w:rPr>
          <w:rFonts w:eastAsia="Times New Roman" w:cs="Times New Roman"/>
          <w:szCs w:val="24"/>
        </w:rPr>
      </w:pPr>
      <w:r>
        <w:rPr>
          <w:rFonts w:eastAsia="Times New Roman" w:cs="Times New Roman"/>
          <w:szCs w:val="24"/>
        </w:rPr>
        <w:t xml:space="preserve">summons in </w:t>
      </w:r>
      <w:r>
        <w:rPr>
          <w:rFonts w:eastAsia="Times New Roman" w:cs="Times New Roman"/>
          <w:b/>
          <w:szCs w:val="24"/>
        </w:rPr>
        <w:t>Form 109</w:t>
      </w:r>
      <w:r>
        <w:rPr>
          <w:rFonts w:eastAsia="Times New Roman" w:cs="Times New Roman"/>
          <w:szCs w:val="24"/>
        </w:rPr>
        <w:t xml:space="preserve"> in the cause and </w:t>
      </w:r>
    </w:p>
    <w:p w14:paraId="0A234DFB" w14:textId="77777777" w:rsidR="0026676C" w:rsidRDefault="004A315C">
      <w:pPr>
        <w:numPr>
          <w:ilvl w:val="0"/>
          <w:numId w:val="3"/>
        </w:numPr>
        <w:spacing w:after="160" w:line="360" w:lineRule="auto"/>
        <w:jc w:val="both"/>
        <w:rPr>
          <w:rFonts w:eastAsia="Times New Roman" w:cs="Times New Roman"/>
          <w:szCs w:val="24"/>
        </w:rPr>
      </w:pPr>
      <w:r>
        <w:rPr>
          <w:rFonts w:eastAsia="Times New Roman" w:cs="Times New Roman"/>
          <w:szCs w:val="24"/>
        </w:rPr>
        <w:t>the applicant shall in addition to the requirements of sub</w:t>
      </w:r>
      <w:r w:rsidR="00DE54ED">
        <w:rPr>
          <w:rFonts w:eastAsia="Times New Roman" w:cs="Times New Roman"/>
          <w:szCs w:val="24"/>
        </w:rPr>
        <w:t xml:space="preserve"> </w:t>
      </w:r>
      <w:r>
        <w:rPr>
          <w:rFonts w:eastAsia="Times New Roman" w:cs="Times New Roman"/>
          <w:szCs w:val="24"/>
        </w:rPr>
        <w:t xml:space="preserve">rule (1) satisfy the court by affidavit in </w:t>
      </w:r>
      <w:r>
        <w:rPr>
          <w:rFonts w:eastAsia="Times New Roman" w:cs="Times New Roman"/>
          <w:b/>
          <w:szCs w:val="24"/>
        </w:rPr>
        <w:t>Form 18</w:t>
      </w:r>
      <w:r>
        <w:rPr>
          <w:rFonts w:eastAsia="Times New Roman" w:cs="Times New Roman"/>
          <w:szCs w:val="24"/>
        </w:rPr>
        <w:t xml:space="preserve"> that there is in existence no dependant of the deceased and </w:t>
      </w:r>
    </w:p>
    <w:p w14:paraId="077342D8" w14:textId="77777777" w:rsidR="0026676C" w:rsidRDefault="004A315C">
      <w:pPr>
        <w:numPr>
          <w:ilvl w:val="0"/>
          <w:numId w:val="3"/>
        </w:numPr>
        <w:spacing w:after="160" w:line="360" w:lineRule="auto"/>
        <w:jc w:val="both"/>
        <w:rPr>
          <w:rFonts w:eastAsia="Times New Roman" w:cs="Times New Roman"/>
          <w:szCs w:val="24"/>
        </w:rPr>
      </w:pPr>
      <w:r>
        <w:rPr>
          <w:rFonts w:eastAsia="Times New Roman" w:cs="Times New Roman"/>
          <w:szCs w:val="24"/>
        </w:rPr>
        <w:t xml:space="preserve">that it is expedient in all the circumstances of the case that the grant be confirmed before the expiration of six months from its date of making. </w:t>
      </w:r>
    </w:p>
    <w:p w14:paraId="6BD815D5"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Rule </w:t>
      </w:r>
      <w:r>
        <w:rPr>
          <w:rFonts w:eastAsia="Times New Roman" w:cs="Times New Roman"/>
          <w:b/>
          <w:szCs w:val="24"/>
        </w:rPr>
        <w:t>7(4) of the P&amp;A Rules</w:t>
      </w:r>
      <w:r>
        <w:rPr>
          <w:rFonts w:eastAsia="Times New Roman" w:cs="Times New Roman"/>
          <w:szCs w:val="24"/>
        </w:rPr>
        <w:t xml:space="preserve"> details that the Deputy Registrar, upon receipt of the petition, will cause the notice to be published in the Kenya Gazette along with a daily newspaper or exhibition in a conspicuous area in court. This notice will be as per Form 60 of the P&amp;A Rules, setting out a period for objections that must be made within a period of </w:t>
      </w:r>
      <w:r>
        <w:rPr>
          <w:rFonts w:eastAsia="Times New Roman" w:cs="Times New Roman"/>
          <w:b/>
          <w:szCs w:val="24"/>
        </w:rPr>
        <w:t>30 (thirty) days</w:t>
      </w:r>
      <w:r>
        <w:rPr>
          <w:rFonts w:eastAsia="Times New Roman" w:cs="Times New Roman"/>
          <w:szCs w:val="24"/>
        </w:rPr>
        <w:t xml:space="preserve">. </w:t>
      </w:r>
    </w:p>
    <w:p w14:paraId="5BCA8383"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Kelline should therefore be alive to the provisions of </w:t>
      </w:r>
      <w:r>
        <w:rPr>
          <w:rFonts w:eastAsia="Times New Roman" w:cs="Times New Roman"/>
          <w:b/>
          <w:i/>
          <w:szCs w:val="24"/>
        </w:rPr>
        <w:t xml:space="preserve">Rule 40(2) </w:t>
      </w:r>
      <w:r>
        <w:rPr>
          <w:rFonts w:eastAsia="Times New Roman" w:cs="Times New Roman"/>
          <w:szCs w:val="24"/>
        </w:rPr>
        <w:t>of the</w:t>
      </w:r>
      <w:r>
        <w:rPr>
          <w:rFonts w:eastAsia="Times New Roman" w:cs="Times New Roman"/>
          <w:b/>
          <w:i/>
          <w:szCs w:val="24"/>
        </w:rPr>
        <w:t xml:space="preserve"> P&amp;A Rules</w:t>
      </w:r>
      <w:r>
        <w:rPr>
          <w:rFonts w:eastAsia="Times New Roman" w:cs="Times New Roman"/>
          <w:szCs w:val="24"/>
        </w:rPr>
        <w:t xml:space="preserve"> which clearly outline the form in which Summons of Confirmation should be made. Also, given that Highness died having left dependents and several issues have arisen as to the application for grant, this matter cannot be expedited within such a short period unless all the issues are resolved.   </w:t>
      </w:r>
    </w:p>
    <w:p w14:paraId="0324319A" w14:textId="77777777" w:rsidR="0026676C" w:rsidRDefault="004A315C" w:rsidP="00984F98">
      <w:pPr>
        <w:pStyle w:val="Heading3"/>
        <w:numPr>
          <w:ilvl w:val="0"/>
          <w:numId w:val="19"/>
        </w:numPr>
        <w:rPr>
          <w:rFonts w:eastAsia="Times New Roman"/>
        </w:rPr>
      </w:pPr>
      <w:bookmarkStart w:id="9" w:name="_2et92p0" w:colFirst="0" w:colLast="0"/>
      <w:bookmarkStart w:id="10" w:name="_Toc115977736"/>
      <w:bookmarkEnd w:id="9"/>
      <w:r>
        <w:rPr>
          <w:rFonts w:eastAsia="Times New Roman"/>
        </w:rPr>
        <w:t>Notices, Objections and Consent</w:t>
      </w:r>
      <w:bookmarkEnd w:id="10"/>
      <w:r>
        <w:rPr>
          <w:rFonts w:eastAsia="Times New Roman"/>
        </w:rPr>
        <w:t xml:space="preserve"> </w:t>
      </w:r>
    </w:p>
    <w:p w14:paraId="1E8FA1D6" w14:textId="77777777" w:rsidR="0026676C" w:rsidRDefault="004A315C">
      <w:pPr>
        <w:spacing w:before="200" w:after="160" w:line="360" w:lineRule="auto"/>
        <w:jc w:val="both"/>
        <w:rPr>
          <w:rFonts w:eastAsia="Times New Roman" w:cs="Times New Roman"/>
          <w:szCs w:val="24"/>
        </w:rPr>
      </w:pPr>
      <w:r>
        <w:rPr>
          <w:rFonts w:eastAsia="Times New Roman" w:cs="Times New Roman"/>
          <w:b/>
          <w:i/>
          <w:szCs w:val="24"/>
        </w:rPr>
        <w:t>Section 67</w:t>
      </w:r>
      <w:r>
        <w:rPr>
          <w:rFonts w:eastAsia="Times New Roman" w:cs="Times New Roman"/>
          <w:szCs w:val="24"/>
        </w:rPr>
        <w:t xml:space="preserve"> of the </w:t>
      </w:r>
      <w:r w:rsidR="00DE54ED">
        <w:rPr>
          <w:rFonts w:eastAsia="Times New Roman" w:cs="Times New Roman"/>
          <w:b/>
          <w:i/>
          <w:szCs w:val="24"/>
        </w:rPr>
        <w:t>LSA</w:t>
      </w:r>
      <w:r>
        <w:rPr>
          <w:rFonts w:eastAsia="Times New Roman" w:cs="Times New Roman"/>
          <w:szCs w:val="24"/>
        </w:rPr>
        <w:t xml:space="preserve"> provides that no grant of representation, other than a grant </w:t>
      </w:r>
      <w:r>
        <w:rPr>
          <w:rFonts w:eastAsia="Times New Roman" w:cs="Times New Roman"/>
          <w:i/>
          <w:szCs w:val="24"/>
        </w:rPr>
        <w:t>ad colligenda bona</w:t>
      </w:r>
      <w:r>
        <w:rPr>
          <w:rFonts w:eastAsia="Times New Roman" w:cs="Times New Roman"/>
          <w:szCs w:val="24"/>
        </w:rPr>
        <w:t xml:space="preserve"> shall be made until there has been published notice of the application for such grant. The notice invites objections to be made known to the court within a specified period of not less than thirty days from the date of publication. </w:t>
      </w:r>
    </w:p>
    <w:p w14:paraId="07404DC3" w14:textId="77777777" w:rsidR="0026676C" w:rsidRDefault="004A315C">
      <w:pPr>
        <w:spacing w:before="200" w:after="160" w:line="360" w:lineRule="auto"/>
        <w:jc w:val="both"/>
        <w:rPr>
          <w:rFonts w:eastAsia="Times New Roman" w:cs="Times New Roman"/>
          <w:szCs w:val="24"/>
        </w:rPr>
      </w:pPr>
      <w:r>
        <w:rPr>
          <w:rFonts w:eastAsia="Times New Roman" w:cs="Times New Roman"/>
          <w:b/>
          <w:i/>
          <w:szCs w:val="24"/>
        </w:rPr>
        <w:t>Rule 26</w:t>
      </w:r>
      <w:r>
        <w:rPr>
          <w:rFonts w:eastAsia="Times New Roman" w:cs="Times New Roman"/>
          <w:szCs w:val="24"/>
        </w:rPr>
        <w:t xml:space="preserve"> of the </w:t>
      </w:r>
      <w:r>
        <w:rPr>
          <w:rFonts w:eastAsia="Times New Roman" w:cs="Times New Roman"/>
          <w:b/>
          <w:i/>
          <w:szCs w:val="24"/>
        </w:rPr>
        <w:t>Probate and Administration Rules</w:t>
      </w:r>
      <w:r>
        <w:rPr>
          <w:rFonts w:eastAsia="Times New Roman" w:cs="Times New Roman"/>
          <w:szCs w:val="24"/>
        </w:rPr>
        <w:t xml:space="preserve"> also provides that letters of administration shall not be granted to any applicant without notice to every other person entitled in the same degree as or in priority to the applicant. The </w:t>
      </w:r>
      <w:r w:rsidR="00DE54ED">
        <w:rPr>
          <w:rFonts w:eastAsia="Times New Roman" w:cs="Times New Roman"/>
          <w:b/>
          <w:i/>
          <w:szCs w:val="24"/>
        </w:rPr>
        <w:t>LSA</w:t>
      </w:r>
      <w:r>
        <w:rPr>
          <w:rFonts w:eastAsia="Times New Roman" w:cs="Times New Roman"/>
          <w:szCs w:val="24"/>
        </w:rPr>
        <w:t xml:space="preserve"> in S</w:t>
      </w:r>
      <w:r>
        <w:rPr>
          <w:rFonts w:eastAsia="Times New Roman" w:cs="Times New Roman"/>
          <w:b/>
          <w:i/>
          <w:szCs w:val="24"/>
        </w:rPr>
        <w:t>ection 68</w:t>
      </w:r>
      <w:r>
        <w:rPr>
          <w:rFonts w:eastAsia="Times New Roman" w:cs="Times New Roman"/>
          <w:szCs w:val="24"/>
        </w:rPr>
        <w:t xml:space="preserve"> requires that upon the issuance of such notice, a notice of any objection should be lodged in a form prescribed by the law and within a period prescribed or one recommended by the court. </w:t>
      </w:r>
    </w:p>
    <w:p w14:paraId="48F3F31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Further, </w:t>
      </w:r>
      <w:r>
        <w:rPr>
          <w:rFonts w:eastAsia="Times New Roman" w:cs="Times New Roman"/>
          <w:b/>
          <w:szCs w:val="24"/>
        </w:rPr>
        <w:t>Rule 17</w:t>
      </w:r>
      <w:r>
        <w:rPr>
          <w:rFonts w:eastAsia="Times New Roman" w:cs="Times New Roman"/>
          <w:szCs w:val="24"/>
        </w:rPr>
        <w:t xml:space="preserve"> provides that any person desirous of applying for an objection may do so upon the gaz</w:t>
      </w:r>
      <w:r w:rsidR="00DE54ED">
        <w:rPr>
          <w:rFonts w:eastAsia="Times New Roman" w:cs="Times New Roman"/>
          <w:szCs w:val="24"/>
        </w:rPr>
        <w:t>ett</w:t>
      </w:r>
      <w:r>
        <w:rPr>
          <w:rFonts w:eastAsia="Times New Roman" w:cs="Times New Roman"/>
          <w:szCs w:val="24"/>
        </w:rPr>
        <w:t xml:space="preserve">ement of a notice within the prescribed limits and in the prescribed form according to </w:t>
      </w:r>
      <w:r>
        <w:rPr>
          <w:rFonts w:eastAsia="Times New Roman" w:cs="Times New Roman"/>
          <w:b/>
          <w:szCs w:val="24"/>
        </w:rPr>
        <w:t>Form 76</w:t>
      </w:r>
      <w:r>
        <w:rPr>
          <w:rFonts w:eastAsia="Times New Roman" w:cs="Times New Roman"/>
          <w:szCs w:val="24"/>
        </w:rPr>
        <w:t xml:space="preserve">. This rule also states that so long as an objection which has been lodged has not been withdrawn pursuant to </w:t>
      </w:r>
      <w:r w:rsidR="00DE54ED">
        <w:rPr>
          <w:rFonts w:eastAsia="Times New Roman" w:cs="Times New Roman"/>
          <w:b/>
          <w:szCs w:val="24"/>
        </w:rPr>
        <w:t>S</w:t>
      </w:r>
      <w:r>
        <w:rPr>
          <w:rFonts w:eastAsia="Times New Roman" w:cs="Times New Roman"/>
          <w:b/>
          <w:szCs w:val="24"/>
        </w:rPr>
        <w:t>ub</w:t>
      </w:r>
      <w:r w:rsidR="00DE54ED">
        <w:rPr>
          <w:rFonts w:eastAsia="Times New Roman" w:cs="Times New Roman"/>
          <w:b/>
          <w:szCs w:val="24"/>
        </w:rPr>
        <w:t xml:space="preserve"> </w:t>
      </w:r>
      <w:r>
        <w:rPr>
          <w:rFonts w:eastAsia="Times New Roman" w:cs="Times New Roman"/>
          <w:b/>
          <w:szCs w:val="24"/>
        </w:rPr>
        <w:t>rule (10)</w:t>
      </w:r>
      <w:r>
        <w:rPr>
          <w:rFonts w:eastAsia="Times New Roman" w:cs="Times New Roman"/>
          <w:szCs w:val="24"/>
        </w:rPr>
        <w:t xml:space="preserve"> no grant shall be made by any registry to the estate of the deceased prior to the expiration of the period for the filing by the objector of an answer and cross-application specified by the court under </w:t>
      </w:r>
      <w:r w:rsidR="00DE54ED">
        <w:rPr>
          <w:rFonts w:eastAsia="Times New Roman" w:cs="Times New Roman"/>
          <w:b/>
          <w:szCs w:val="24"/>
        </w:rPr>
        <w:t>S</w:t>
      </w:r>
      <w:r>
        <w:rPr>
          <w:rFonts w:eastAsia="Times New Roman" w:cs="Times New Roman"/>
          <w:b/>
          <w:szCs w:val="24"/>
        </w:rPr>
        <w:t xml:space="preserve">ection 68 </w:t>
      </w:r>
      <w:r>
        <w:rPr>
          <w:rFonts w:eastAsia="Times New Roman" w:cs="Times New Roman"/>
          <w:szCs w:val="24"/>
        </w:rPr>
        <w:t>of the Act.</w:t>
      </w:r>
    </w:p>
    <w:p w14:paraId="51C20E4D"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The importance of notices prior to confirmation of grants was emphasized in the case of </w:t>
      </w:r>
      <w:r>
        <w:rPr>
          <w:rFonts w:eastAsia="Times New Roman" w:cs="Times New Roman"/>
          <w:b/>
          <w:i/>
          <w:szCs w:val="24"/>
        </w:rPr>
        <w:t xml:space="preserve">In Re Estate of Zuhura Salim Dossa – Deceased [2014] eKLR </w:t>
      </w:r>
      <w:r>
        <w:rPr>
          <w:rFonts w:eastAsia="Times New Roman" w:cs="Times New Roman"/>
          <w:szCs w:val="24"/>
        </w:rPr>
        <w:t xml:space="preserve">where the court held that Section 68 and Rule 17(5) are mandatory provisions which ought to be complied with to make the grant of letters of administration effective. Therefore, the registrar’s failure to give notice to the objector to file an answer to the petition and a cross-application rendered the process of obtaining the grant defective and led to the revocation of such grant. </w:t>
      </w:r>
    </w:p>
    <w:p w14:paraId="1CAB825B" w14:textId="77777777" w:rsidR="0026676C" w:rsidRDefault="004A315C">
      <w:pPr>
        <w:spacing w:before="200" w:after="160" w:line="360" w:lineRule="auto"/>
        <w:jc w:val="both"/>
        <w:rPr>
          <w:rFonts w:eastAsia="Times New Roman" w:cs="Times New Roman"/>
          <w:szCs w:val="24"/>
        </w:rPr>
      </w:pPr>
      <w:r>
        <w:rPr>
          <w:rFonts w:eastAsia="Times New Roman" w:cs="Times New Roman"/>
          <w:b/>
          <w:szCs w:val="24"/>
        </w:rPr>
        <w:t>Form 37</w:t>
      </w:r>
      <w:r>
        <w:rPr>
          <w:rFonts w:eastAsia="Times New Roman" w:cs="Times New Roman"/>
          <w:b/>
          <w:i/>
          <w:szCs w:val="24"/>
        </w:rPr>
        <w:t xml:space="preserve"> P&amp;A Rules</w:t>
      </w:r>
      <w:r>
        <w:rPr>
          <w:rFonts w:eastAsia="Times New Roman" w:cs="Times New Roman"/>
          <w:szCs w:val="24"/>
        </w:rPr>
        <w:t xml:space="preserve"> provides that all beneficiaries should give consent to the mode of distribution. Neither Penzi nor Clovour provided any written consent to Kelline filing the petition alone or in any other way renounced their interests. Also, Highness’ father, brother, sisters and brother’s children filed a caveat wanting to be informed about the confirmation of the grant. </w:t>
      </w:r>
    </w:p>
    <w:p w14:paraId="7AB4A37D" w14:textId="77777777" w:rsidR="0026676C" w:rsidRDefault="0026676C">
      <w:pPr>
        <w:spacing w:before="200" w:after="160" w:line="360" w:lineRule="auto"/>
        <w:jc w:val="both"/>
        <w:rPr>
          <w:rFonts w:eastAsia="Times New Roman" w:cs="Times New Roman"/>
          <w:szCs w:val="24"/>
        </w:rPr>
      </w:pPr>
    </w:p>
    <w:p w14:paraId="7EF0E8B8" w14:textId="77777777" w:rsidR="0026676C" w:rsidRDefault="0026676C">
      <w:pPr>
        <w:spacing w:before="200" w:after="160" w:line="360" w:lineRule="auto"/>
        <w:jc w:val="both"/>
        <w:rPr>
          <w:rFonts w:eastAsia="Times New Roman" w:cs="Times New Roman"/>
          <w:szCs w:val="24"/>
        </w:rPr>
      </w:pPr>
    </w:p>
    <w:p w14:paraId="7B1CD3DA" w14:textId="77777777" w:rsidR="0026676C" w:rsidRDefault="004A315C">
      <w:pPr>
        <w:spacing w:after="160" w:line="259" w:lineRule="auto"/>
        <w:rPr>
          <w:rFonts w:eastAsia="Times New Roman" w:cs="Times New Roman"/>
          <w:szCs w:val="24"/>
        </w:rPr>
      </w:pPr>
      <w:r>
        <w:rPr>
          <w:rFonts w:eastAsia="Times New Roman" w:cs="Times New Roman"/>
          <w:szCs w:val="24"/>
        </w:rPr>
        <w:br w:type="page"/>
      </w:r>
    </w:p>
    <w:p w14:paraId="1BF83986" w14:textId="77777777" w:rsidR="0026676C" w:rsidRDefault="004A315C" w:rsidP="00984F98">
      <w:pPr>
        <w:pStyle w:val="Heading2"/>
        <w:numPr>
          <w:ilvl w:val="0"/>
          <w:numId w:val="17"/>
        </w:numPr>
      </w:pPr>
      <w:bookmarkStart w:id="11" w:name="_1t3h5sf" w:colFirst="0" w:colLast="0"/>
      <w:bookmarkStart w:id="12" w:name="_Toc115977737"/>
      <w:bookmarkEnd w:id="11"/>
      <w:r>
        <w:t>WHAT HAPPENS DURING NON-CONTENTIOUS PROBATE HEARINGS?</w:t>
      </w:r>
      <w:bookmarkEnd w:id="12"/>
    </w:p>
    <w:p w14:paraId="1CC38FBD" w14:textId="77777777" w:rsidR="0026676C" w:rsidRDefault="004A315C">
      <w:pPr>
        <w:spacing w:before="200" w:after="160" w:line="360" w:lineRule="auto"/>
        <w:jc w:val="both"/>
        <w:rPr>
          <w:rFonts w:eastAsia="Times New Roman" w:cs="Times New Roman"/>
          <w:szCs w:val="24"/>
        </w:rPr>
      </w:pPr>
      <w:r>
        <w:rPr>
          <w:rFonts w:eastAsia="Times New Roman" w:cs="Times New Roman"/>
          <w:b/>
          <w:szCs w:val="24"/>
        </w:rPr>
        <w:t>William Musyoka</w:t>
      </w:r>
      <w:r>
        <w:rPr>
          <w:rFonts w:eastAsia="Times New Roman" w:cs="Times New Roman"/>
          <w:szCs w:val="24"/>
        </w:rPr>
        <w:t xml:space="preserve"> in </w:t>
      </w:r>
      <w:r>
        <w:rPr>
          <w:rFonts w:eastAsia="Times New Roman" w:cs="Times New Roman"/>
          <w:b/>
          <w:i/>
          <w:szCs w:val="24"/>
        </w:rPr>
        <w:t>The Law of Succession</w:t>
      </w:r>
      <w:r>
        <w:rPr>
          <w:rFonts w:eastAsia="Times New Roman" w:cs="Times New Roman"/>
          <w:szCs w:val="24"/>
        </w:rPr>
        <w:t xml:space="preserve"> defines non contentious probate proceedings as those proceedings where there is no dispute as to the documents that ought to be admitted to probate or over entitlement to a grant.</w:t>
      </w:r>
    </w:p>
    <w:p w14:paraId="156E1922"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At the confirmation of grant, the provisions of section </w:t>
      </w:r>
      <w:r>
        <w:rPr>
          <w:rFonts w:eastAsia="Times New Roman" w:cs="Times New Roman"/>
          <w:b/>
          <w:i/>
          <w:szCs w:val="24"/>
        </w:rPr>
        <w:t>71(2) of the Law of Succession Act</w:t>
      </w:r>
      <w:r>
        <w:rPr>
          <w:rFonts w:eastAsia="Times New Roman" w:cs="Times New Roman"/>
          <w:szCs w:val="24"/>
        </w:rPr>
        <w:t xml:space="preserve"> and </w:t>
      </w:r>
      <w:r>
        <w:rPr>
          <w:rFonts w:eastAsia="Times New Roman" w:cs="Times New Roman"/>
          <w:b/>
          <w:i/>
          <w:szCs w:val="24"/>
        </w:rPr>
        <w:t>Rule 40(4) of the Probate and Administration Rules</w:t>
      </w:r>
      <w:r>
        <w:rPr>
          <w:rFonts w:eastAsia="Times New Roman" w:cs="Times New Roman"/>
          <w:szCs w:val="24"/>
        </w:rPr>
        <w:t xml:space="preserve"> are unequivocal. Section 71(2) stipulates that in cases of intestacy, the grant of letters of administration shall not be confirmed until the court is satisfied as to the respective identities and shares of all persons beneficially entitled. </w:t>
      </w:r>
    </w:p>
    <w:p w14:paraId="3BC6EE2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Principally, </w:t>
      </w:r>
      <w:r>
        <w:rPr>
          <w:rFonts w:eastAsia="Times New Roman" w:cs="Times New Roman"/>
          <w:b/>
          <w:i/>
          <w:szCs w:val="24"/>
        </w:rPr>
        <w:t>Rule 41(1) of the Probate and Administration Rules</w:t>
      </w:r>
      <w:r>
        <w:rPr>
          <w:rFonts w:eastAsia="Times New Roman" w:cs="Times New Roman"/>
          <w:szCs w:val="24"/>
        </w:rPr>
        <w:t xml:space="preserve"> provides that at the confirmation hearing the court shall first read out in the language or respective languages in which they appear in the application, the grant and the affidavits which have been filed. It shall then hear the applicant and any other person interested, whether such persons appear personally or by an advocate or by a representative. </w:t>
      </w:r>
    </w:p>
    <w:p w14:paraId="59AB9FAB"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All these persons can only be heard if they are aware of the matter in the first place thus the importance of disclosure. The persons beneficially entitled must therefore have been notified when the petition for a grant of representation and a confirmation application was being conceived, and when filed, and of the hearing so that they can file their responses to it. </w:t>
      </w:r>
    </w:p>
    <w:p w14:paraId="281937DE"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In the instance that there are no protests and objections to the issue and confirmation of a grant, the court, as was held </w:t>
      </w:r>
      <w:r>
        <w:rPr>
          <w:rFonts w:eastAsia="Times New Roman" w:cs="Times New Roman"/>
          <w:b/>
          <w:szCs w:val="24"/>
        </w:rPr>
        <w:t>In re Estate of Christopher Ochieng</w:t>
      </w:r>
      <w:r w:rsidR="00DE54ED">
        <w:rPr>
          <w:rFonts w:eastAsia="Times New Roman" w:cs="Times New Roman"/>
          <w:b/>
          <w:szCs w:val="24"/>
        </w:rPr>
        <w:t xml:space="preserve"> (D</w:t>
      </w:r>
      <w:r>
        <w:rPr>
          <w:rFonts w:eastAsia="Times New Roman" w:cs="Times New Roman"/>
          <w:b/>
          <w:szCs w:val="24"/>
        </w:rPr>
        <w:t>eceased) (2020) SUCC P&amp;A CAUSE 1 OF 2019</w:t>
      </w:r>
      <w:r>
        <w:rPr>
          <w:rFonts w:eastAsia="Times New Roman" w:cs="Times New Roman"/>
          <w:szCs w:val="24"/>
        </w:rPr>
        <w:t>, makes the following considerations;</w:t>
      </w:r>
    </w:p>
    <w:p w14:paraId="6A8103D5" w14:textId="77777777" w:rsidR="0026676C" w:rsidRDefault="004A315C">
      <w:pPr>
        <w:numPr>
          <w:ilvl w:val="0"/>
          <w:numId w:val="6"/>
        </w:numPr>
        <w:spacing w:before="200" w:after="160" w:line="360" w:lineRule="auto"/>
        <w:jc w:val="both"/>
        <w:rPr>
          <w:rFonts w:eastAsia="Times New Roman" w:cs="Times New Roman"/>
          <w:b/>
          <w:szCs w:val="24"/>
        </w:rPr>
      </w:pPr>
      <w:r>
        <w:rPr>
          <w:rFonts w:eastAsia="Times New Roman" w:cs="Times New Roman"/>
          <w:szCs w:val="24"/>
        </w:rPr>
        <w:t xml:space="preserve">That the Summons for confirmation of a grant issued to the personal representative and an affidavit in support of the summons are before the court – </w:t>
      </w:r>
      <w:r>
        <w:rPr>
          <w:rFonts w:eastAsia="Times New Roman" w:cs="Times New Roman"/>
          <w:b/>
          <w:szCs w:val="24"/>
        </w:rPr>
        <w:t>Form 108</w:t>
      </w:r>
    </w:p>
    <w:p w14:paraId="727CE774" w14:textId="77777777" w:rsidR="0026676C" w:rsidRDefault="004A315C">
      <w:pPr>
        <w:numPr>
          <w:ilvl w:val="0"/>
          <w:numId w:val="6"/>
        </w:numPr>
        <w:spacing w:before="200" w:after="160" w:line="360" w:lineRule="auto"/>
        <w:jc w:val="both"/>
        <w:rPr>
          <w:rFonts w:eastAsia="Times New Roman" w:cs="Times New Roman"/>
          <w:b/>
          <w:szCs w:val="24"/>
        </w:rPr>
      </w:pPr>
      <w:r>
        <w:rPr>
          <w:rFonts w:eastAsia="Times New Roman" w:cs="Times New Roman"/>
          <w:szCs w:val="24"/>
        </w:rPr>
        <w:t xml:space="preserve">That the mode of distribution of the Estate has been consented to by all listed beneficiaries – </w:t>
      </w:r>
      <w:r>
        <w:rPr>
          <w:rFonts w:eastAsia="Times New Roman" w:cs="Times New Roman"/>
          <w:b/>
          <w:szCs w:val="24"/>
        </w:rPr>
        <w:t>Form 37</w:t>
      </w:r>
    </w:p>
    <w:p w14:paraId="3CC84E9E" w14:textId="77777777" w:rsidR="0026676C" w:rsidRDefault="004A315C">
      <w:pPr>
        <w:numPr>
          <w:ilvl w:val="0"/>
          <w:numId w:val="6"/>
        </w:numPr>
        <w:spacing w:before="200" w:after="160" w:line="360" w:lineRule="auto"/>
        <w:jc w:val="both"/>
        <w:rPr>
          <w:rFonts w:eastAsia="Times New Roman" w:cs="Times New Roman"/>
          <w:szCs w:val="24"/>
        </w:rPr>
      </w:pPr>
      <w:r>
        <w:rPr>
          <w:rFonts w:eastAsia="Times New Roman" w:cs="Times New Roman"/>
          <w:szCs w:val="24"/>
        </w:rPr>
        <w:t xml:space="preserve">That all beneficiaries attend court and henceforth confirm that they endorsed the consent and are in agreement on mode of distribution of the Estate </w:t>
      </w:r>
    </w:p>
    <w:p w14:paraId="6B7CD871" w14:textId="77777777" w:rsidR="0026676C" w:rsidRDefault="004A315C">
      <w:pPr>
        <w:spacing w:before="200" w:line="360" w:lineRule="auto"/>
        <w:jc w:val="both"/>
        <w:rPr>
          <w:rFonts w:eastAsia="Times New Roman" w:cs="Times New Roman"/>
          <w:szCs w:val="24"/>
        </w:rPr>
      </w:pPr>
      <w:r>
        <w:rPr>
          <w:rFonts w:eastAsia="Times New Roman" w:cs="Times New Roman"/>
          <w:szCs w:val="24"/>
        </w:rPr>
        <w:t xml:space="preserve">Consequently, the court, being satisfied of there being no objection or protest to the confirmation of the grant and the above considerations being met, it shall proceed to confirm the grant and issue a certificate of confirmation of the grant. </w:t>
      </w:r>
    </w:p>
    <w:p w14:paraId="2F88471C" w14:textId="77777777" w:rsidR="0026676C" w:rsidRDefault="004A315C">
      <w:pPr>
        <w:spacing w:before="200" w:line="360" w:lineRule="auto"/>
        <w:jc w:val="both"/>
        <w:rPr>
          <w:rFonts w:eastAsia="Times New Roman" w:cs="Times New Roman"/>
          <w:szCs w:val="24"/>
        </w:rPr>
      </w:pPr>
      <w:r>
        <w:rPr>
          <w:rFonts w:eastAsia="Times New Roman" w:cs="Times New Roman"/>
          <w:szCs w:val="24"/>
        </w:rPr>
        <w:t xml:space="preserve">The certificate of confirmation issued following the confirmation of the grant must bear the identities of all persons beneficially entitled and their respective shares. </w:t>
      </w:r>
      <w:r>
        <w:rPr>
          <w:rFonts w:eastAsia="Times New Roman" w:cs="Times New Roman"/>
          <w:b/>
          <w:i/>
          <w:szCs w:val="24"/>
        </w:rPr>
        <w:t>In the Matter of the Estate of Justus Wangai Muthiru (deceased</w:t>
      </w:r>
      <w:r>
        <w:rPr>
          <w:rFonts w:eastAsia="Times New Roman" w:cs="Times New Roman"/>
          <w:i/>
          <w:szCs w:val="24"/>
        </w:rPr>
        <w:t xml:space="preserve">) </w:t>
      </w:r>
      <w:r>
        <w:rPr>
          <w:rFonts w:eastAsia="Times New Roman" w:cs="Times New Roman"/>
          <w:szCs w:val="24"/>
        </w:rPr>
        <w:t xml:space="preserve">Waweru J held that a certificate which did not contain the names of some of the beneficiaries was to be cancelled and the order of confirmation granting it was as well to be set aside.  </w:t>
      </w:r>
    </w:p>
    <w:p w14:paraId="1A1CD1EB" w14:textId="77777777" w:rsidR="0026676C" w:rsidRDefault="004A315C">
      <w:pPr>
        <w:spacing w:before="200" w:line="360" w:lineRule="auto"/>
        <w:jc w:val="both"/>
        <w:rPr>
          <w:rFonts w:eastAsia="Times New Roman" w:cs="Times New Roman"/>
          <w:szCs w:val="24"/>
        </w:rPr>
      </w:pPr>
      <w:r>
        <w:rPr>
          <w:rFonts w:eastAsia="Times New Roman" w:cs="Times New Roman"/>
          <w:b/>
          <w:szCs w:val="24"/>
        </w:rPr>
        <w:t xml:space="preserve">Rule 40(8) of the Probate and Administration Rules </w:t>
      </w:r>
      <w:r>
        <w:rPr>
          <w:rFonts w:eastAsia="Times New Roman" w:cs="Times New Roman"/>
          <w:szCs w:val="24"/>
        </w:rPr>
        <w:t xml:space="preserve">requires that all dependants or other persons who are beneficially entitled to the estate to consent in writing to the confirmation. It provides, inter alia, that where no affidavit of protest has been filed, the summons and affidavit shall without delay be placed by the registrar before the court by which the grant was issued. On receipt of the consent in writing in </w:t>
      </w:r>
      <w:r>
        <w:rPr>
          <w:rFonts w:eastAsia="Times New Roman" w:cs="Times New Roman"/>
          <w:b/>
          <w:szCs w:val="24"/>
        </w:rPr>
        <w:t>Form 37</w:t>
      </w:r>
      <w:r>
        <w:rPr>
          <w:rFonts w:eastAsia="Times New Roman" w:cs="Times New Roman"/>
          <w:szCs w:val="24"/>
        </w:rPr>
        <w:t xml:space="preserve"> of all dependants or other persons who may be beneficially entitled, the court may allow the application without the attendance of any person. Where such consents are not obtained the confirmation proceedings would, as stated by Kamau J in </w:t>
      </w:r>
      <w:r>
        <w:rPr>
          <w:rFonts w:eastAsia="Times New Roman" w:cs="Times New Roman"/>
          <w:b/>
          <w:i/>
          <w:szCs w:val="24"/>
        </w:rPr>
        <w:t>In the Matter of the Estate of Gathima Chege (deceased) Nairobi HCSC No. 1955 of 1996</w:t>
      </w:r>
      <w:r>
        <w:rPr>
          <w:rFonts w:eastAsia="Times New Roman" w:cs="Times New Roman"/>
          <w:szCs w:val="24"/>
        </w:rPr>
        <w:t xml:space="preserve">, be defective in substance and liable for setting aside.  </w:t>
      </w:r>
    </w:p>
    <w:p w14:paraId="5EADE88E" w14:textId="77777777" w:rsidR="0026676C" w:rsidRDefault="004A315C">
      <w:pPr>
        <w:spacing w:before="200" w:line="360" w:lineRule="auto"/>
        <w:jc w:val="both"/>
        <w:rPr>
          <w:rFonts w:eastAsia="Times New Roman" w:cs="Times New Roman"/>
          <w:b/>
          <w:szCs w:val="24"/>
        </w:rPr>
      </w:pPr>
      <w:r>
        <w:rPr>
          <w:rFonts w:eastAsia="Times New Roman" w:cs="Times New Roman"/>
          <w:b/>
          <w:i/>
          <w:szCs w:val="24"/>
        </w:rPr>
        <w:t>In the Matter of the Estate of Benjamin Mugunyu Kiyo (deceased) Nairobi HCSC No. 2678 of 2001</w:t>
      </w:r>
      <w:r>
        <w:rPr>
          <w:rFonts w:eastAsia="Times New Roman" w:cs="Times New Roman"/>
          <w:i/>
          <w:szCs w:val="24"/>
        </w:rPr>
        <w:t>,</w:t>
      </w:r>
      <w:r>
        <w:rPr>
          <w:rFonts w:eastAsia="Times New Roman" w:cs="Times New Roman"/>
          <w:szCs w:val="24"/>
        </w:rPr>
        <w:t xml:space="preserve"> Ang’awa J stated that even a beneficiary who has disclaimed their right to a share of the estate should file a consent to the confirmation in accordance with </w:t>
      </w:r>
      <w:r>
        <w:rPr>
          <w:rFonts w:eastAsia="Times New Roman" w:cs="Times New Roman"/>
          <w:b/>
          <w:szCs w:val="24"/>
        </w:rPr>
        <w:t>Rule 40 (8) of the Probate and Administration Rules.</w:t>
      </w:r>
    </w:p>
    <w:p w14:paraId="50BF74A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Essentially, </w:t>
      </w:r>
      <w:r>
        <w:rPr>
          <w:rFonts w:eastAsia="Times New Roman" w:cs="Times New Roman"/>
          <w:b/>
          <w:szCs w:val="24"/>
        </w:rPr>
        <w:t xml:space="preserve">Rule 41(5) </w:t>
      </w:r>
      <w:r>
        <w:rPr>
          <w:rFonts w:eastAsia="Times New Roman" w:cs="Times New Roman"/>
          <w:szCs w:val="24"/>
        </w:rPr>
        <w:t xml:space="preserve">states that where the court in exercise of its power under section </w:t>
      </w:r>
      <w:r>
        <w:rPr>
          <w:rFonts w:eastAsia="Times New Roman" w:cs="Times New Roman"/>
          <w:b/>
          <w:szCs w:val="24"/>
        </w:rPr>
        <w:t xml:space="preserve">71(2)(a) </w:t>
      </w:r>
      <w:r>
        <w:rPr>
          <w:rFonts w:eastAsia="Times New Roman" w:cs="Times New Roman"/>
          <w:szCs w:val="24"/>
        </w:rPr>
        <w:t xml:space="preserve">of the Act directs that a grant be confirmed it shall cause a certificate of such confirmation in </w:t>
      </w:r>
      <w:r>
        <w:rPr>
          <w:rFonts w:eastAsia="Times New Roman" w:cs="Times New Roman"/>
          <w:b/>
          <w:szCs w:val="24"/>
        </w:rPr>
        <w:t>Form 54</w:t>
      </w:r>
      <w:r>
        <w:rPr>
          <w:rFonts w:eastAsia="Times New Roman" w:cs="Times New Roman"/>
          <w:szCs w:val="24"/>
        </w:rPr>
        <w:t xml:space="preserve"> to be affixed to the grant together with the seal of the court and shall appoint a date not more than six months ahead, by which time the accounts of the completed administration shall be produced to the court for its approval. </w:t>
      </w:r>
    </w:p>
    <w:p w14:paraId="5BEB78DF"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The court </w:t>
      </w:r>
      <w:r>
        <w:rPr>
          <w:rFonts w:eastAsia="Times New Roman" w:cs="Times New Roman"/>
          <w:b/>
          <w:i/>
          <w:szCs w:val="24"/>
        </w:rPr>
        <w:t>In Re Estate of Joel Cheruiyot Ronoh [2016] eKLR</w:t>
      </w:r>
      <w:r>
        <w:rPr>
          <w:rFonts w:eastAsia="Times New Roman" w:cs="Times New Roman"/>
          <w:i/>
          <w:szCs w:val="24"/>
        </w:rPr>
        <w:t xml:space="preserve"> </w:t>
      </w:r>
      <w:r>
        <w:rPr>
          <w:rFonts w:eastAsia="Times New Roman" w:cs="Times New Roman"/>
          <w:szCs w:val="24"/>
        </w:rPr>
        <w:t xml:space="preserve">held that it is worthy to note that a certificate of confirmation of a grant is not a grant of representation, but a certificate to the effect that the grant had been confirmed by the court. It further held that a certificate of confirmation of a grant is an extract from a court order made in the confirmation proceedings. </w:t>
      </w:r>
    </w:p>
    <w:p w14:paraId="7388D80D"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Additionally, </w:t>
      </w:r>
      <w:r>
        <w:rPr>
          <w:rFonts w:eastAsia="Times New Roman" w:cs="Times New Roman"/>
          <w:b/>
          <w:szCs w:val="24"/>
        </w:rPr>
        <w:t xml:space="preserve">Rule 41(6) </w:t>
      </w:r>
      <w:r>
        <w:rPr>
          <w:rFonts w:eastAsia="Times New Roman" w:cs="Times New Roman"/>
          <w:szCs w:val="24"/>
        </w:rPr>
        <w:t xml:space="preserve">read together with Section </w:t>
      </w:r>
      <w:r>
        <w:rPr>
          <w:rFonts w:eastAsia="Times New Roman" w:cs="Times New Roman"/>
          <w:b/>
          <w:szCs w:val="24"/>
        </w:rPr>
        <w:t>71(2)(b)</w:t>
      </w:r>
      <w:r>
        <w:rPr>
          <w:rFonts w:eastAsia="Times New Roman" w:cs="Times New Roman"/>
          <w:szCs w:val="24"/>
        </w:rPr>
        <w:t xml:space="preserve"> of the Act states that the curt shall direct issue of grant to another administrator instead of confirming the grant already issued and such grant shall be in </w:t>
      </w:r>
      <w:r>
        <w:rPr>
          <w:rFonts w:eastAsia="Times New Roman" w:cs="Times New Roman"/>
          <w:b/>
          <w:szCs w:val="24"/>
        </w:rPr>
        <w:t>Form 55</w:t>
      </w:r>
      <w:r>
        <w:rPr>
          <w:rFonts w:eastAsia="Times New Roman" w:cs="Times New Roman"/>
          <w:szCs w:val="24"/>
        </w:rPr>
        <w:t>.</w:t>
      </w:r>
    </w:p>
    <w:p w14:paraId="63D57124" w14:textId="77777777" w:rsidR="0026676C" w:rsidRDefault="004A315C">
      <w:pPr>
        <w:spacing w:before="200" w:after="280" w:line="360" w:lineRule="auto"/>
        <w:jc w:val="both"/>
        <w:rPr>
          <w:rFonts w:eastAsia="Times New Roman" w:cs="Times New Roman"/>
          <w:szCs w:val="24"/>
        </w:rPr>
      </w:pPr>
      <w:r>
        <w:rPr>
          <w:rFonts w:eastAsia="Times New Roman" w:cs="Times New Roman"/>
          <w:szCs w:val="24"/>
        </w:rPr>
        <w:t>If there are no protests to the grant issued to Kelline, the court shall proceed to confirm the grant and issue her a certificate to that effect.</w:t>
      </w:r>
    </w:p>
    <w:p w14:paraId="0E626D30" w14:textId="77777777" w:rsidR="0026676C" w:rsidRDefault="004A315C" w:rsidP="00984F98">
      <w:pPr>
        <w:pStyle w:val="Heading2"/>
        <w:numPr>
          <w:ilvl w:val="0"/>
          <w:numId w:val="17"/>
        </w:numPr>
      </w:pPr>
      <w:bookmarkStart w:id="13" w:name="_4d34og8" w:colFirst="0" w:colLast="0"/>
      <w:bookmarkStart w:id="14" w:name="_Toc115977738"/>
      <w:bookmarkEnd w:id="13"/>
      <w:r>
        <w:t>WHAT HAPPENS DURING CONTENTIOUS PROBATE HEARINGS?</w:t>
      </w:r>
      <w:bookmarkEnd w:id="14"/>
    </w:p>
    <w:p w14:paraId="71038E9F"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Contentious probate refers to proceedings in which objections have been lodged to the making or confirmation of a grant. In the current case, Penzi and Clovour filed objections as to the application for the grant of letters of administration made by Kelline. </w:t>
      </w:r>
    </w:p>
    <w:p w14:paraId="30834ED7"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Once summons for confirmation is lodged, whoever is opposed to the proposed distribution is obligated to lodge an affidavit of protest at the registry. </w:t>
      </w:r>
      <w:r>
        <w:rPr>
          <w:rFonts w:eastAsia="Times New Roman" w:cs="Times New Roman"/>
          <w:b/>
          <w:szCs w:val="24"/>
        </w:rPr>
        <w:t>Section 67(1)</w:t>
      </w:r>
      <w:r>
        <w:rPr>
          <w:rFonts w:eastAsia="Times New Roman" w:cs="Times New Roman"/>
          <w:szCs w:val="24"/>
        </w:rPr>
        <w:t xml:space="preserve"> of the Law of Succession Act and </w:t>
      </w:r>
      <w:r>
        <w:rPr>
          <w:rFonts w:eastAsia="Times New Roman" w:cs="Times New Roman"/>
          <w:b/>
          <w:szCs w:val="24"/>
        </w:rPr>
        <w:t>Rule 17</w:t>
      </w:r>
      <w:r>
        <w:rPr>
          <w:rFonts w:eastAsia="Times New Roman" w:cs="Times New Roman"/>
          <w:szCs w:val="24"/>
        </w:rPr>
        <w:t xml:space="preserve"> of Probate and Administration Rules requires that an applicant for issuance of a grant must publish a notice of such application to invite objections to the same.  The application becomes contentious if a protest is lodged against the confirmation by either a caveat or by the beneficiaries. </w:t>
      </w:r>
    </w:p>
    <w:p w14:paraId="3874694B"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As was previously established, Penzi and Clovour have the locus to institute an objection to the making of the grant to Kelline. The aspect of locus was addressed in </w:t>
      </w:r>
      <w:r>
        <w:rPr>
          <w:rFonts w:eastAsia="Times New Roman" w:cs="Times New Roman"/>
          <w:b/>
          <w:i/>
          <w:szCs w:val="24"/>
        </w:rPr>
        <w:t>Re Estate of Solomn Mwangi Waweru (Deceased) [2018] eKLR,</w:t>
      </w:r>
      <w:r>
        <w:rPr>
          <w:rFonts w:eastAsia="Times New Roman" w:cs="Times New Roman"/>
          <w:szCs w:val="24"/>
        </w:rPr>
        <w:t xml:space="preserve"> wherein the court held that any person with an interest in the deceased’s estate can institute objection proceedings. Both Penzi and Clovour have identified interests in Highness’s estate: Penzi being a mother to six of the deceased’s children and Clovour being a wife as per </w:t>
      </w:r>
      <w:r>
        <w:rPr>
          <w:rFonts w:eastAsia="Times New Roman" w:cs="Times New Roman"/>
          <w:b/>
          <w:szCs w:val="24"/>
        </w:rPr>
        <w:t xml:space="preserve">section 3(5) </w:t>
      </w:r>
      <w:r>
        <w:rPr>
          <w:rFonts w:eastAsia="Times New Roman" w:cs="Times New Roman"/>
          <w:szCs w:val="24"/>
        </w:rPr>
        <w:t xml:space="preserve">of the </w:t>
      </w:r>
      <w:r>
        <w:rPr>
          <w:rFonts w:eastAsia="Times New Roman" w:cs="Times New Roman"/>
          <w:b/>
          <w:szCs w:val="24"/>
        </w:rPr>
        <w:t>Law of Succession Act</w:t>
      </w:r>
      <w:r>
        <w:rPr>
          <w:rFonts w:eastAsia="Times New Roman" w:cs="Times New Roman"/>
          <w:szCs w:val="24"/>
        </w:rPr>
        <w:t>.</w:t>
      </w:r>
    </w:p>
    <w:p w14:paraId="64F83E42" w14:textId="77777777" w:rsidR="0026676C" w:rsidRDefault="00DE54ED">
      <w:pPr>
        <w:spacing w:before="200" w:after="160" w:line="360" w:lineRule="auto"/>
        <w:jc w:val="both"/>
        <w:rPr>
          <w:rFonts w:eastAsia="Times New Roman" w:cs="Times New Roman"/>
          <w:b/>
          <w:szCs w:val="24"/>
        </w:rPr>
      </w:pPr>
      <w:r>
        <w:rPr>
          <w:rFonts w:eastAsia="Times New Roman" w:cs="Times New Roman"/>
          <w:b/>
          <w:szCs w:val="24"/>
        </w:rPr>
        <w:t>Grounds u</w:t>
      </w:r>
      <w:r w:rsidR="004A315C">
        <w:rPr>
          <w:rFonts w:eastAsia="Times New Roman" w:cs="Times New Roman"/>
          <w:b/>
          <w:szCs w:val="24"/>
        </w:rPr>
        <w:t>pon Which the Objections may be Filed</w:t>
      </w:r>
    </w:p>
    <w:p w14:paraId="227945E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Penzi and Clovour filed their objections in relation to the right to administration or entitlement to a grant. Both of them fall within the same degree of priority as beneficiaries to Highness’ estate, therefore, Kelline’s attempt to disinherit them gave them enough grounds to file such an objection. </w:t>
      </w:r>
    </w:p>
    <w:p w14:paraId="217BF6FB"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In the </w:t>
      </w:r>
      <w:r>
        <w:rPr>
          <w:rFonts w:eastAsia="Times New Roman" w:cs="Times New Roman"/>
          <w:b/>
          <w:i/>
          <w:szCs w:val="24"/>
        </w:rPr>
        <w:t>Matter of the Estate of Wanjihia Njuguna (deceased)</w:t>
      </w:r>
      <w:r w:rsidR="00B867D3">
        <w:rPr>
          <w:rFonts w:eastAsia="Times New Roman" w:cs="Times New Roman"/>
          <w:b/>
          <w:i/>
          <w:szCs w:val="24"/>
        </w:rPr>
        <w:t xml:space="preserve"> </w:t>
      </w:r>
      <w:r>
        <w:rPr>
          <w:rFonts w:eastAsia="Times New Roman" w:cs="Times New Roman"/>
          <w:b/>
          <w:i/>
          <w:szCs w:val="24"/>
        </w:rPr>
        <w:t>Nairobi HCSC 5333 of 2002 (Ang’awa J)</w:t>
      </w:r>
      <w:r>
        <w:rPr>
          <w:rFonts w:eastAsia="Times New Roman" w:cs="Times New Roman"/>
          <w:szCs w:val="24"/>
        </w:rPr>
        <w:t xml:space="preserve"> the court declined to grant confirmation because the daughters had not been included in the list of beneficiaries. It was held that section 35 of the Law of Succession Act had not been complied with. A similar finding was made in the Matter of the Estate of </w:t>
      </w:r>
      <w:r>
        <w:rPr>
          <w:rFonts w:eastAsia="Times New Roman" w:cs="Times New Roman"/>
          <w:b/>
          <w:i/>
          <w:szCs w:val="24"/>
        </w:rPr>
        <w:t>Benjamin Mugunyu Kiyo</w:t>
      </w:r>
      <w:r w:rsidR="00984F98">
        <w:rPr>
          <w:rFonts w:eastAsia="Times New Roman" w:cs="Times New Roman"/>
          <w:b/>
          <w:i/>
          <w:szCs w:val="24"/>
        </w:rPr>
        <w:t xml:space="preserve"> </w:t>
      </w:r>
      <w:r>
        <w:rPr>
          <w:rFonts w:eastAsia="Times New Roman" w:cs="Times New Roman"/>
          <w:b/>
          <w:i/>
          <w:szCs w:val="24"/>
        </w:rPr>
        <w:t>Nairobi HCSC No. 2678 of 2001 (Ang’awa J).</w:t>
      </w:r>
      <w:r>
        <w:rPr>
          <w:rFonts w:eastAsia="Times New Roman" w:cs="Times New Roman"/>
          <w:szCs w:val="24"/>
        </w:rPr>
        <w:t xml:space="preserve"> </w:t>
      </w:r>
    </w:p>
    <w:p w14:paraId="2BBEADE9" w14:textId="77777777" w:rsidR="0026676C" w:rsidRDefault="004A315C">
      <w:pPr>
        <w:spacing w:before="200" w:line="360" w:lineRule="auto"/>
        <w:jc w:val="both"/>
        <w:rPr>
          <w:rFonts w:eastAsia="Times New Roman" w:cs="Times New Roman"/>
          <w:b/>
          <w:szCs w:val="24"/>
        </w:rPr>
      </w:pPr>
      <w:r>
        <w:rPr>
          <w:rFonts w:eastAsia="Times New Roman" w:cs="Times New Roman"/>
          <w:szCs w:val="24"/>
        </w:rPr>
        <w:t xml:space="preserve">In the matter of the </w:t>
      </w:r>
      <w:r>
        <w:rPr>
          <w:rFonts w:eastAsia="Times New Roman" w:cs="Times New Roman"/>
          <w:b/>
          <w:i/>
          <w:szCs w:val="24"/>
        </w:rPr>
        <w:t>Estate of Ellah Wamae Nthawa (deceased)</w:t>
      </w:r>
      <w:r w:rsidR="00B867D3">
        <w:rPr>
          <w:rFonts w:eastAsia="Times New Roman" w:cs="Times New Roman"/>
          <w:b/>
          <w:i/>
          <w:szCs w:val="24"/>
        </w:rPr>
        <w:t xml:space="preserve"> </w:t>
      </w:r>
      <w:r>
        <w:rPr>
          <w:rFonts w:eastAsia="Times New Roman" w:cs="Times New Roman"/>
          <w:b/>
          <w:i/>
          <w:szCs w:val="24"/>
        </w:rPr>
        <w:t xml:space="preserve">Nairobi HCSC No. 971 of 2001 (Ang’awaJ) </w:t>
      </w:r>
      <w:r>
        <w:rPr>
          <w:rFonts w:eastAsia="Times New Roman" w:cs="Times New Roman"/>
          <w:szCs w:val="24"/>
        </w:rPr>
        <w:t>confirmation was denied because a daughter was given a very small share of the property relative to the shares given to the brothers.</w:t>
      </w:r>
      <w:r>
        <w:rPr>
          <w:rFonts w:eastAsia="Times New Roman" w:cs="Times New Roman"/>
          <w:b/>
          <w:szCs w:val="24"/>
        </w:rPr>
        <w:t xml:space="preserve"> </w:t>
      </w:r>
    </w:p>
    <w:p w14:paraId="4D229C5C" w14:textId="77777777" w:rsidR="0026676C" w:rsidRDefault="004A315C">
      <w:pPr>
        <w:spacing w:before="200" w:line="360" w:lineRule="auto"/>
        <w:jc w:val="both"/>
        <w:rPr>
          <w:rFonts w:eastAsia="Times New Roman" w:cs="Times New Roman"/>
          <w:szCs w:val="24"/>
        </w:rPr>
      </w:pPr>
      <w:r>
        <w:rPr>
          <w:rFonts w:eastAsia="Times New Roman" w:cs="Times New Roman"/>
          <w:b/>
          <w:szCs w:val="24"/>
        </w:rPr>
        <w:t>Rule 40(5)(6) of the P&amp;A Rules</w:t>
      </w:r>
      <w:r>
        <w:rPr>
          <w:rFonts w:eastAsia="Times New Roman" w:cs="Times New Roman"/>
          <w:szCs w:val="24"/>
        </w:rPr>
        <w:t xml:space="preserve"> states that upon making application for confirmation of grant in the prescribed form, the registrar or resident magistrate should send notices to caveators alerting them of such an application to notify them that they should file and affidavit of protest should they wish to object to the making of such grant. </w:t>
      </w:r>
    </w:p>
    <w:p w14:paraId="43D551A9" w14:textId="77777777" w:rsidR="0026676C" w:rsidRDefault="004A315C">
      <w:pPr>
        <w:spacing w:before="200" w:line="360" w:lineRule="auto"/>
        <w:jc w:val="both"/>
        <w:rPr>
          <w:rFonts w:eastAsia="Times New Roman" w:cs="Times New Roman"/>
          <w:szCs w:val="24"/>
        </w:rPr>
      </w:pPr>
      <w:r>
        <w:rPr>
          <w:rFonts w:eastAsia="Times New Roman" w:cs="Times New Roman"/>
          <w:szCs w:val="24"/>
        </w:rPr>
        <w:t xml:space="preserve">In the </w:t>
      </w:r>
      <w:r>
        <w:rPr>
          <w:rFonts w:eastAsia="Times New Roman" w:cs="Times New Roman"/>
          <w:b/>
          <w:i/>
          <w:szCs w:val="24"/>
        </w:rPr>
        <w:t>Matter of the Estate of Lab</w:t>
      </w:r>
      <w:r w:rsidR="00984F98">
        <w:rPr>
          <w:rFonts w:eastAsia="Times New Roman" w:cs="Times New Roman"/>
          <w:b/>
          <w:i/>
          <w:szCs w:val="24"/>
        </w:rPr>
        <w:t>an Gikonyo Kamau (deceased) Nai</w:t>
      </w:r>
      <w:r>
        <w:rPr>
          <w:rFonts w:eastAsia="Times New Roman" w:cs="Times New Roman"/>
          <w:b/>
          <w:i/>
          <w:szCs w:val="24"/>
        </w:rPr>
        <w:t>r</w:t>
      </w:r>
      <w:r w:rsidR="00984F98">
        <w:rPr>
          <w:rFonts w:eastAsia="Times New Roman" w:cs="Times New Roman"/>
          <w:b/>
          <w:i/>
          <w:szCs w:val="24"/>
        </w:rPr>
        <w:t>o</w:t>
      </w:r>
      <w:r>
        <w:rPr>
          <w:rFonts w:eastAsia="Times New Roman" w:cs="Times New Roman"/>
          <w:b/>
          <w:i/>
          <w:szCs w:val="24"/>
        </w:rPr>
        <w:t>bi High Court Succession Cause Number 84 of 1999</w:t>
      </w:r>
      <w:r>
        <w:rPr>
          <w:rFonts w:eastAsia="Times New Roman" w:cs="Times New Roman"/>
          <w:szCs w:val="24"/>
        </w:rPr>
        <w:t xml:space="preserve">, the court stated that this affidavit is the key foundation for a protestor to make a claim against the estate of the deceased person. </w:t>
      </w:r>
    </w:p>
    <w:p w14:paraId="69AA8ADF" w14:textId="77777777" w:rsidR="00984F98" w:rsidRDefault="004A315C" w:rsidP="00984F98">
      <w:pPr>
        <w:spacing w:before="200" w:line="360" w:lineRule="auto"/>
        <w:jc w:val="both"/>
        <w:rPr>
          <w:rFonts w:eastAsia="Times New Roman" w:cs="Times New Roman"/>
          <w:szCs w:val="24"/>
        </w:rPr>
      </w:pPr>
      <w:r>
        <w:rPr>
          <w:rFonts w:eastAsia="Times New Roman" w:cs="Times New Roman"/>
          <w:szCs w:val="24"/>
        </w:rPr>
        <w:t xml:space="preserve">Once the affidavit of protest is lodged, the registrar is the required to furnish the applicant in the confirmation application with a copy of the affidavit of protest. The usual practice is for the protestor to service the affidavit of protest on the administrator applicant. The matter thereafter goes for direction </w:t>
      </w:r>
      <w:r w:rsidR="00B867D3">
        <w:rPr>
          <w:rFonts w:eastAsia="Times New Roman" w:cs="Times New Roman"/>
          <w:szCs w:val="24"/>
        </w:rPr>
        <w:t>w</w:t>
      </w:r>
      <w:r>
        <w:rPr>
          <w:rFonts w:eastAsia="Times New Roman" w:cs="Times New Roman"/>
          <w:szCs w:val="24"/>
        </w:rPr>
        <w:t xml:space="preserve">here the court shall grant a hearing date. Upon receipt of the objection, the court should notify the person or persons by whom the application for a grant has been made and at the same time require the objector to file answer to the petition together with a petition by way of cross application. </w:t>
      </w:r>
      <w:bookmarkStart w:id="15" w:name="_2s8eyo1" w:colFirst="0" w:colLast="0"/>
      <w:bookmarkEnd w:id="15"/>
    </w:p>
    <w:p w14:paraId="4E9E7BFB" w14:textId="77777777" w:rsidR="0026676C" w:rsidRPr="00984F98" w:rsidRDefault="004A315C" w:rsidP="00984F98">
      <w:pPr>
        <w:pStyle w:val="Heading2"/>
        <w:numPr>
          <w:ilvl w:val="0"/>
          <w:numId w:val="17"/>
        </w:numPr>
        <w:rPr>
          <w:rFonts w:cs="Times New Roman"/>
        </w:rPr>
      </w:pPr>
      <w:bookmarkStart w:id="16" w:name="_Toc115977739"/>
      <w:r w:rsidRPr="00984F98">
        <w:t>WHAT RULING SHOULD KELLINE EXPECT?</w:t>
      </w:r>
      <w:bookmarkEnd w:id="16"/>
      <w:r w:rsidRPr="00984F98">
        <w:t xml:space="preserve"> </w:t>
      </w:r>
    </w:p>
    <w:p w14:paraId="31072666"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Kelline may expect one of the three outcomes; </w:t>
      </w:r>
    </w:p>
    <w:p w14:paraId="7A58E534" w14:textId="77777777" w:rsidR="0026676C" w:rsidRDefault="004A315C">
      <w:pPr>
        <w:pStyle w:val="ListParagraph"/>
        <w:numPr>
          <w:ilvl w:val="0"/>
          <w:numId w:val="15"/>
        </w:numPr>
        <w:spacing w:before="200" w:after="160" w:line="360" w:lineRule="auto"/>
        <w:jc w:val="both"/>
        <w:rPr>
          <w:rFonts w:eastAsia="Times New Roman" w:cs="Times New Roman"/>
          <w:szCs w:val="24"/>
        </w:rPr>
      </w:pPr>
      <w:r>
        <w:rPr>
          <w:rFonts w:eastAsia="Times New Roman" w:cs="Times New Roman"/>
          <w:szCs w:val="24"/>
        </w:rPr>
        <w:t xml:space="preserve">Confirmation of the grant </w:t>
      </w:r>
    </w:p>
    <w:p w14:paraId="3F5DE70A" w14:textId="77777777" w:rsidR="0026676C" w:rsidRDefault="004A315C">
      <w:pPr>
        <w:pStyle w:val="ListParagraph"/>
        <w:numPr>
          <w:ilvl w:val="0"/>
          <w:numId w:val="15"/>
        </w:numPr>
        <w:spacing w:before="200" w:after="160" w:line="360" w:lineRule="auto"/>
        <w:jc w:val="both"/>
        <w:rPr>
          <w:rFonts w:eastAsia="Times New Roman" w:cs="Times New Roman"/>
          <w:szCs w:val="24"/>
        </w:rPr>
      </w:pPr>
      <w:r>
        <w:rPr>
          <w:rFonts w:eastAsia="Times New Roman" w:cs="Times New Roman"/>
          <w:szCs w:val="24"/>
        </w:rPr>
        <w:t xml:space="preserve">Referral for rectification of the grant </w:t>
      </w:r>
    </w:p>
    <w:p w14:paraId="10753AE2" w14:textId="77777777" w:rsidR="0026676C" w:rsidRDefault="004A315C">
      <w:pPr>
        <w:pStyle w:val="ListParagraph"/>
        <w:numPr>
          <w:ilvl w:val="0"/>
          <w:numId w:val="15"/>
        </w:numPr>
        <w:spacing w:before="200" w:after="160" w:line="360" w:lineRule="auto"/>
        <w:jc w:val="both"/>
        <w:rPr>
          <w:rFonts w:eastAsia="Times New Roman" w:cs="Times New Roman"/>
          <w:szCs w:val="24"/>
        </w:rPr>
      </w:pPr>
      <w:r>
        <w:rPr>
          <w:rFonts w:eastAsia="Times New Roman" w:cs="Times New Roman"/>
          <w:szCs w:val="24"/>
        </w:rPr>
        <w:t xml:space="preserve">Revocation of the grant </w:t>
      </w:r>
    </w:p>
    <w:p w14:paraId="7C60B82E" w14:textId="77777777" w:rsidR="0026676C" w:rsidRDefault="0026676C">
      <w:pPr>
        <w:spacing w:before="200" w:after="160" w:line="360" w:lineRule="auto"/>
        <w:jc w:val="both"/>
        <w:rPr>
          <w:rFonts w:eastAsia="Times New Roman" w:cs="Times New Roman"/>
          <w:szCs w:val="24"/>
        </w:rPr>
      </w:pPr>
    </w:p>
    <w:p w14:paraId="2586B2E0" w14:textId="77777777" w:rsidR="0026676C" w:rsidRDefault="004A315C" w:rsidP="00984F98">
      <w:pPr>
        <w:pStyle w:val="Heading3"/>
        <w:numPr>
          <w:ilvl w:val="0"/>
          <w:numId w:val="20"/>
        </w:numPr>
        <w:rPr>
          <w:rFonts w:eastAsia="Times New Roman"/>
        </w:rPr>
      </w:pPr>
      <w:bookmarkStart w:id="17" w:name="_Toc115977740"/>
      <w:r>
        <w:rPr>
          <w:rFonts w:eastAsia="Times New Roman"/>
        </w:rPr>
        <w:t>Where the Grant is Confirmed</w:t>
      </w:r>
      <w:bookmarkEnd w:id="17"/>
      <w:r>
        <w:rPr>
          <w:rFonts w:eastAsia="Times New Roman"/>
        </w:rPr>
        <w:t xml:space="preserve"> </w:t>
      </w:r>
    </w:p>
    <w:p w14:paraId="3B890016"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For the confirmation ruling where there is no objection or protests to the grant the court will consider that;</w:t>
      </w:r>
    </w:p>
    <w:p w14:paraId="11D51520" w14:textId="77777777" w:rsidR="0026676C" w:rsidRDefault="004A315C">
      <w:pPr>
        <w:numPr>
          <w:ilvl w:val="0"/>
          <w:numId w:val="10"/>
        </w:numPr>
        <w:spacing w:before="200" w:after="160" w:line="360" w:lineRule="auto"/>
        <w:jc w:val="both"/>
        <w:rPr>
          <w:rFonts w:eastAsia="Times New Roman" w:cs="Times New Roman"/>
          <w:szCs w:val="24"/>
        </w:rPr>
      </w:pPr>
      <w:r>
        <w:rPr>
          <w:rFonts w:eastAsia="Times New Roman" w:cs="Times New Roman"/>
          <w:szCs w:val="24"/>
        </w:rPr>
        <w:t xml:space="preserve">The summons for confirmation of the grant issued to the personal representative and an affidavit in support of the summons are before the court. </w:t>
      </w:r>
    </w:p>
    <w:p w14:paraId="36982AE4" w14:textId="77777777" w:rsidR="0026676C" w:rsidRDefault="004A315C">
      <w:pPr>
        <w:numPr>
          <w:ilvl w:val="0"/>
          <w:numId w:val="10"/>
        </w:numPr>
        <w:spacing w:before="200" w:after="160" w:line="360" w:lineRule="auto"/>
        <w:jc w:val="both"/>
        <w:rPr>
          <w:rFonts w:eastAsia="Times New Roman" w:cs="Times New Roman"/>
          <w:szCs w:val="24"/>
        </w:rPr>
      </w:pPr>
      <w:r>
        <w:rPr>
          <w:rFonts w:eastAsia="Times New Roman" w:cs="Times New Roman"/>
          <w:szCs w:val="24"/>
        </w:rPr>
        <w:t xml:space="preserve">The mode of distribution of the estate has been consented by all listed beneficiaries </w:t>
      </w:r>
    </w:p>
    <w:p w14:paraId="06B24480" w14:textId="77777777" w:rsidR="0026676C" w:rsidRDefault="004A315C">
      <w:pPr>
        <w:numPr>
          <w:ilvl w:val="0"/>
          <w:numId w:val="10"/>
        </w:numPr>
        <w:spacing w:before="200" w:after="160" w:line="360" w:lineRule="auto"/>
        <w:jc w:val="both"/>
        <w:rPr>
          <w:rFonts w:eastAsia="Times New Roman" w:cs="Times New Roman"/>
          <w:szCs w:val="24"/>
        </w:rPr>
      </w:pPr>
      <w:r>
        <w:rPr>
          <w:rFonts w:eastAsia="Times New Roman" w:cs="Times New Roman"/>
          <w:szCs w:val="24"/>
        </w:rPr>
        <w:t>All beneficiaries attend court, confirm that they endorsed the consent and are in agreement on  mode of distribution of the estate</w:t>
      </w:r>
    </w:p>
    <w:p w14:paraId="7FFA838A" w14:textId="77777777" w:rsidR="0026676C" w:rsidRDefault="004A315C">
      <w:pPr>
        <w:numPr>
          <w:ilvl w:val="0"/>
          <w:numId w:val="10"/>
        </w:numPr>
        <w:spacing w:before="200" w:after="160" w:line="360" w:lineRule="auto"/>
        <w:jc w:val="both"/>
        <w:rPr>
          <w:rFonts w:eastAsia="Times New Roman" w:cs="Times New Roman"/>
          <w:szCs w:val="24"/>
        </w:rPr>
      </w:pPr>
      <w:r>
        <w:rPr>
          <w:rFonts w:eastAsia="Times New Roman" w:cs="Times New Roman"/>
          <w:szCs w:val="24"/>
        </w:rPr>
        <w:t xml:space="preserve">That the procedure in the confirmation hearing (as discussed above) has been followed and all the requisite forms filed.  </w:t>
      </w:r>
    </w:p>
    <w:p w14:paraId="4895494E" w14:textId="77777777" w:rsidR="0026676C" w:rsidRDefault="004A315C">
      <w:pPr>
        <w:spacing w:before="200" w:after="160" w:line="360" w:lineRule="auto"/>
        <w:jc w:val="both"/>
        <w:rPr>
          <w:rFonts w:eastAsia="Times New Roman" w:cs="Times New Roman"/>
          <w:b/>
          <w:szCs w:val="24"/>
        </w:rPr>
      </w:pPr>
      <w:r>
        <w:rPr>
          <w:rFonts w:eastAsia="Times New Roman" w:cs="Times New Roman"/>
          <w:szCs w:val="24"/>
        </w:rPr>
        <w:t xml:space="preserve">Then the court will confirm the grant and issue a certificate of confirmation of the grant. The certificate of grant is provided for under Rule 41(5) of the Probate and Administration Rules. Its purpose is to confirm that the court has approved the persons appointed under the grant to continue to administer the estate, with a view to distribute it in accordance with the distribution schedule provided.     </w:t>
      </w:r>
    </w:p>
    <w:p w14:paraId="222A1F10" w14:textId="77777777" w:rsidR="0026676C" w:rsidRDefault="004A315C" w:rsidP="00984F98">
      <w:pPr>
        <w:pStyle w:val="Heading3"/>
        <w:numPr>
          <w:ilvl w:val="0"/>
          <w:numId w:val="20"/>
        </w:numPr>
        <w:rPr>
          <w:rFonts w:eastAsia="Times New Roman"/>
        </w:rPr>
      </w:pPr>
      <w:bookmarkStart w:id="18" w:name="_17dp8vu" w:colFirst="0" w:colLast="0"/>
      <w:bookmarkStart w:id="19" w:name="_Toc115977741"/>
      <w:bookmarkEnd w:id="18"/>
      <w:r>
        <w:rPr>
          <w:rFonts w:eastAsia="Times New Roman"/>
        </w:rPr>
        <w:t>Rectification and Revocation of grant</w:t>
      </w:r>
      <w:bookmarkEnd w:id="19"/>
      <w:r>
        <w:rPr>
          <w:rFonts w:eastAsia="Times New Roman"/>
        </w:rPr>
        <w:t xml:space="preserve"> </w:t>
      </w:r>
    </w:p>
    <w:p w14:paraId="44F6679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This is provided for under Rule 41(2) of the P&amp;A Rules. It states that the court may either confirm the grant or refer it back for further consideration by the applicant or adjourn the hearing for further evidence to be adduced or to make any other order necessary for satisfying itself as to the expediency of confirming the applicant as the holder of the grant or concerning the identities, shares and interests of the persons beneficially entitled and any other issue which has arisen including the interpretation of any will.</w:t>
      </w:r>
    </w:p>
    <w:p w14:paraId="3BF16107" w14:textId="77777777" w:rsidR="0026676C" w:rsidRDefault="004A315C" w:rsidP="00984F98">
      <w:pPr>
        <w:pStyle w:val="Heading4"/>
        <w:rPr>
          <w:rFonts w:eastAsia="Times New Roman"/>
        </w:rPr>
      </w:pPr>
      <w:bookmarkStart w:id="20" w:name="_3rdcrjn" w:colFirst="0" w:colLast="0"/>
      <w:bookmarkEnd w:id="20"/>
      <w:r>
        <w:rPr>
          <w:rFonts w:eastAsia="Times New Roman"/>
        </w:rPr>
        <w:t xml:space="preserve">Rectification </w:t>
      </w:r>
    </w:p>
    <w:p w14:paraId="36241A77"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Section 74 of the LSA allows the Court to rectify grants, both confirmed and unconfirmed to correct minor errors such as errors in names and description, or in setting out the time and place of the deceased</w:t>
      </w:r>
      <w:r w:rsidR="00412BFB">
        <w:rPr>
          <w:rFonts w:eastAsia="Times New Roman" w:cs="Times New Roman"/>
          <w:szCs w:val="24"/>
        </w:rPr>
        <w:t>’s</w:t>
      </w:r>
      <w:r>
        <w:rPr>
          <w:rFonts w:eastAsia="Times New Roman" w:cs="Times New Roman"/>
          <w:szCs w:val="24"/>
        </w:rPr>
        <w:t xml:space="preserve"> death or setting out the purpose in a limited grant. Fundamental errors such as the failure to comply with the mandatory requirements of section 71 and rule 40 are not covered under section 74. </w:t>
      </w:r>
    </w:p>
    <w:p w14:paraId="221827AA"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This case falls under the scope of non-compliance with section 71 and rule 40(4).Kelline wants to exclude all the other beneficiaries contrary to section  71 (2). This section states that “…. In cases of intestacy, the grant of letters of administration shall not be confirmed until the Court is satisfied as to the respective identities and shares of all persons beneficially entitled: and when confirmed such grant shall specify all such persons and their respective shares.”  </w:t>
      </w:r>
    </w:p>
    <w:p w14:paraId="13B675D5"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Rule 40(4) states that where the deceased has died wholly or partially intestate</w:t>
      </w:r>
      <w:r w:rsidR="00412BFB">
        <w:rPr>
          <w:rFonts w:eastAsia="Times New Roman" w:cs="Times New Roman"/>
          <w:szCs w:val="24"/>
        </w:rPr>
        <w:t>,</w:t>
      </w:r>
      <w:r>
        <w:rPr>
          <w:rFonts w:eastAsia="Times New Roman" w:cs="Times New Roman"/>
          <w:szCs w:val="24"/>
        </w:rPr>
        <w:t xml:space="preserve"> the applicant shall satisfy the court that the identification and shares of all persons beneficially entitled to the estate have been ascertained and determined.</w:t>
      </w:r>
    </w:p>
    <w:p w14:paraId="59D33462" w14:textId="77777777" w:rsidR="0026676C" w:rsidRDefault="00412BFB">
      <w:pPr>
        <w:spacing w:before="200" w:after="160" w:line="360" w:lineRule="auto"/>
        <w:jc w:val="both"/>
        <w:rPr>
          <w:rFonts w:eastAsia="Times New Roman" w:cs="Times New Roman"/>
          <w:szCs w:val="24"/>
        </w:rPr>
      </w:pPr>
      <w:r>
        <w:rPr>
          <w:rFonts w:eastAsia="Times New Roman" w:cs="Times New Roman"/>
          <w:szCs w:val="24"/>
        </w:rPr>
        <w:t xml:space="preserve">Thus, </w:t>
      </w:r>
      <w:r w:rsidR="004A315C">
        <w:rPr>
          <w:rFonts w:eastAsia="Times New Roman" w:cs="Times New Roman"/>
          <w:szCs w:val="24"/>
        </w:rPr>
        <w:t>the Court cannot allow for alteration or rectification of the grant.</w:t>
      </w:r>
    </w:p>
    <w:p w14:paraId="168D82CC"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In </w:t>
      </w:r>
      <w:r>
        <w:rPr>
          <w:rFonts w:eastAsia="Times New Roman" w:cs="Times New Roman"/>
          <w:b/>
          <w:i/>
          <w:szCs w:val="24"/>
        </w:rPr>
        <w:t>the Matter of the Estate of Muniu Karugo (d</w:t>
      </w:r>
      <w:r w:rsidR="00412BFB">
        <w:rPr>
          <w:rFonts w:eastAsia="Times New Roman" w:cs="Times New Roman"/>
          <w:b/>
          <w:i/>
          <w:szCs w:val="24"/>
        </w:rPr>
        <w:t>eceased) Nairobi High Court Succession Cause No.</w:t>
      </w:r>
      <w:r>
        <w:rPr>
          <w:rFonts w:eastAsia="Times New Roman" w:cs="Times New Roman"/>
          <w:b/>
          <w:i/>
          <w:szCs w:val="24"/>
        </w:rPr>
        <w:t xml:space="preserve"> 2668 of 1997</w:t>
      </w:r>
      <w:r>
        <w:rPr>
          <w:rFonts w:eastAsia="Times New Roman" w:cs="Times New Roman"/>
          <w:szCs w:val="24"/>
        </w:rPr>
        <w:t xml:space="preserve"> Koome J (as she was then) dismissed an application seeking rectiﬁcation of grant since it sought orders that would have substantively altered the mode of distribution of the estate, and in the circumstances rectiﬁcation of the grant was not the appropriate remedy. The appropriate remedy ought to be an application for the revocation of the grant.</w:t>
      </w:r>
    </w:p>
    <w:p w14:paraId="4DDF94DD"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 </w:t>
      </w:r>
      <w:r>
        <w:rPr>
          <w:rFonts w:eastAsia="Times New Roman" w:cs="Times New Roman"/>
          <w:b/>
          <w:i/>
          <w:szCs w:val="24"/>
        </w:rPr>
        <w:t>In the Matter of the Estate of Wanjihia Njuguna</w:t>
      </w:r>
      <w:r w:rsidR="00412BFB">
        <w:rPr>
          <w:rFonts w:eastAsia="Times New Roman" w:cs="Times New Roman"/>
          <w:b/>
          <w:i/>
          <w:szCs w:val="24"/>
        </w:rPr>
        <w:t xml:space="preserve"> (deceased) Nairobi High Court Suit C</w:t>
      </w:r>
      <w:r>
        <w:rPr>
          <w:rFonts w:eastAsia="Times New Roman" w:cs="Times New Roman"/>
          <w:b/>
          <w:i/>
          <w:szCs w:val="24"/>
        </w:rPr>
        <w:t>ase 5333 of 2002</w:t>
      </w:r>
      <w:r>
        <w:rPr>
          <w:rFonts w:eastAsia="Times New Roman" w:cs="Times New Roman"/>
          <w:szCs w:val="24"/>
        </w:rPr>
        <w:t>, the court declined to grant confirmation because the daughters had not been included in the list of beneﬁciaries. It was held that section</w:t>
      </w:r>
      <w:r w:rsidR="00412BFB">
        <w:rPr>
          <w:rFonts w:eastAsia="Times New Roman" w:cs="Times New Roman"/>
          <w:szCs w:val="24"/>
        </w:rPr>
        <w:t xml:space="preserve"> 35 of the LSA</w:t>
      </w:r>
      <w:r>
        <w:rPr>
          <w:rFonts w:eastAsia="Times New Roman" w:cs="Times New Roman"/>
          <w:szCs w:val="24"/>
        </w:rPr>
        <w:t xml:space="preserve"> had not been complied with.</w:t>
      </w:r>
    </w:p>
    <w:p w14:paraId="155ECA70"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The grant of representation, whether or not conﬁrmed, may be revoked or annulled at any time by the court on its own motion or on application by an interested party pursuant to section 76 of the LSA. The grounds for revocation are set out under section 76 as:</w:t>
      </w:r>
    </w:p>
    <w:p w14:paraId="7088F098" w14:textId="77777777" w:rsidR="0026676C" w:rsidRDefault="004A315C">
      <w:pPr>
        <w:numPr>
          <w:ilvl w:val="0"/>
          <w:numId w:val="14"/>
        </w:numPr>
        <w:spacing w:before="200" w:after="160" w:line="360" w:lineRule="auto"/>
        <w:jc w:val="both"/>
        <w:rPr>
          <w:rFonts w:ascii="Calibri" w:hAnsi="Calibri" w:cs="Calibri"/>
          <w:szCs w:val="24"/>
        </w:rPr>
      </w:pPr>
      <w:r>
        <w:rPr>
          <w:rFonts w:eastAsia="Times New Roman" w:cs="Times New Roman"/>
          <w:szCs w:val="24"/>
        </w:rPr>
        <w:t>the proceedings to obtain a grant being defective in substance</w:t>
      </w:r>
    </w:p>
    <w:p w14:paraId="5082E31D" w14:textId="77777777" w:rsidR="0026676C" w:rsidRDefault="004A315C">
      <w:pPr>
        <w:numPr>
          <w:ilvl w:val="0"/>
          <w:numId w:val="14"/>
        </w:numPr>
        <w:spacing w:before="200" w:after="160" w:line="360" w:lineRule="auto"/>
        <w:jc w:val="both"/>
        <w:rPr>
          <w:rFonts w:ascii="Calibri" w:hAnsi="Calibri" w:cs="Calibri"/>
          <w:szCs w:val="24"/>
        </w:rPr>
      </w:pPr>
      <w:r>
        <w:rPr>
          <w:rFonts w:eastAsia="Times New Roman" w:cs="Times New Roman"/>
          <w:szCs w:val="24"/>
        </w:rPr>
        <w:t>the grant having been obtained by reliance on false statements, non-disclosure or concealment of important matter or information</w:t>
      </w:r>
    </w:p>
    <w:p w14:paraId="484FBEF4" w14:textId="77777777" w:rsidR="0026676C" w:rsidRDefault="004A315C">
      <w:pPr>
        <w:numPr>
          <w:ilvl w:val="0"/>
          <w:numId w:val="14"/>
        </w:numPr>
        <w:spacing w:before="200" w:after="160" w:line="360" w:lineRule="auto"/>
        <w:jc w:val="both"/>
        <w:rPr>
          <w:rFonts w:ascii="Calibri" w:hAnsi="Calibri" w:cs="Calibri"/>
          <w:szCs w:val="24"/>
        </w:rPr>
      </w:pPr>
      <w:r>
        <w:rPr>
          <w:rFonts w:eastAsia="Times New Roman" w:cs="Times New Roman"/>
          <w:szCs w:val="24"/>
        </w:rPr>
        <w:t xml:space="preserve">the person to whom grant was made having failed to apply for conﬁrmation within the prescribed time or having failed to diligently administer the estate or having failed to produce to the court within the prescribed time any inventory or account of administration as required in law or produces an inventory or account which is false </w:t>
      </w:r>
    </w:p>
    <w:p w14:paraId="365D744D" w14:textId="77777777" w:rsidR="0026676C" w:rsidRDefault="004A315C">
      <w:pPr>
        <w:numPr>
          <w:ilvl w:val="0"/>
          <w:numId w:val="14"/>
        </w:numPr>
        <w:spacing w:before="200" w:after="160" w:line="360" w:lineRule="auto"/>
        <w:jc w:val="both"/>
        <w:rPr>
          <w:rFonts w:ascii="Calibri" w:hAnsi="Calibri" w:cs="Calibri"/>
          <w:szCs w:val="24"/>
        </w:rPr>
      </w:pPr>
      <w:r>
        <w:rPr>
          <w:rFonts w:eastAsia="Times New Roman" w:cs="Times New Roman"/>
          <w:szCs w:val="24"/>
        </w:rPr>
        <w:t xml:space="preserve"> the grant having become useless and inoperative through subsequent circumstances</w:t>
      </w:r>
    </w:p>
    <w:p w14:paraId="3A4389C3" w14:textId="77777777" w:rsidR="0026676C" w:rsidRDefault="004A315C">
      <w:pPr>
        <w:spacing w:before="200" w:after="160" w:line="360" w:lineRule="auto"/>
        <w:jc w:val="both"/>
        <w:rPr>
          <w:rFonts w:eastAsia="Times New Roman" w:cs="Times New Roman"/>
          <w:szCs w:val="24"/>
        </w:rPr>
      </w:pPr>
      <w:r>
        <w:rPr>
          <w:rFonts w:eastAsia="Times New Roman" w:cs="Times New Roman"/>
          <w:b/>
          <w:i/>
          <w:szCs w:val="24"/>
        </w:rPr>
        <w:t>In the Matter of the Estate of Patrick Mbugua Njoroge (deceased</w:t>
      </w:r>
      <w:r w:rsidR="00412BFB">
        <w:rPr>
          <w:rFonts w:eastAsia="Times New Roman" w:cs="Times New Roman"/>
          <w:b/>
          <w:i/>
          <w:szCs w:val="24"/>
        </w:rPr>
        <w:t>) Nairobi High Court P &amp; A No.</w:t>
      </w:r>
      <w:r>
        <w:rPr>
          <w:rFonts w:eastAsia="Times New Roman" w:cs="Times New Roman"/>
          <w:b/>
          <w:i/>
          <w:szCs w:val="24"/>
        </w:rPr>
        <w:t xml:space="preserve"> 659 of 1989</w:t>
      </w:r>
      <w:r w:rsidR="00DE54ED">
        <w:rPr>
          <w:rFonts w:eastAsia="Times New Roman" w:cs="Times New Roman"/>
          <w:szCs w:val="24"/>
        </w:rPr>
        <w:t xml:space="preserve">, the Court stated that </w:t>
      </w:r>
      <w:r>
        <w:rPr>
          <w:rFonts w:eastAsia="Times New Roman" w:cs="Times New Roman"/>
          <w:szCs w:val="24"/>
        </w:rPr>
        <w:t xml:space="preserve">the application for revocation of grant should be based on the grounds </w:t>
      </w:r>
      <w:r w:rsidR="00412BFB">
        <w:rPr>
          <w:rFonts w:eastAsia="Times New Roman" w:cs="Times New Roman"/>
          <w:szCs w:val="24"/>
        </w:rPr>
        <w:t>set out in section 76 fa</w:t>
      </w:r>
      <w:r w:rsidR="00DE54ED">
        <w:rPr>
          <w:rFonts w:eastAsia="Times New Roman" w:cs="Times New Roman"/>
          <w:szCs w:val="24"/>
        </w:rPr>
        <w:t>ilure to whic</w:t>
      </w:r>
      <w:r w:rsidR="00412BFB">
        <w:rPr>
          <w:rFonts w:eastAsia="Times New Roman" w:cs="Times New Roman"/>
          <w:szCs w:val="24"/>
        </w:rPr>
        <w:t>h</w:t>
      </w:r>
      <w:r>
        <w:rPr>
          <w:rFonts w:eastAsia="Times New Roman" w:cs="Times New Roman"/>
          <w:szCs w:val="24"/>
        </w:rPr>
        <w:t xml:space="preserve"> it fails.</w:t>
      </w:r>
    </w:p>
    <w:p w14:paraId="4C08C4DF"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This case falls under section 76(b) - the grant having been obtained by reliance on false statements, non-disclosure or concealment of important matter or information. Kelline has not disclosed information regarding the other beneficiaries</w:t>
      </w:r>
      <w:r>
        <w:rPr>
          <w:rFonts w:eastAsia="Times New Roman" w:cs="Times New Roman"/>
          <w:i/>
          <w:szCs w:val="24"/>
        </w:rPr>
        <w:t xml:space="preserve">. </w:t>
      </w:r>
      <w:r>
        <w:rPr>
          <w:rFonts w:eastAsia="Times New Roman" w:cs="Times New Roman"/>
          <w:b/>
          <w:i/>
          <w:szCs w:val="24"/>
        </w:rPr>
        <w:t>In the Estate of Peter Minik (deceased) Machakos High Court Probate and Administration 13 of 1998</w:t>
      </w:r>
      <w:r>
        <w:rPr>
          <w:rFonts w:eastAsia="Times New Roman" w:cs="Times New Roman"/>
          <w:szCs w:val="24"/>
        </w:rPr>
        <w:t xml:space="preserve"> (Mwera J), a grant was revoked because the petitioner had not disclosed some of the survivors of the deceased in her petition.</w:t>
      </w:r>
    </w:p>
    <w:p w14:paraId="07758059"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In </w:t>
      </w:r>
      <w:r>
        <w:rPr>
          <w:rFonts w:eastAsia="Times New Roman" w:cs="Times New Roman"/>
          <w:b/>
          <w:i/>
          <w:szCs w:val="24"/>
        </w:rPr>
        <w:t>Samwel Wafula Wasike v Hudson Simiyu Wafula (1993) LLR (CAK) (</w:t>
      </w:r>
      <w:r>
        <w:rPr>
          <w:rFonts w:eastAsia="Times New Roman" w:cs="Times New Roman"/>
          <w:szCs w:val="24"/>
        </w:rPr>
        <w:t>Kwach, Omollo and Tunoi JJA), it was alleged that the appellant had deceived the court when he stated in his petition that he was a grandson of the deceased. The deceased was in fact not his grandmother, but a sister of his grandmother. The persons who had prior right to the grant had not given their consent. It was held that the grant had been obtained fraudulently by the making of a false statement and it was revoked.</w:t>
      </w:r>
    </w:p>
    <w:p w14:paraId="41C987EF"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In this case Kelline has failed to include all the beneficiaries, failed to attain consent of Clovour who is also a wife and has equal right to apply for grant and Penzi who is entitled to apply for grant as a trustee for her underage child.</w:t>
      </w:r>
    </w:p>
    <w:p w14:paraId="6B70BF1A" w14:textId="77777777" w:rsidR="0026676C" w:rsidRDefault="004A315C" w:rsidP="00984F98">
      <w:pPr>
        <w:pStyle w:val="Heading3"/>
        <w:numPr>
          <w:ilvl w:val="0"/>
          <w:numId w:val="20"/>
        </w:numPr>
        <w:rPr>
          <w:rFonts w:eastAsia="Times New Roman"/>
        </w:rPr>
      </w:pPr>
      <w:bookmarkStart w:id="21" w:name="_26in1rg" w:colFirst="0" w:colLast="0"/>
      <w:bookmarkStart w:id="22" w:name="_Toc115977742"/>
      <w:bookmarkEnd w:id="21"/>
      <w:r>
        <w:rPr>
          <w:rFonts w:eastAsia="Times New Roman"/>
        </w:rPr>
        <w:t>Revocation</w:t>
      </w:r>
      <w:bookmarkEnd w:id="22"/>
      <w:r>
        <w:rPr>
          <w:rFonts w:eastAsia="Times New Roman"/>
        </w:rPr>
        <w:t xml:space="preserve"> </w:t>
      </w:r>
    </w:p>
    <w:p w14:paraId="5F603C22"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Under Section 76 </w:t>
      </w:r>
      <w:r w:rsidR="00745E10">
        <w:rPr>
          <w:rFonts w:eastAsia="Times New Roman" w:cs="Times New Roman"/>
          <w:szCs w:val="24"/>
        </w:rPr>
        <w:t xml:space="preserve">of the </w:t>
      </w:r>
      <w:r>
        <w:rPr>
          <w:rFonts w:eastAsia="Times New Roman" w:cs="Times New Roman"/>
          <w:szCs w:val="24"/>
        </w:rPr>
        <w:t xml:space="preserve">LSA a grant can be revoked by the court either on its own motion or upon application by any interested party. </w:t>
      </w:r>
    </w:p>
    <w:p w14:paraId="09EFCF94" w14:textId="77777777" w:rsidR="0026676C" w:rsidRDefault="00745E10">
      <w:pPr>
        <w:spacing w:before="200" w:after="160" w:line="360" w:lineRule="auto"/>
        <w:jc w:val="both"/>
        <w:rPr>
          <w:rFonts w:eastAsia="Times New Roman" w:cs="Times New Roman"/>
          <w:szCs w:val="24"/>
        </w:rPr>
      </w:pPr>
      <w:r>
        <w:rPr>
          <w:rFonts w:eastAsia="Times New Roman" w:cs="Times New Roman"/>
          <w:szCs w:val="24"/>
        </w:rPr>
        <w:t xml:space="preserve">Where it is on its own motion, the court will strike </w:t>
      </w:r>
      <w:r w:rsidR="004A315C">
        <w:rPr>
          <w:rFonts w:eastAsia="Times New Roman" w:cs="Times New Roman"/>
          <w:szCs w:val="24"/>
        </w:rPr>
        <w:t xml:space="preserve">out the application </w:t>
      </w:r>
      <w:r>
        <w:rPr>
          <w:rFonts w:eastAsia="Times New Roman" w:cs="Times New Roman"/>
          <w:szCs w:val="24"/>
        </w:rPr>
        <w:t xml:space="preserve">for confirmation if the following rules </w:t>
      </w:r>
      <w:r w:rsidR="00935EE5">
        <w:rPr>
          <w:rFonts w:eastAsia="Times New Roman" w:cs="Times New Roman"/>
          <w:szCs w:val="24"/>
        </w:rPr>
        <w:t xml:space="preserve">laid out in </w:t>
      </w:r>
      <w:r>
        <w:rPr>
          <w:rFonts w:eastAsia="Times New Roman" w:cs="Times New Roman"/>
          <w:szCs w:val="24"/>
        </w:rPr>
        <w:t>Part VII Rule 26(1) and 2 of the P</w:t>
      </w:r>
      <w:r w:rsidR="00935EE5">
        <w:rPr>
          <w:rFonts w:eastAsia="Times New Roman" w:cs="Times New Roman"/>
          <w:szCs w:val="24"/>
        </w:rPr>
        <w:t xml:space="preserve">robate and Administration Rules </w:t>
      </w:r>
      <w:r>
        <w:rPr>
          <w:rFonts w:eastAsia="Times New Roman" w:cs="Times New Roman"/>
          <w:szCs w:val="24"/>
        </w:rPr>
        <w:t xml:space="preserve">are not </w:t>
      </w:r>
      <w:r w:rsidR="00935EE5">
        <w:rPr>
          <w:rFonts w:eastAsia="Times New Roman" w:cs="Times New Roman"/>
          <w:szCs w:val="24"/>
        </w:rPr>
        <w:t>complied with;</w:t>
      </w:r>
    </w:p>
    <w:p w14:paraId="4FFB1178" w14:textId="77777777" w:rsidR="0026676C" w:rsidRDefault="004A315C">
      <w:pPr>
        <w:numPr>
          <w:ilvl w:val="0"/>
          <w:numId w:val="11"/>
        </w:numPr>
        <w:spacing w:before="200" w:after="160" w:line="360" w:lineRule="auto"/>
        <w:jc w:val="both"/>
        <w:rPr>
          <w:rFonts w:eastAsia="Times New Roman" w:cs="Times New Roman"/>
          <w:szCs w:val="24"/>
        </w:rPr>
      </w:pPr>
      <w:r>
        <w:rPr>
          <w:rFonts w:eastAsia="Times New Roman" w:cs="Times New Roman"/>
          <w:szCs w:val="24"/>
        </w:rPr>
        <w:t>Letters of Administration shall not be granted to any applicant without notice to any other person entitled in the same degree as or in priority of the applicant.</w:t>
      </w:r>
    </w:p>
    <w:p w14:paraId="6DDA04FA" w14:textId="77777777" w:rsidR="0026676C" w:rsidRDefault="004A315C">
      <w:pPr>
        <w:numPr>
          <w:ilvl w:val="0"/>
          <w:numId w:val="11"/>
        </w:numPr>
        <w:spacing w:before="200" w:after="160" w:line="360" w:lineRule="auto"/>
        <w:jc w:val="both"/>
        <w:rPr>
          <w:rFonts w:eastAsia="Times New Roman" w:cs="Times New Roman"/>
          <w:szCs w:val="24"/>
        </w:rPr>
      </w:pPr>
      <w:r>
        <w:rPr>
          <w:rFonts w:eastAsia="Times New Roman" w:cs="Times New Roman"/>
          <w:szCs w:val="24"/>
        </w:rPr>
        <w:t>An application for a grant where the applicant is entitled in a degree equal to or lower than that of any other person shall, in default of communication, or written consent in Form 38 or 39, by all persons so entitled in equality or priority be supported by an affidavit of the applicant and such other evidence as the court may require.</w:t>
      </w:r>
    </w:p>
    <w:p w14:paraId="5FFDE999"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It is now clear that Kelline; </w:t>
      </w:r>
    </w:p>
    <w:p w14:paraId="2AF7794F" w14:textId="77777777" w:rsidR="00984F98" w:rsidRDefault="00DE54ED" w:rsidP="00984F98">
      <w:pPr>
        <w:pStyle w:val="ListParagraph"/>
        <w:numPr>
          <w:ilvl w:val="0"/>
          <w:numId w:val="7"/>
        </w:numPr>
        <w:rPr>
          <w:rFonts w:eastAsia="Times New Roman" w:cs="Times New Roman"/>
          <w:szCs w:val="24"/>
        </w:rPr>
      </w:pPr>
      <w:r>
        <w:rPr>
          <w:rFonts w:eastAsia="Times New Roman" w:cs="Times New Roman"/>
          <w:szCs w:val="24"/>
        </w:rPr>
        <w:t>Failed to seek</w:t>
      </w:r>
      <w:r w:rsidR="00984F98" w:rsidRPr="00984F98">
        <w:rPr>
          <w:rFonts w:eastAsia="Times New Roman" w:cs="Times New Roman"/>
          <w:szCs w:val="24"/>
        </w:rPr>
        <w:t xml:space="preserve"> consent from other beneficiaries/dependa</w:t>
      </w:r>
      <w:r w:rsidR="00984F98">
        <w:rPr>
          <w:rFonts w:eastAsia="Times New Roman" w:cs="Times New Roman"/>
          <w:szCs w:val="24"/>
        </w:rPr>
        <w:t>nts while applying for the grant</w:t>
      </w:r>
    </w:p>
    <w:p w14:paraId="72F5A6A9" w14:textId="77777777" w:rsidR="0026676C" w:rsidRDefault="00DE54ED" w:rsidP="00DE54ED">
      <w:pPr>
        <w:pStyle w:val="ListParagraph"/>
        <w:numPr>
          <w:ilvl w:val="0"/>
          <w:numId w:val="7"/>
        </w:numPr>
        <w:rPr>
          <w:rFonts w:eastAsia="Times New Roman" w:cs="Times New Roman"/>
          <w:szCs w:val="24"/>
        </w:rPr>
      </w:pPr>
      <w:r>
        <w:rPr>
          <w:rFonts w:eastAsia="Times New Roman" w:cs="Times New Roman"/>
          <w:szCs w:val="24"/>
        </w:rPr>
        <w:t xml:space="preserve">Failed to comply with </w:t>
      </w:r>
      <w:r w:rsidR="00984F98" w:rsidRPr="00984F98">
        <w:rPr>
          <w:rFonts w:eastAsia="Times New Roman" w:cs="Times New Roman"/>
          <w:szCs w:val="24"/>
        </w:rPr>
        <w:t>the right procedure for the application for grant</w:t>
      </w:r>
      <w:r w:rsidR="00984F98">
        <w:rPr>
          <w:rFonts w:eastAsia="Times New Roman" w:cs="Times New Roman"/>
          <w:szCs w:val="24"/>
        </w:rPr>
        <w:t>.</w:t>
      </w:r>
    </w:p>
    <w:p w14:paraId="55078EDD" w14:textId="77777777" w:rsidR="00DE54ED" w:rsidRPr="00DE54ED" w:rsidRDefault="00DE54ED" w:rsidP="00DE54ED">
      <w:pPr>
        <w:rPr>
          <w:rFonts w:eastAsia="Times New Roman" w:cs="Times New Roman"/>
          <w:szCs w:val="24"/>
        </w:rPr>
      </w:pPr>
      <w:r>
        <w:rPr>
          <w:rFonts w:eastAsia="Times New Roman" w:cs="Times New Roman"/>
          <w:szCs w:val="24"/>
        </w:rPr>
        <w:t>These omissions are discussed as in below:</w:t>
      </w:r>
    </w:p>
    <w:p w14:paraId="1E009CAA" w14:textId="77777777" w:rsidR="0026676C" w:rsidRDefault="00DE54ED" w:rsidP="00DE54ED">
      <w:pPr>
        <w:pStyle w:val="Heading4"/>
        <w:rPr>
          <w:rFonts w:eastAsia="Times New Roman"/>
        </w:rPr>
      </w:pPr>
      <w:bookmarkStart w:id="23" w:name="_lnxbz9" w:colFirst="0" w:colLast="0"/>
      <w:bookmarkEnd w:id="23"/>
      <w:r>
        <w:rPr>
          <w:rFonts w:eastAsia="Times New Roman"/>
        </w:rPr>
        <w:t xml:space="preserve">Failure to seek </w:t>
      </w:r>
      <w:r w:rsidR="004A315C">
        <w:rPr>
          <w:rFonts w:eastAsia="Times New Roman"/>
        </w:rPr>
        <w:t xml:space="preserve">consent from other beneficiaries/dependants while applying for the grant </w:t>
      </w:r>
    </w:p>
    <w:p w14:paraId="1886DA36"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Section 29 (a) of the LSA outlines the dependants of a deceased person as the wife or wives, or former wife or wives and the children of the deceased whether or not maintained by the deceased immediately prior to his death. In previous discussions we have established that Kelline and Clovour are wives of the deceased and thus qualify as dependants within section 29 (a). For, Penzi acts as the trustee of her minor child.</w:t>
      </w:r>
    </w:p>
    <w:p w14:paraId="086E02CB"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In </w:t>
      </w:r>
      <w:r w:rsidR="00DE54ED">
        <w:rPr>
          <w:rFonts w:eastAsia="Times New Roman" w:cs="Times New Roman"/>
          <w:b/>
          <w:i/>
          <w:szCs w:val="24"/>
        </w:rPr>
        <w:t>the M</w:t>
      </w:r>
      <w:r>
        <w:rPr>
          <w:rFonts w:eastAsia="Times New Roman" w:cs="Times New Roman"/>
          <w:b/>
          <w:i/>
          <w:szCs w:val="24"/>
        </w:rPr>
        <w:t>atter of the Estate of Isaac Kireru Njuguna (deceased) Nairobi HC Succession Cause 1064 of 1994 </w:t>
      </w:r>
      <w:r>
        <w:rPr>
          <w:rFonts w:eastAsia="Times New Roman" w:cs="Times New Roman"/>
          <w:szCs w:val="24"/>
        </w:rPr>
        <w:t xml:space="preserve">the court found that a grant is revocable where all the heirs have not consented to the mode of distribution and all the properties which make up the estate are not taken into account. </w:t>
      </w:r>
    </w:p>
    <w:p w14:paraId="7F6DC98F"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Where a Beneficiary/Dependant has been excluded from a petition for grant of letters of administration intestate (Form 80), then upon objection by the excluded parties, in this case Penzi and Clovour, the court will not issue the grant to Kelline. In </w:t>
      </w:r>
      <w:r>
        <w:rPr>
          <w:rFonts w:eastAsia="Times New Roman" w:cs="Times New Roman"/>
          <w:b/>
          <w:i/>
          <w:szCs w:val="24"/>
        </w:rPr>
        <w:t xml:space="preserve">Razaro Muriuki M’Thuranira v Michael Kiugu M’Thuranira [2016] eKLR, </w:t>
      </w:r>
      <w:r>
        <w:rPr>
          <w:rFonts w:eastAsia="Times New Roman" w:cs="Times New Roman"/>
          <w:szCs w:val="24"/>
        </w:rPr>
        <w:t xml:space="preserve">Gikonyo J asserted that, courts considers certain factors during such applications: (1) </w:t>
      </w:r>
      <w:r w:rsidR="00C37380">
        <w:rPr>
          <w:rFonts w:eastAsia="Times New Roman" w:cs="Times New Roman"/>
          <w:szCs w:val="24"/>
        </w:rPr>
        <w:t xml:space="preserve">the order of preference as per Section 66 </w:t>
      </w:r>
      <w:r w:rsidR="00DE54ED">
        <w:rPr>
          <w:rFonts w:eastAsia="Times New Roman" w:cs="Times New Roman"/>
          <w:szCs w:val="24"/>
        </w:rPr>
        <w:t xml:space="preserve">of the </w:t>
      </w:r>
      <w:r w:rsidR="00C37380">
        <w:rPr>
          <w:rFonts w:eastAsia="Times New Roman" w:cs="Times New Roman"/>
          <w:szCs w:val="24"/>
        </w:rPr>
        <w:t>LSA; and/</w:t>
      </w:r>
      <w:r>
        <w:rPr>
          <w:rFonts w:eastAsia="Times New Roman" w:cs="Times New Roman"/>
          <w:szCs w:val="24"/>
        </w:rPr>
        <w:t>or (2) right and degree of entitlement to inheritance; and (3) the best interest</w:t>
      </w:r>
      <w:r w:rsidR="00C37380">
        <w:rPr>
          <w:rFonts w:eastAsia="Times New Roman" w:cs="Times New Roman"/>
          <w:szCs w:val="24"/>
        </w:rPr>
        <w:t>s</w:t>
      </w:r>
      <w:r>
        <w:rPr>
          <w:rFonts w:eastAsia="Times New Roman" w:cs="Times New Roman"/>
          <w:szCs w:val="24"/>
        </w:rPr>
        <w:t xml:space="preserve"> of all the parties concerned taking the circumstances of the case into account. In this regard, Clovour who is a spouse together with Penzi acting as a trustee to her child automatically should be included in this succession. Failure t</w:t>
      </w:r>
      <w:r w:rsidR="00C37380">
        <w:rPr>
          <w:rFonts w:eastAsia="Times New Roman" w:cs="Times New Roman"/>
          <w:szCs w:val="24"/>
        </w:rPr>
        <w:t>o this</w:t>
      </w:r>
      <w:r>
        <w:rPr>
          <w:rFonts w:eastAsia="Times New Roman" w:cs="Times New Roman"/>
          <w:szCs w:val="24"/>
        </w:rPr>
        <w:t>, the court in its ruling may fail to confirm the said grant.</w:t>
      </w:r>
    </w:p>
    <w:p w14:paraId="31DA6C69" w14:textId="77777777" w:rsidR="0026676C" w:rsidRDefault="00DE54ED" w:rsidP="00DE54ED">
      <w:pPr>
        <w:pStyle w:val="Heading4"/>
      </w:pPr>
      <w:bookmarkStart w:id="24" w:name="_35nkun2" w:colFirst="0" w:colLast="0"/>
      <w:bookmarkEnd w:id="24"/>
      <w:r>
        <w:t>Non-compliance with t</w:t>
      </w:r>
      <w:r w:rsidR="004A315C">
        <w:t>he procedure for applic</w:t>
      </w:r>
      <w:r>
        <w:t>ation for grant</w:t>
      </w:r>
      <w:r w:rsidR="004A315C">
        <w:t xml:space="preserve"> </w:t>
      </w:r>
    </w:p>
    <w:p w14:paraId="237DBC8E" w14:textId="77777777" w:rsidR="0026676C" w:rsidRDefault="00C37380">
      <w:pPr>
        <w:spacing w:before="200" w:after="160" w:line="360" w:lineRule="auto"/>
        <w:jc w:val="both"/>
        <w:rPr>
          <w:rFonts w:eastAsia="Times New Roman" w:cs="Times New Roman"/>
          <w:szCs w:val="24"/>
        </w:rPr>
      </w:pPr>
      <w:r>
        <w:rPr>
          <w:rFonts w:eastAsia="Times New Roman" w:cs="Times New Roman"/>
          <w:szCs w:val="24"/>
        </w:rPr>
        <w:t xml:space="preserve">Rule 7(1) of the P </w:t>
      </w:r>
      <w:r w:rsidR="004A315C">
        <w:rPr>
          <w:rFonts w:eastAsia="Times New Roman" w:cs="Times New Roman"/>
          <w:szCs w:val="24"/>
        </w:rPr>
        <w:t>&amp;</w:t>
      </w:r>
      <w:r>
        <w:rPr>
          <w:rFonts w:eastAsia="Times New Roman" w:cs="Times New Roman"/>
          <w:szCs w:val="24"/>
        </w:rPr>
        <w:t xml:space="preserve"> </w:t>
      </w:r>
      <w:r w:rsidR="004A315C">
        <w:rPr>
          <w:rFonts w:eastAsia="Times New Roman" w:cs="Times New Roman"/>
          <w:szCs w:val="24"/>
        </w:rPr>
        <w:t>A Rules entails particulars to be disclosed in an application for a grant of representation;</w:t>
      </w:r>
    </w:p>
    <w:p w14:paraId="29B76735"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 xml:space="preserve">the full names of the deceased; </w:t>
      </w:r>
    </w:p>
    <w:p w14:paraId="7BFF2B00"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 xml:space="preserve">the date and place of his death, his last known place of residence, and his domicile at date of death; </w:t>
      </w:r>
    </w:p>
    <w:p w14:paraId="07219B89"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whether he died testate or intestate and, if testate, whether his last will was written or oral, and the place where and the date upon which it was made;</w:t>
      </w:r>
    </w:p>
    <w:p w14:paraId="2F58860D"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 xml:space="preserve">a full inventory of all his assets and liabilities at the date of his death (including such, if any, as may have arisen or become known since that date) together with an estimate of the value of his assets movable and immovable and his liabilities; </w:t>
      </w:r>
    </w:p>
    <w:p w14:paraId="721B6BCC"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in cases of total or partial intestacy—</w:t>
      </w:r>
    </w:p>
    <w:p w14:paraId="21037177" w14:textId="77777777" w:rsidR="0026676C" w:rsidRDefault="004A315C">
      <w:pPr>
        <w:numPr>
          <w:ilvl w:val="0"/>
          <w:numId w:val="8"/>
        </w:numPr>
        <w:spacing w:before="200" w:after="160" w:line="360" w:lineRule="auto"/>
        <w:jc w:val="both"/>
        <w:rPr>
          <w:rFonts w:ascii="Calibri" w:hAnsi="Calibri" w:cs="Calibri"/>
          <w:szCs w:val="24"/>
        </w:rPr>
      </w:pPr>
      <w:r>
        <w:rPr>
          <w:rFonts w:eastAsia="Times New Roman" w:cs="Times New Roman"/>
          <w:i/>
          <w:szCs w:val="24"/>
        </w:rPr>
        <w:t>the names, addresses, marital state and description of all surviving spouses and children of the deceased</w:t>
      </w:r>
      <w:r>
        <w:rPr>
          <w:rFonts w:eastAsia="Times New Roman" w:cs="Times New Roman"/>
          <w:szCs w:val="24"/>
        </w:rPr>
        <w:t xml:space="preserve">, or, where the deceased left no surviving spouse or child, like particulars of such person or persons who would succeed in accordance with section 39(1) of the Act; </w:t>
      </w:r>
    </w:p>
    <w:p w14:paraId="1C249B8E" w14:textId="77777777" w:rsidR="0026676C" w:rsidRDefault="004A315C">
      <w:pPr>
        <w:numPr>
          <w:ilvl w:val="0"/>
          <w:numId w:val="8"/>
        </w:numPr>
        <w:spacing w:before="200" w:after="160" w:line="360" w:lineRule="auto"/>
        <w:jc w:val="both"/>
        <w:rPr>
          <w:rFonts w:ascii="Calibri" w:hAnsi="Calibri" w:cs="Calibri"/>
          <w:szCs w:val="24"/>
        </w:rPr>
      </w:pPr>
      <w:r>
        <w:rPr>
          <w:rFonts w:eastAsia="Times New Roman" w:cs="Times New Roman"/>
          <w:i/>
          <w:szCs w:val="24"/>
        </w:rPr>
        <w:t>whether any and if so which of those persons is under the age of eighteen years</w:t>
      </w:r>
      <w:r>
        <w:rPr>
          <w:rFonts w:eastAsia="Times New Roman" w:cs="Times New Roman"/>
          <w:szCs w:val="24"/>
        </w:rPr>
        <w:t xml:space="preserve"> or is suffering from any mental disorder, and, if so, details of it; </w:t>
      </w:r>
    </w:p>
    <w:p w14:paraId="43704857" w14:textId="77777777" w:rsidR="0026676C" w:rsidRDefault="004A315C">
      <w:pPr>
        <w:numPr>
          <w:ilvl w:val="0"/>
          <w:numId w:val="8"/>
        </w:numPr>
        <w:spacing w:before="200" w:after="160" w:line="360" w:lineRule="auto"/>
        <w:jc w:val="both"/>
        <w:rPr>
          <w:rFonts w:ascii="Calibri" w:hAnsi="Calibri" w:cs="Calibri"/>
          <w:szCs w:val="24"/>
        </w:rPr>
      </w:pPr>
      <w:r>
        <w:rPr>
          <w:rFonts w:eastAsia="Times New Roman" w:cs="Times New Roman"/>
          <w:szCs w:val="24"/>
        </w:rPr>
        <w:t xml:space="preserve">for the purposes of determining the degree of consanguinity reference shall be made to the table set out in the Second Schedule; </w:t>
      </w:r>
    </w:p>
    <w:p w14:paraId="4593FC75"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 xml:space="preserve">the relationship (if any) which the applicant bore to the deceased or the capacity in which he claims; </w:t>
      </w:r>
    </w:p>
    <w:p w14:paraId="5948FFF3" w14:textId="77777777" w:rsidR="0026676C" w:rsidRDefault="004A315C">
      <w:pPr>
        <w:numPr>
          <w:ilvl w:val="0"/>
          <w:numId w:val="5"/>
        </w:numPr>
        <w:spacing w:before="200" w:after="160" w:line="360" w:lineRule="auto"/>
        <w:jc w:val="both"/>
        <w:rPr>
          <w:rFonts w:eastAsia="Times New Roman" w:cs="Times New Roman"/>
          <w:szCs w:val="24"/>
        </w:rPr>
      </w:pPr>
      <w:r>
        <w:rPr>
          <w:rFonts w:eastAsia="Times New Roman" w:cs="Times New Roman"/>
          <w:szCs w:val="24"/>
        </w:rPr>
        <w:t xml:space="preserve">if the deceased died testate leaving a written will, the names and present addresses of any executors named therein; and </w:t>
      </w:r>
    </w:p>
    <w:p w14:paraId="608FF93F" w14:textId="77777777" w:rsidR="0026676C" w:rsidRDefault="004A315C">
      <w:pPr>
        <w:numPr>
          <w:ilvl w:val="0"/>
          <w:numId w:val="5"/>
        </w:numPr>
        <w:spacing w:before="200" w:after="280" w:line="360" w:lineRule="auto"/>
        <w:jc w:val="both"/>
        <w:rPr>
          <w:rFonts w:eastAsia="Times New Roman" w:cs="Times New Roman"/>
          <w:szCs w:val="24"/>
        </w:rPr>
      </w:pPr>
      <w:r>
        <w:rPr>
          <w:rFonts w:eastAsia="Times New Roman" w:cs="Times New Roman"/>
          <w:szCs w:val="24"/>
        </w:rPr>
        <w:t>The postal and residential addresses of the applicant.</w:t>
      </w:r>
    </w:p>
    <w:p w14:paraId="0E59DC47" w14:textId="77777777" w:rsidR="00B867D3" w:rsidRDefault="00B867D3" w:rsidP="00B867D3">
      <w:pPr>
        <w:spacing w:before="200" w:after="160" w:line="360" w:lineRule="auto"/>
        <w:jc w:val="both"/>
        <w:rPr>
          <w:rFonts w:eastAsia="Times New Roman" w:cs="Times New Roman"/>
          <w:szCs w:val="24"/>
        </w:rPr>
      </w:pPr>
      <w:r>
        <w:rPr>
          <w:rFonts w:eastAsia="Times New Roman" w:cs="Times New Roman"/>
          <w:szCs w:val="24"/>
        </w:rPr>
        <w:t>The grant of representation, whether or not conﬁrmed, may be revoked or annulled at any time by the court on its own motion or on application by an interested party pursuant to section 76 of the LSA. The grounds for revocation are set out under section 76 as:</w:t>
      </w:r>
    </w:p>
    <w:p w14:paraId="286442F9" w14:textId="77777777" w:rsidR="00B867D3" w:rsidRDefault="00B867D3" w:rsidP="00B867D3">
      <w:pPr>
        <w:numPr>
          <w:ilvl w:val="0"/>
          <w:numId w:val="14"/>
        </w:numPr>
        <w:spacing w:before="200" w:after="160" w:line="360" w:lineRule="auto"/>
        <w:jc w:val="both"/>
        <w:rPr>
          <w:rFonts w:ascii="Calibri" w:hAnsi="Calibri" w:cs="Calibri"/>
          <w:szCs w:val="24"/>
        </w:rPr>
      </w:pPr>
      <w:r>
        <w:rPr>
          <w:rFonts w:eastAsia="Times New Roman" w:cs="Times New Roman"/>
          <w:szCs w:val="24"/>
        </w:rPr>
        <w:t>the proceedings to obtain a grant being defective in substance</w:t>
      </w:r>
    </w:p>
    <w:p w14:paraId="296A0042" w14:textId="77777777" w:rsidR="00B867D3" w:rsidRDefault="00B867D3" w:rsidP="00B867D3">
      <w:pPr>
        <w:numPr>
          <w:ilvl w:val="0"/>
          <w:numId w:val="14"/>
        </w:numPr>
        <w:spacing w:before="200" w:after="160" w:line="360" w:lineRule="auto"/>
        <w:jc w:val="both"/>
        <w:rPr>
          <w:rFonts w:ascii="Calibri" w:hAnsi="Calibri" w:cs="Calibri"/>
          <w:szCs w:val="24"/>
        </w:rPr>
      </w:pPr>
      <w:r>
        <w:rPr>
          <w:rFonts w:eastAsia="Times New Roman" w:cs="Times New Roman"/>
          <w:szCs w:val="24"/>
        </w:rPr>
        <w:t>the grant having been obtained by reliance on false statements, non-disclosure or concealment of important matter or information</w:t>
      </w:r>
    </w:p>
    <w:p w14:paraId="6298A77C" w14:textId="77777777" w:rsidR="00B867D3" w:rsidRDefault="00B867D3" w:rsidP="00B867D3">
      <w:pPr>
        <w:numPr>
          <w:ilvl w:val="0"/>
          <w:numId w:val="14"/>
        </w:numPr>
        <w:spacing w:before="200" w:after="160" w:line="360" w:lineRule="auto"/>
        <w:jc w:val="both"/>
        <w:rPr>
          <w:rFonts w:ascii="Calibri" w:hAnsi="Calibri" w:cs="Calibri"/>
          <w:szCs w:val="24"/>
        </w:rPr>
      </w:pPr>
      <w:r>
        <w:rPr>
          <w:rFonts w:eastAsia="Times New Roman" w:cs="Times New Roman"/>
          <w:szCs w:val="24"/>
        </w:rPr>
        <w:t xml:space="preserve">the person to whom grant was made having failed to apply for conﬁrmation within the prescribed time or having failed to diligently administer the estate or having failed to produce to the court within the prescribed time any inventory or account of administration as required in law or produces an inventory or account which is false </w:t>
      </w:r>
    </w:p>
    <w:p w14:paraId="155E3324" w14:textId="77777777" w:rsidR="00B867D3" w:rsidRDefault="00B867D3" w:rsidP="00B867D3">
      <w:pPr>
        <w:numPr>
          <w:ilvl w:val="0"/>
          <w:numId w:val="14"/>
        </w:numPr>
        <w:spacing w:before="200" w:after="160" w:line="360" w:lineRule="auto"/>
        <w:jc w:val="both"/>
        <w:rPr>
          <w:rFonts w:ascii="Calibri" w:hAnsi="Calibri" w:cs="Calibri"/>
          <w:szCs w:val="24"/>
        </w:rPr>
      </w:pPr>
      <w:r>
        <w:rPr>
          <w:rFonts w:eastAsia="Times New Roman" w:cs="Times New Roman"/>
          <w:szCs w:val="24"/>
        </w:rPr>
        <w:t xml:space="preserve"> the grant having become useless and inoperative through subsequent circumstances</w:t>
      </w:r>
    </w:p>
    <w:p w14:paraId="59DC9F8D"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Where one beneficiary has applied for a grant of letters of administration, Rule 26(1) of the P&amp;A Rules mandates notifying anyone in equal or higher priority before a grant is issued to the applicant. Buttre</w:t>
      </w:r>
      <w:r w:rsidR="00412BFB">
        <w:rPr>
          <w:rFonts w:eastAsia="Times New Roman" w:cs="Times New Roman"/>
          <w:szCs w:val="24"/>
        </w:rPr>
        <w:t>ssing this position, the court i</w:t>
      </w:r>
      <w:r>
        <w:rPr>
          <w:rFonts w:eastAsia="Times New Roman" w:cs="Times New Roman"/>
          <w:szCs w:val="24"/>
        </w:rPr>
        <w:t xml:space="preserve">n </w:t>
      </w:r>
      <w:r>
        <w:rPr>
          <w:rFonts w:eastAsia="Times New Roman" w:cs="Times New Roman"/>
          <w:b/>
          <w:i/>
          <w:szCs w:val="24"/>
        </w:rPr>
        <w:t>the Matter of the Estate of Muriranja Mboro Njiri, No. 890 of 2003</w:t>
      </w:r>
      <w:r>
        <w:rPr>
          <w:rFonts w:eastAsia="Times New Roman" w:cs="Times New Roman"/>
          <w:szCs w:val="24"/>
        </w:rPr>
        <w:t xml:space="preserve"> said that the consent of each heir in equal priority is mandatory for the issuance of a grant, otherwise the grant is subject to revocation</w:t>
      </w:r>
      <w:r w:rsidR="00412BFB">
        <w:rPr>
          <w:rFonts w:eastAsia="Times New Roman" w:cs="Times New Roman"/>
          <w:szCs w:val="24"/>
        </w:rPr>
        <w:t>. This consent shall be in</w:t>
      </w:r>
      <w:r>
        <w:rPr>
          <w:rFonts w:eastAsia="Times New Roman" w:cs="Times New Roman"/>
          <w:szCs w:val="24"/>
        </w:rPr>
        <w:t xml:space="preserve"> Form 38. </w:t>
      </w:r>
    </w:p>
    <w:p w14:paraId="7FE1DC41"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 xml:space="preserve">Failure of consent by other beneficiaries would require that the grant be revoked (what is expected in the ruling) under section 76(b) of the LSA for material concealment of facts. In the same section, a grant is revoked by the court either on its own motion or upon application by any interested party. A perfect example of this position was In </w:t>
      </w:r>
      <w:r>
        <w:rPr>
          <w:rFonts w:eastAsia="Times New Roman" w:cs="Times New Roman"/>
          <w:b/>
          <w:i/>
          <w:szCs w:val="24"/>
        </w:rPr>
        <w:t>Estate of Ezekiel Mulanda Masai Eldoret P&amp;A 4 of 1992</w:t>
      </w:r>
      <w:r>
        <w:rPr>
          <w:rFonts w:eastAsia="Times New Roman" w:cs="Times New Roman"/>
          <w:szCs w:val="24"/>
        </w:rPr>
        <w:t xml:space="preserve">, where the court revoked the grant because the widow and son of the deceased were left out in the petition. </w:t>
      </w:r>
    </w:p>
    <w:p w14:paraId="16CBA95E" w14:textId="77777777" w:rsidR="0026676C" w:rsidRDefault="004A315C">
      <w:pPr>
        <w:spacing w:before="200" w:after="160" w:line="360" w:lineRule="auto"/>
        <w:jc w:val="both"/>
        <w:rPr>
          <w:rFonts w:eastAsia="Times New Roman" w:cs="Times New Roman"/>
          <w:szCs w:val="24"/>
        </w:rPr>
      </w:pPr>
      <w:r>
        <w:rPr>
          <w:rFonts w:eastAsia="Times New Roman" w:cs="Times New Roman"/>
          <w:szCs w:val="24"/>
        </w:rPr>
        <w:t>From the discussion above, the summons for confirmation of grant issued to Kelline will be revoked.</w:t>
      </w:r>
    </w:p>
    <w:p w14:paraId="1E2D4973" w14:textId="77777777" w:rsidR="0026676C" w:rsidRDefault="004A315C">
      <w:pPr>
        <w:spacing w:before="200" w:line="360" w:lineRule="auto"/>
        <w:jc w:val="both"/>
        <w:rPr>
          <w:rFonts w:eastAsia="Times New Roman" w:cs="Times New Roman"/>
          <w:szCs w:val="24"/>
        </w:rPr>
      </w:pPr>
      <w:r>
        <w:rPr>
          <w:rFonts w:ascii="Calibri" w:hAnsi="Calibri" w:cs="Calibri"/>
          <w:sz w:val="22"/>
        </w:rPr>
        <w:br w:type="page"/>
      </w:r>
    </w:p>
    <w:p w14:paraId="4A67937F" w14:textId="77777777" w:rsidR="0026676C" w:rsidRDefault="004A315C">
      <w:pPr>
        <w:spacing w:before="200" w:line="360" w:lineRule="auto"/>
        <w:jc w:val="both"/>
        <w:rPr>
          <w:rFonts w:eastAsia="Times New Roman" w:cs="Times New Roman"/>
          <w:b/>
          <w:szCs w:val="24"/>
        </w:rPr>
      </w:pPr>
      <w:r>
        <w:rPr>
          <w:rFonts w:eastAsia="Times New Roman" w:cs="Times New Roman"/>
          <w:b/>
          <w:szCs w:val="24"/>
        </w:rPr>
        <w:t>ANNEXTURES:</w:t>
      </w:r>
    </w:p>
    <w:p w14:paraId="02925D5C" w14:textId="77777777" w:rsidR="0026676C" w:rsidRDefault="004A315C">
      <w:pPr>
        <w:spacing w:before="80" w:line="360" w:lineRule="auto"/>
        <w:ind w:left="120"/>
        <w:jc w:val="both"/>
        <w:rPr>
          <w:rFonts w:eastAsia="Times New Roman" w:cs="Times New Roman"/>
          <w:sz w:val="20"/>
          <w:szCs w:val="20"/>
        </w:rPr>
      </w:pPr>
      <w:r>
        <w:rPr>
          <w:rFonts w:eastAsia="Times New Roman" w:cs="Times New Roman"/>
          <w:sz w:val="20"/>
          <w:szCs w:val="20"/>
        </w:rPr>
        <w:t xml:space="preserve">Form 108                                                                                                                         </w:t>
      </w:r>
      <w:r>
        <w:rPr>
          <w:rFonts w:eastAsia="Times New Roman" w:cs="Times New Roman"/>
          <w:sz w:val="20"/>
          <w:szCs w:val="20"/>
        </w:rPr>
        <w:tab/>
        <w:t>(r.40 (1)</w:t>
      </w:r>
    </w:p>
    <w:p w14:paraId="44144D51" w14:textId="77777777" w:rsidR="0026676C" w:rsidRDefault="004A315C">
      <w:pPr>
        <w:spacing w:after="240" w:line="360" w:lineRule="auto"/>
        <w:jc w:val="both"/>
        <w:rPr>
          <w:rFonts w:eastAsia="Times New Roman" w:cs="Times New Roman"/>
          <w:szCs w:val="24"/>
        </w:rPr>
      </w:pPr>
      <w:r>
        <w:rPr>
          <w:rFonts w:eastAsia="Times New Roman" w:cs="Times New Roman"/>
          <w:szCs w:val="24"/>
        </w:rPr>
        <w:t xml:space="preserve"> </w:t>
      </w:r>
    </w:p>
    <w:p w14:paraId="59E6ED6D" w14:textId="77777777" w:rsidR="0026676C" w:rsidRDefault="004A315C">
      <w:pPr>
        <w:spacing w:line="360" w:lineRule="auto"/>
        <w:ind w:left="1860" w:right="1860"/>
        <w:jc w:val="center"/>
        <w:rPr>
          <w:rFonts w:eastAsia="Times New Roman" w:cs="Times New Roman"/>
          <w:b/>
          <w:szCs w:val="24"/>
        </w:rPr>
      </w:pPr>
      <w:r>
        <w:rPr>
          <w:rFonts w:eastAsia="Times New Roman" w:cs="Times New Roman"/>
          <w:b/>
          <w:szCs w:val="24"/>
        </w:rPr>
        <w:t xml:space="preserve">REPUBLIC OF KENYA </w:t>
      </w:r>
    </w:p>
    <w:p w14:paraId="0B2F46A4" w14:textId="77777777" w:rsidR="0026676C" w:rsidRDefault="004A315C">
      <w:pPr>
        <w:ind w:left="1740" w:right="1740"/>
        <w:jc w:val="center"/>
        <w:rPr>
          <w:rFonts w:eastAsia="Times New Roman" w:cs="Times New Roman"/>
          <w:b/>
          <w:szCs w:val="24"/>
        </w:rPr>
      </w:pPr>
      <w:r>
        <w:rPr>
          <w:rFonts w:eastAsia="Times New Roman" w:cs="Times New Roman"/>
          <w:b/>
          <w:szCs w:val="24"/>
        </w:rPr>
        <w:t>IN THE HIGH COURT OF KENYA AT NAIROBI SUCCESSION CAUSE NO. …………… OF 20…….</w:t>
      </w:r>
    </w:p>
    <w:p w14:paraId="2FB5C577" w14:textId="77777777" w:rsidR="0026676C" w:rsidRDefault="004A315C">
      <w:pPr>
        <w:ind w:left="1740" w:right="1740"/>
        <w:jc w:val="center"/>
        <w:rPr>
          <w:rFonts w:eastAsia="Times New Roman" w:cs="Times New Roman"/>
          <w:b/>
          <w:sz w:val="22"/>
        </w:rPr>
      </w:pPr>
      <w:r>
        <w:rPr>
          <w:rFonts w:eastAsia="Times New Roman" w:cs="Times New Roman"/>
          <w:b/>
          <w:szCs w:val="24"/>
        </w:rPr>
        <w:t xml:space="preserve"> IN THE MATTER OF CONFIRMATION OF GRANT OF LETTERS OF ADMINISTRATION INTESTATE UNDER SECTION 71 (I) OF THE LAW OF SUCCESSION ACT, (CAP 160) LAWS OF KENYA</w:t>
      </w:r>
      <w:r>
        <w:rPr>
          <w:rFonts w:eastAsia="Times New Roman" w:cs="Times New Roman"/>
          <w:b/>
          <w:sz w:val="22"/>
        </w:rPr>
        <w:t xml:space="preserve"> </w:t>
      </w:r>
    </w:p>
    <w:p w14:paraId="6B652F6F" w14:textId="77777777" w:rsidR="0026676C" w:rsidRDefault="004A315C">
      <w:pPr>
        <w:spacing w:line="360" w:lineRule="auto"/>
        <w:ind w:left="1860" w:right="1860"/>
        <w:jc w:val="center"/>
        <w:rPr>
          <w:rFonts w:eastAsia="Times New Roman" w:cs="Times New Roman"/>
          <w:b/>
          <w:sz w:val="20"/>
          <w:szCs w:val="20"/>
        </w:rPr>
      </w:pPr>
      <w:r>
        <w:rPr>
          <w:rFonts w:eastAsia="Times New Roman" w:cs="Times New Roman"/>
          <w:b/>
          <w:szCs w:val="24"/>
          <w:u w:val="single"/>
        </w:rPr>
        <w:t>SUMMONS FOR CONFIRMATION OF GRANT</w:t>
      </w:r>
    </w:p>
    <w:p w14:paraId="23D9A0EC" w14:textId="77777777" w:rsidR="0026676C" w:rsidRDefault="004A315C">
      <w:pPr>
        <w:spacing w:before="240" w:after="240" w:line="360" w:lineRule="auto"/>
        <w:jc w:val="both"/>
        <w:rPr>
          <w:rFonts w:eastAsia="Times New Roman" w:cs="Times New Roman"/>
          <w:b/>
          <w:sz w:val="20"/>
          <w:szCs w:val="20"/>
        </w:rPr>
      </w:pPr>
      <w:r>
        <w:rPr>
          <w:rFonts w:eastAsia="Times New Roman" w:cs="Times New Roman"/>
          <w:b/>
          <w:sz w:val="20"/>
          <w:szCs w:val="20"/>
        </w:rPr>
        <w:t xml:space="preserve"> </w:t>
      </w:r>
    </w:p>
    <w:p w14:paraId="6EFF5147" w14:textId="77777777" w:rsidR="0026676C" w:rsidRDefault="004A315C">
      <w:pPr>
        <w:spacing w:before="100" w:line="360" w:lineRule="auto"/>
        <w:ind w:left="120"/>
        <w:jc w:val="both"/>
        <w:rPr>
          <w:rFonts w:eastAsia="Times New Roman" w:cs="Times New Roman"/>
          <w:sz w:val="26"/>
          <w:szCs w:val="26"/>
        </w:rPr>
      </w:pPr>
      <w:r>
        <w:rPr>
          <w:rFonts w:eastAsia="Times New Roman" w:cs="Times New Roman"/>
          <w:szCs w:val="24"/>
        </w:rPr>
        <w:t>IN THE MATTER OF THE ESTATE OF …………</w:t>
      </w:r>
      <w:r>
        <w:rPr>
          <w:rFonts w:eastAsia="Times New Roman" w:cs="Times New Roman"/>
          <w:b/>
          <w:szCs w:val="24"/>
        </w:rPr>
        <w:t>BBXX</w:t>
      </w:r>
      <w:r>
        <w:rPr>
          <w:rFonts w:eastAsia="Times New Roman" w:cs="Times New Roman"/>
          <w:szCs w:val="24"/>
        </w:rPr>
        <w:t>……………………</w:t>
      </w:r>
      <w:r>
        <w:rPr>
          <w:rFonts w:eastAsia="Times New Roman" w:cs="Times New Roman"/>
          <w:sz w:val="26"/>
          <w:szCs w:val="26"/>
        </w:rPr>
        <w:t xml:space="preserve"> </w:t>
      </w:r>
    </w:p>
    <w:p w14:paraId="53DDFEF0" w14:textId="77777777" w:rsidR="0026676C" w:rsidRDefault="004A315C">
      <w:pPr>
        <w:spacing w:before="100" w:line="360" w:lineRule="auto"/>
        <w:ind w:left="120"/>
        <w:jc w:val="both"/>
        <w:rPr>
          <w:rFonts w:eastAsia="Times New Roman" w:cs="Times New Roman"/>
          <w:sz w:val="22"/>
        </w:rPr>
      </w:pPr>
      <w:r>
        <w:rPr>
          <w:rFonts w:eastAsia="Times New Roman" w:cs="Times New Roman"/>
          <w:sz w:val="22"/>
        </w:rPr>
        <w:t xml:space="preserve"> </w:t>
      </w:r>
    </w:p>
    <w:p w14:paraId="068A17A1" w14:textId="77777777" w:rsidR="0026676C" w:rsidRDefault="004A315C">
      <w:pPr>
        <w:spacing w:line="360" w:lineRule="auto"/>
        <w:ind w:left="120" w:right="120"/>
        <w:jc w:val="both"/>
        <w:rPr>
          <w:rFonts w:eastAsia="Times New Roman" w:cs="Times New Roman"/>
          <w:szCs w:val="24"/>
        </w:rPr>
      </w:pPr>
      <w:r>
        <w:rPr>
          <w:rFonts w:eastAsia="Times New Roman" w:cs="Times New Roman"/>
          <w:szCs w:val="24"/>
          <w:u w:val="single"/>
        </w:rPr>
        <w:t>LET ALL PARTIES CONCERNED</w:t>
      </w:r>
      <w:r>
        <w:rPr>
          <w:rFonts w:eastAsia="Times New Roman" w:cs="Times New Roman"/>
          <w:szCs w:val="24"/>
        </w:rPr>
        <w:t xml:space="preserve"> attend the Honorable Judge/Resident Magistrate in Chambers on the ………………day of ……………….. 20… at 9.00 O’clock in the forenoon or soon thereafter on the hearing of an application on the part of </w:t>
      </w:r>
      <w:r>
        <w:rPr>
          <w:rFonts w:eastAsia="Times New Roman" w:cs="Times New Roman"/>
          <w:b/>
          <w:szCs w:val="24"/>
          <w:u w:val="single"/>
        </w:rPr>
        <w:t>KKXX</w:t>
      </w:r>
      <w:r>
        <w:rPr>
          <w:rFonts w:eastAsia="Times New Roman" w:cs="Times New Roman"/>
          <w:b/>
          <w:szCs w:val="24"/>
        </w:rPr>
        <w:t xml:space="preserve"> </w:t>
      </w:r>
      <w:r>
        <w:rPr>
          <w:rFonts w:eastAsia="Times New Roman" w:cs="Times New Roman"/>
          <w:szCs w:val="24"/>
        </w:rPr>
        <w:t xml:space="preserve">or administrator of the estate of the above-named </w:t>
      </w:r>
      <w:r>
        <w:rPr>
          <w:rFonts w:eastAsia="Times New Roman" w:cs="Times New Roman"/>
          <w:b/>
          <w:szCs w:val="24"/>
          <w:u w:val="single"/>
        </w:rPr>
        <w:t>BBXX</w:t>
      </w:r>
      <w:r>
        <w:rPr>
          <w:rFonts w:eastAsia="Times New Roman" w:cs="Times New Roman"/>
          <w:b/>
          <w:szCs w:val="24"/>
        </w:rPr>
        <w:t xml:space="preserve"> </w:t>
      </w:r>
      <w:r>
        <w:rPr>
          <w:rFonts w:eastAsia="Times New Roman" w:cs="Times New Roman"/>
          <w:szCs w:val="24"/>
        </w:rPr>
        <w:t>who died on the........................................................................................................ for</w:t>
      </w:r>
    </w:p>
    <w:p w14:paraId="7AB9382D" w14:textId="77777777" w:rsidR="0026676C" w:rsidRDefault="004A315C">
      <w:pPr>
        <w:spacing w:before="240" w:after="240" w:line="360" w:lineRule="auto"/>
        <w:ind w:left="120"/>
        <w:jc w:val="both"/>
        <w:rPr>
          <w:rFonts w:eastAsia="Times New Roman" w:cs="Times New Roman"/>
          <w:sz w:val="22"/>
        </w:rPr>
      </w:pPr>
      <w:r>
        <w:rPr>
          <w:rFonts w:eastAsia="Times New Roman" w:cs="Times New Roman"/>
          <w:szCs w:val="24"/>
        </w:rPr>
        <w:t>Orders: -</w:t>
      </w:r>
      <w:r>
        <w:rPr>
          <w:rFonts w:eastAsia="Times New Roman" w:cs="Times New Roman"/>
          <w:sz w:val="22"/>
        </w:rPr>
        <w:t xml:space="preserve"> </w:t>
      </w:r>
    </w:p>
    <w:p w14:paraId="2EAD1B7F" w14:textId="77777777" w:rsidR="0026676C" w:rsidRDefault="004A315C">
      <w:pPr>
        <w:spacing w:before="240" w:after="240" w:line="360" w:lineRule="auto"/>
        <w:ind w:right="120"/>
        <w:jc w:val="both"/>
        <w:rPr>
          <w:rFonts w:eastAsia="Times New Roman" w:cs="Times New Roman"/>
          <w:sz w:val="35"/>
          <w:szCs w:val="35"/>
        </w:rPr>
      </w:pPr>
      <w:r>
        <w:rPr>
          <w:rFonts w:eastAsia="Times New Roman" w:cs="Times New Roman"/>
          <w:szCs w:val="24"/>
        </w:rPr>
        <w:t>1.</w:t>
      </w:r>
      <w:r>
        <w:rPr>
          <w:rFonts w:eastAsia="Times New Roman" w:cs="Times New Roman"/>
          <w:sz w:val="14"/>
          <w:szCs w:val="14"/>
        </w:rPr>
        <w:t xml:space="preserve">              </w:t>
      </w:r>
      <w:r>
        <w:rPr>
          <w:rFonts w:eastAsia="Times New Roman" w:cs="Times New Roman"/>
          <w:szCs w:val="24"/>
        </w:rPr>
        <w:t xml:space="preserve">That the grant of probate (or letters of administration intestate) made to the said </w:t>
      </w:r>
      <w:r>
        <w:rPr>
          <w:rFonts w:eastAsia="Times New Roman" w:cs="Times New Roman"/>
          <w:b/>
          <w:szCs w:val="24"/>
        </w:rPr>
        <w:t xml:space="preserve">KKXX </w:t>
      </w:r>
      <w:r>
        <w:rPr>
          <w:rFonts w:eastAsia="Times New Roman" w:cs="Times New Roman"/>
          <w:szCs w:val="24"/>
        </w:rPr>
        <w:t>in this matter on ………….be confirmed and the estate be divided in terms of the annexed proposed mode of distribution.</w:t>
      </w:r>
      <w:r>
        <w:rPr>
          <w:rFonts w:eastAsia="Times New Roman" w:cs="Times New Roman"/>
          <w:sz w:val="35"/>
          <w:szCs w:val="35"/>
        </w:rPr>
        <w:t xml:space="preserve"> </w:t>
      </w:r>
    </w:p>
    <w:p w14:paraId="4204A86F" w14:textId="77777777" w:rsidR="0026676C" w:rsidRDefault="004A315C">
      <w:pPr>
        <w:spacing w:before="240" w:after="240" w:line="360" w:lineRule="auto"/>
        <w:jc w:val="both"/>
        <w:rPr>
          <w:rFonts w:eastAsia="Times New Roman" w:cs="Times New Roman"/>
          <w:szCs w:val="24"/>
        </w:rPr>
      </w:pPr>
      <w:r>
        <w:rPr>
          <w:rFonts w:eastAsia="Times New Roman" w:cs="Times New Roman"/>
          <w:szCs w:val="24"/>
        </w:rPr>
        <w:t>2.</w:t>
      </w:r>
      <w:r>
        <w:rPr>
          <w:rFonts w:eastAsia="Times New Roman" w:cs="Times New Roman"/>
          <w:sz w:val="14"/>
          <w:szCs w:val="14"/>
        </w:rPr>
        <w:t xml:space="preserve">              </w:t>
      </w:r>
      <w:r>
        <w:rPr>
          <w:rFonts w:eastAsia="Times New Roman" w:cs="Times New Roman"/>
          <w:szCs w:val="24"/>
        </w:rPr>
        <w:t>That the costs of this application be costs in the cause.</w:t>
      </w:r>
    </w:p>
    <w:p w14:paraId="47BE873C" w14:textId="77777777" w:rsidR="0026676C" w:rsidRDefault="004A315C">
      <w:pPr>
        <w:spacing w:before="240" w:after="240" w:line="360" w:lineRule="auto"/>
        <w:jc w:val="both"/>
        <w:rPr>
          <w:rFonts w:eastAsia="Times New Roman" w:cs="Times New Roman"/>
          <w:sz w:val="26"/>
          <w:szCs w:val="26"/>
        </w:rPr>
      </w:pPr>
      <w:r>
        <w:rPr>
          <w:rFonts w:eastAsia="Times New Roman" w:cs="Times New Roman"/>
          <w:sz w:val="26"/>
          <w:szCs w:val="26"/>
        </w:rPr>
        <w:t xml:space="preserve"> </w:t>
      </w:r>
    </w:p>
    <w:p w14:paraId="7356EBA0" w14:textId="77777777" w:rsidR="0026676C" w:rsidRDefault="004A315C">
      <w:pPr>
        <w:spacing w:before="240" w:after="240" w:line="360" w:lineRule="auto"/>
        <w:jc w:val="both"/>
        <w:rPr>
          <w:rFonts w:eastAsia="Times New Roman" w:cs="Times New Roman"/>
          <w:sz w:val="22"/>
        </w:rPr>
      </w:pPr>
      <w:r>
        <w:rPr>
          <w:rFonts w:eastAsia="Times New Roman" w:cs="Times New Roman"/>
          <w:sz w:val="22"/>
        </w:rPr>
        <w:t xml:space="preserve"> </w:t>
      </w:r>
    </w:p>
    <w:p w14:paraId="689A495E" w14:textId="77777777" w:rsidR="0026676C" w:rsidRPr="00DE54ED" w:rsidRDefault="004A315C" w:rsidP="00DE54ED">
      <w:pPr>
        <w:spacing w:before="240" w:after="240" w:line="360" w:lineRule="auto"/>
        <w:ind w:left="480"/>
        <w:jc w:val="both"/>
        <w:rPr>
          <w:rFonts w:eastAsia="Times New Roman" w:cs="Times New Roman"/>
          <w:szCs w:val="24"/>
        </w:rPr>
      </w:pPr>
      <w:r>
        <w:rPr>
          <w:rFonts w:eastAsia="Times New Roman" w:cs="Times New Roman"/>
          <w:szCs w:val="24"/>
          <w:u w:val="single"/>
        </w:rPr>
        <w:t>WHICH APPLICATION IS BASED ON GROUNDS THAT</w:t>
      </w:r>
      <w:r>
        <w:rPr>
          <w:rFonts w:eastAsia="Times New Roman" w:cs="Times New Roman"/>
          <w:szCs w:val="24"/>
        </w:rPr>
        <w:t>: -</w:t>
      </w:r>
      <w:r>
        <w:rPr>
          <w:rFonts w:eastAsia="Times New Roman" w:cs="Times New Roman"/>
          <w:sz w:val="22"/>
        </w:rPr>
        <w:t xml:space="preserve"> </w:t>
      </w:r>
    </w:p>
    <w:p w14:paraId="01FD78E3" w14:textId="77777777" w:rsidR="0026676C" w:rsidRDefault="004A315C">
      <w:pPr>
        <w:spacing w:before="240" w:after="240" w:line="360" w:lineRule="auto"/>
        <w:jc w:val="both"/>
        <w:rPr>
          <w:rFonts w:eastAsia="Times New Roman" w:cs="Times New Roman"/>
          <w:szCs w:val="24"/>
        </w:rPr>
      </w:pPr>
      <w:r>
        <w:rPr>
          <w:rFonts w:eastAsia="Times New Roman" w:cs="Times New Roman"/>
          <w:szCs w:val="24"/>
        </w:rPr>
        <w:t>1.</w:t>
      </w:r>
      <w:r>
        <w:rPr>
          <w:rFonts w:eastAsia="Times New Roman" w:cs="Times New Roman"/>
          <w:sz w:val="14"/>
          <w:szCs w:val="14"/>
        </w:rPr>
        <w:t xml:space="preserve">              </w:t>
      </w:r>
      <w:r>
        <w:rPr>
          <w:rFonts w:eastAsia="Times New Roman" w:cs="Times New Roman"/>
          <w:szCs w:val="24"/>
        </w:rPr>
        <w:t>……………………….</w:t>
      </w:r>
    </w:p>
    <w:p w14:paraId="741358DB" w14:textId="77777777" w:rsidR="0026676C" w:rsidRDefault="004A315C">
      <w:pPr>
        <w:spacing w:before="140" w:after="240" w:line="360" w:lineRule="auto"/>
        <w:jc w:val="both"/>
        <w:rPr>
          <w:rFonts w:eastAsia="Times New Roman" w:cs="Times New Roman"/>
          <w:szCs w:val="24"/>
        </w:rPr>
      </w:pPr>
      <w:r>
        <w:rPr>
          <w:rFonts w:eastAsia="Times New Roman" w:cs="Times New Roman"/>
          <w:szCs w:val="24"/>
        </w:rPr>
        <w:t>2.</w:t>
      </w:r>
      <w:r>
        <w:rPr>
          <w:rFonts w:eastAsia="Times New Roman" w:cs="Times New Roman"/>
          <w:sz w:val="14"/>
          <w:szCs w:val="14"/>
        </w:rPr>
        <w:t xml:space="preserve">              </w:t>
      </w:r>
      <w:r>
        <w:rPr>
          <w:rFonts w:eastAsia="Times New Roman" w:cs="Times New Roman"/>
          <w:szCs w:val="24"/>
        </w:rPr>
        <w:t>…………………………</w:t>
      </w:r>
    </w:p>
    <w:p w14:paraId="2544B2D6" w14:textId="77777777" w:rsidR="0026676C" w:rsidRPr="00DE54ED" w:rsidRDefault="004A315C" w:rsidP="00DE54ED">
      <w:pPr>
        <w:spacing w:before="140" w:after="240" w:line="360" w:lineRule="auto"/>
        <w:jc w:val="both"/>
        <w:rPr>
          <w:rFonts w:eastAsia="Times New Roman" w:cs="Times New Roman"/>
          <w:szCs w:val="24"/>
        </w:rPr>
      </w:pPr>
      <w:r>
        <w:rPr>
          <w:rFonts w:eastAsia="Times New Roman" w:cs="Times New Roman"/>
          <w:szCs w:val="24"/>
        </w:rPr>
        <w:t>3.</w:t>
      </w:r>
      <w:r>
        <w:rPr>
          <w:rFonts w:eastAsia="Times New Roman" w:cs="Times New Roman"/>
          <w:sz w:val="14"/>
          <w:szCs w:val="14"/>
        </w:rPr>
        <w:t xml:space="preserve">              </w:t>
      </w:r>
      <w:r>
        <w:rPr>
          <w:rFonts w:eastAsia="Times New Roman" w:cs="Times New Roman"/>
          <w:szCs w:val="24"/>
        </w:rPr>
        <w:t>……………………….</w:t>
      </w:r>
      <w:r>
        <w:rPr>
          <w:rFonts w:eastAsia="Times New Roman" w:cs="Times New Roman"/>
          <w:sz w:val="21"/>
          <w:szCs w:val="21"/>
        </w:rPr>
        <w:t xml:space="preserve"> </w:t>
      </w:r>
    </w:p>
    <w:p w14:paraId="578D8E16" w14:textId="77777777" w:rsidR="0026676C" w:rsidRDefault="004A315C">
      <w:pPr>
        <w:spacing w:before="240" w:after="240" w:line="360" w:lineRule="auto"/>
        <w:ind w:right="120"/>
        <w:jc w:val="both"/>
        <w:rPr>
          <w:rFonts w:eastAsia="Times New Roman" w:cs="Times New Roman"/>
          <w:szCs w:val="24"/>
        </w:rPr>
      </w:pPr>
      <w:r>
        <w:rPr>
          <w:rFonts w:eastAsia="Times New Roman" w:cs="Times New Roman"/>
          <w:szCs w:val="24"/>
        </w:rPr>
        <w:t>4.</w:t>
      </w:r>
      <w:r>
        <w:rPr>
          <w:rFonts w:eastAsia="Times New Roman" w:cs="Times New Roman"/>
          <w:sz w:val="14"/>
          <w:szCs w:val="14"/>
        </w:rPr>
        <w:t xml:space="preserve">              </w:t>
      </w:r>
      <w:r>
        <w:rPr>
          <w:rFonts w:eastAsia="Times New Roman" w:cs="Times New Roman"/>
          <w:szCs w:val="24"/>
        </w:rPr>
        <w:t>That all beneficiaries are in agreement that the said grant be confirmed and the property divided in terms of the proposed mode of distribution annexed hereto.</w:t>
      </w:r>
    </w:p>
    <w:p w14:paraId="6C90D3BB" w14:textId="77777777" w:rsidR="0026676C" w:rsidRDefault="0026676C">
      <w:pPr>
        <w:spacing w:before="200" w:after="160" w:line="360" w:lineRule="auto"/>
        <w:jc w:val="both"/>
        <w:rPr>
          <w:rFonts w:eastAsia="Times New Roman" w:cs="Times New Roman"/>
          <w:szCs w:val="24"/>
        </w:rPr>
      </w:pPr>
    </w:p>
    <w:p w14:paraId="0B17A2CD" w14:textId="77777777" w:rsidR="0026676C" w:rsidRDefault="004A315C">
      <w:pPr>
        <w:spacing w:before="80" w:line="360" w:lineRule="auto"/>
        <w:ind w:left="120"/>
        <w:jc w:val="both"/>
        <w:rPr>
          <w:rFonts w:eastAsia="Times New Roman" w:cs="Times New Roman"/>
          <w:szCs w:val="24"/>
        </w:rPr>
      </w:pPr>
      <w:r>
        <w:rPr>
          <w:rFonts w:eastAsia="Times New Roman" w:cs="Times New Roman"/>
          <w:szCs w:val="24"/>
        </w:rPr>
        <w:t xml:space="preserve">WHICH APPLICATION will be grounded upon the Affidavit of </w:t>
      </w:r>
      <w:r>
        <w:rPr>
          <w:rFonts w:eastAsia="Times New Roman" w:cs="Times New Roman"/>
          <w:b/>
          <w:szCs w:val="24"/>
          <w:u w:val="single"/>
        </w:rPr>
        <w:t>KKXX</w:t>
      </w:r>
      <w:r>
        <w:rPr>
          <w:rFonts w:eastAsia="Times New Roman" w:cs="Times New Roman"/>
          <w:b/>
          <w:szCs w:val="24"/>
        </w:rPr>
        <w:t xml:space="preserve"> </w:t>
      </w:r>
      <w:r>
        <w:rPr>
          <w:rFonts w:eastAsia="Times New Roman" w:cs="Times New Roman"/>
          <w:szCs w:val="24"/>
        </w:rPr>
        <w:t>filed herewith.</w:t>
      </w:r>
    </w:p>
    <w:p w14:paraId="24CD3B50" w14:textId="77777777" w:rsidR="0026676C" w:rsidRDefault="004A315C">
      <w:pPr>
        <w:spacing w:before="240" w:after="240" w:line="360" w:lineRule="auto"/>
        <w:jc w:val="both"/>
        <w:rPr>
          <w:rFonts w:eastAsia="Times New Roman" w:cs="Times New Roman"/>
          <w:sz w:val="26"/>
          <w:szCs w:val="26"/>
        </w:rPr>
      </w:pPr>
      <w:r>
        <w:rPr>
          <w:rFonts w:eastAsia="Times New Roman" w:cs="Times New Roman"/>
          <w:sz w:val="26"/>
          <w:szCs w:val="26"/>
        </w:rPr>
        <w:t xml:space="preserve"> </w:t>
      </w:r>
    </w:p>
    <w:p w14:paraId="70691F50" w14:textId="77777777" w:rsidR="0026676C" w:rsidRDefault="004A315C">
      <w:pPr>
        <w:spacing w:before="240" w:after="240" w:line="360" w:lineRule="auto"/>
        <w:jc w:val="both"/>
        <w:rPr>
          <w:rFonts w:eastAsia="Times New Roman" w:cs="Times New Roman"/>
          <w:sz w:val="26"/>
          <w:szCs w:val="26"/>
        </w:rPr>
      </w:pPr>
      <w:r>
        <w:rPr>
          <w:rFonts w:eastAsia="Times New Roman" w:cs="Times New Roman"/>
          <w:sz w:val="26"/>
          <w:szCs w:val="26"/>
        </w:rPr>
        <w:t xml:space="preserve"> </w:t>
      </w:r>
    </w:p>
    <w:p w14:paraId="0BE32332" w14:textId="77777777" w:rsidR="0026676C" w:rsidRDefault="004A315C">
      <w:pPr>
        <w:spacing w:before="20" w:after="240" w:line="360" w:lineRule="auto"/>
        <w:jc w:val="both"/>
        <w:rPr>
          <w:rFonts w:eastAsia="Times New Roman" w:cs="Times New Roman"/>
          <w:sz w:val="31"/>
          <w:szCs w:val="31"/>
        </w:rPr>
      </w:pPr>
      <w:r>
        <w:rPr>
          <w:rFonts w:eastAsia="Times New Roman" w:cs="Times New Roman"/>
          <w:sz w:val="31"/>
          <w:szCs w:val="31"/>
        </w:rPr>
        <w:t xml:space="preserve"> </w:t>
      </w:r>
    </w:p>
    <w:p w14:paraId="23C9F4A1" w14:textId="77777777" w:rsidR="0026676C" w:rsidRDefault="004A315C">
      <w:pPr>
        <w:spacing w:before="240" w:after="240" w:line="360" w:lineRule="auto"/>
        <w:ind w:left="120"/>
        <w:jc w:val="both"/>
        <w:rPr>
          <w:rFonts w:eastAsia="Times New Roman" w:cs="Times New Roman"/>
          <w:szCs w:val="24"/>
        </w:rPr>
      </w:pPr>
      <w:r>
        <w:rPr>
          <w:rFonts w:eastAsia="Times New Roman" w:cs="Times New Roman"/>
          <w:szCs w:val="24"/>
        </w:rPr>
        <w:t>Dated the …………………………day of....................................................................................................... 20…</w:t>
      </w:r>
    </w:p>
    <w:p w14:paraId="15BA9890" w14:textId="77777777" w:rsidR="0026676C" w:rsidRDefault="004A315C">
      <w:pPr>
        <w:spacing w:before="240" w:after="240" w:line="360" w:lineRule="auto"/>
        <w:jc w:val="both"/>
        <w:rPr>
          <w:rFonts w:eastAsia="Times New Roman" w:cs="Times New Roman"/>
          <w:sz w:val="26"/>
          <w:szCs w:val="26"/>
        </w:rPr>
      </w:pPr>
      <w:r>
        <w:rPr>
          <w:rFonts w:eastAsia="Times New Roman" w:cs="Times New Roman"/>
          <w:sz w:val="26"/>
          <w:szCs w:val="26"/>
        </w:rPr>
        <w:t xml:space="preserve"> </w:t>
      </w:r>
    </w:p>
    <w:p w14:paraId="327B7826" w14:textId="77777777" w:rsidR="0026676C" w:rsidRDefault="004A315C">
      <w:pPr>
        <w:spacing w:before="240" w:after="240" w:line="360" w:lineRule="auto"/>
        <w:jc w:val="both"/>
        <w:rPr>
          <w:rFonts w:eastAsia="Times New Roman" w:cs="Times New Roman"/>
          <w:sz w:val="26"/>
          <w:szCs w:val="26"/>
        </w:rPr>
      </w:pPr>
      <w:r>
        <w:rPr>
          <w:rFonts w:eastAsia="Times New Roman" w:cs="Times New Roman"/>
          <w:sz w:val="26"/>
          <w:szCs w:val="26"/>
        </w:rPr>
        <w:t xml:space="preserve"> </w:t>
      </w:r>
    </w:p>
    <w:p w14:paraId="45BD073F" w14:textId="77777777" w:rsidR="0026676C" w:rsidRDefault="004A315C">
      <w:pPr>
        <w:spacing w:before="220" w:line="360" w:lineRule="auto"/>
        <w:ind w:left="5580"/>
        <w:jc w:val="both"/>
        <w:rPr>
          <w:rFonts w:eastAsia="Times New Roman" w:cs="Times New Roman"/>
          <w:szCs w:val="24"/>
        </w:rPr>
      </w:pPr>
      <w:r>
        <w:rPr>
          <w:rFonts w:eastAsia="Times New Roman" w:cs="Times New Roman"/>
          <w:szCs w:val="24"/>
        </w:rPr>
        <w:t>………………………………….</w:t>
      </w:r>
    </w:p>
    <w:p w14:paraId="7FCBD3A0" w14:textId="77777777" w:rsidR="0026676C" w:rsidRDefault="004A315C">
      <w:pPr>
        <w:spacing w:line="360" w:lineRule="auto"/>
        <w:ind w:left="6600"/>
        <w:jc w:val="both"/>
        <w:rPr>
          <w:rFonts w:eastAsia="Times New Roman" w:cs="Times New Roman"/>
          <w:b/>
          <w:szCs w:val="24"/>
        </w:rPr>
      </w:pPr>
      <w:r>
        <w:rPr>
          <w:rFonts w:eastAsia="Times New Roman" w:cs="Times New Roman"/>
          <w:b/>
          <w:szCs w:val="24"/>
        </w:rPr>
        <w:t>Applicant</w:t>
      </w:r>
    </w:p>
    <w:p w14:paraId="498295DD" w14:textId="77777777" w:rsidR="0026676C" w:rsidRDefault="004A315C">
      <w:pPr>
        <w:spacing w:before="240" w:after="240" w:line="360" w:lineRule="auto"/>
        <w:jc w:val="both"/>
        <w:rPr>
          <w:rFonts w:eastAsia="Times New Roman" w:cs="Times New Roman"/>
          <w:b/>
          <w:sz w:val="26"/>
          <w:szCs w:val="26"/>
        </w:rPr>
      </w:pPr>
      <w:r>
        <w:rPr>
          <w:rFonts w:eastAsia="Times New Roman" w:cs="Times New Roman"/>
          <w:b/>
          <w:sz w:val="26"/>
          <w:szCs w:val="26"/>
        </w:rPr>
        <w:t xml:space="preserve"> </w:t>
      </w:r>
    </w:p>
    <w:p w14:paraId="31BC1920" w14:textId="77777777" w:rsidR="0026676C" w:rsidRDefault="004A315C">
      <w:pPr>
        <w:spacing w:before="240" w:after="240" w:line="360" w:lineRule="auto"/>
        <w:jc w:val="both"/>
        <w:rPr>
          <w:rFonts w:eastAsia="Times New Roman" w:cs="Times New Roman"/>
          <w:b/>
          <w:sz w:val="26"/>
          <w:szCs w:val="26"/>
        </w:rPr>
      </w:pPr>
      <w:r>
        <w:rPr>
          <w:rFonts w:eastAsia="Times New Roman" w:cs="Times New Roman"/>
          <w:b/>
          <w:sz w:val="26"/>
          <w:szCs w:val="26"/>
        </w:rPr>
        <w:t xml:space="preserve"> </w:t>
      </w:r>
    </w:p>
    <w:p w14:paraId="181CB24D" w14:textId="77777777" w:rsidR="0026676C" w:rsidRPr="00DE54ED" w:rsidRDefault="004A315C" w:rsidP="00DE54ED">
      <w:pPr>
        <w:spacing w:before="220" w:line="360" w:lineRule="auto"/>
        <w:ind w:left="120"/>
        <w:jc w:val="both"/>
        <w:rPr>
          <w:rFonts w:eastAsia="Times New Roman" w:cs="Times New Roman"/>
          <w:b/>
          <w:szCs w:val="24"/>
        </w:rPr>
      </w:pPr>
      <w:r>
        <w:rPr>
          <w:rFonts w:eastAsia="Times New Roman" w:cs="Times New Roman"/>
          <w:b/>
          <w:szCs w:val="24"/>
        </w:rPr>
        <w:t>ISSUED on the ………………………………….day of …………………………20….</w:t>
      </w:r>
    </w:p>
    <w:p w14:paraId="1FF0E700" w14:textId="77777777" w:rsidR="00DE54ED" w:rsidRDefault="004A315C" w:rsidP="00DE54ED">
      <w:pPr>
        <w:spacing w:before="160" w:line="360" w:lineRule="auto"/>
        <w:ind w:left="3660"/>
        <w:jc w:val="both"/>
        <w:rPr>
          <w:rFonts w:eastAsia="Times New Roman" w:cs="Times New Roman"/>
          <w:b/>
          <w:szCs w:val="24"/>
          <w:u w:val="single"/>
        </w:rPr>
      </w:pPr>
      <w:r>
        <w:rPr>
          <w:rFonts w:eastAsia="Times New Roman" w:cs="Times New Roman"/>
          <w:b/>
          <w:szCs w:val="24"/>
          <w:u w:val="single"/>
        </w:rPr>
        <w:t>DEPUTY REGISTRAR</w:t>
      </w:r>
    </w:p>
    <w:p w14:paraId="77DAB939" w14:textId="77777777" w:rsidR="0026676C" w:rsidRPr="00DE54ED" w:rsidRDefault="004A315C" w:rsidP="00DE54ED">
      <w:pPr>
        <w:spacing w:before="160" w:line="360" w:lineRule="auto"/>
        <w:ind w:left="3660"/>
        <w:jc w:val="both"/>
        <w:rPr>
          <w:rFonts w:eastAsia="Times New Roman" w:cs="Times New Roman"/>
          <w:b/>
          <w:szCs w:val="24"/>
          <w:u w:val="single"/>
        </w:rPr>
      </w:pPr>
      <w:r>
        <w:rPr>
          <w:rFonts w:eastAsia="Times New Roman" w:cs="Times New Roman"/>
          <w:b/>
          <w:szCs w:val="24"/>
        </w:rPr>
        <w:t xml:space="preserve"> </w:t>
      </w:r>
    </w:p>
    <w:p w14:paraId="1D00B1D3" w14:textId="77777777" w:rsidR="0026676C" w:rsidRDefault="004A315C">
      <w:pPr>
        <w:spacing w:before="100" w:line="360" w:lineRule="auto"/>
        <w:ind w:left="120"/>
        <w:jc w:val="both"/>
        <w:rPr>
          <w:rFonts w:eastAsia="Times New Roman" w:cs="Times New Roman"/>
          <w:b/>
          <w:szCs w:val="24"/>
        </w:rPr>
      </w:pPr>
      <w:r>
        <w:rPr>
          <w:rFonts w:eastAsia="Times New Roman" w:cs="Times New Roman"/>
          <w:b/>
          <w:szCs w:val="24"/>
          <w:u w:val="single"/>
        </w:rPr>
        <w:t>Drawn &amp; Filed by</w:t>
      </w:r>
      <w:r>
        <w:rPr>
          <w:rFonts w:eastAsia="Times New Roman" w:cs="Times New Roman"/>
          <w:b/>
          <w:szCs w:val="24"/>
        </w:rPr>
        <w:t>: -</w:t>
      </w:r>
    </w:p>
    <w:p w14:paraId="3EB2B7B4" w14:textId="77777777" w:rsidR="0026676C" w:rsidRDefault="004A315C">
      <w:pPr>
        <w:spacing w:before="100" w:line="360" w:lineRule="auto"/>
        <w:ind w:left="120"/>
        <w:jc w:val="both"/>
        <w:rPr>
          <w:rFonts w:eastAsia="Times New Roman" w:cs="Times New Roman"/>
          <w:szCs w:val="24"/>
        </w:rPr>
      </w:pPr>
      <w:r>
        <w:rPr>
          <w:rFonts w:eastAsia="Times New Roman" w:cs="Times New Roman"/>
          <w:szCs w:val="24"/>
        </w:rPr>
        <w:t xml:space="preserve"> </w:t>
      </w:r>
    </w:p>
    <w:p w14:paraId="693E5C3D" w14:textId="77777777" w:rsidR="0026676C" w:rsidRDefault="0026676C">
      <w:pPr>
        <w:spacing w:before="200" w:after="160" w:line="360" w:lineRule="auto"/>
        <w:jc w:val="both"/>
        <w:rPr>
          <w:rFonts w:eastAsia="Times New Roman" w:cs="Times New Roman"/>
          <w:szCs w:val="24"/>
        </w:rPr>
      </w:pPr>
    </w:p>
    <w:p w14:paraId="186586ED" w14:textId="77777777" w:rsidR="00DE54ED" w:rsidRDefault="00DE54ED">
      <w:pPr>
        <w:spacing w:before="240" w:after="240" w:line="360" w:lineRule="auto"/>
        <w:jc w:val="both"/>
        <w:rPr>
          <w:rFonts w:eastAsia="Times New Roman" w:cs="Times New Roman"/>
          <w:szCs w:val="24"/>
        </w:rPr>
      </w:pPr>
    </w:p>
    <w:p w14:paraId="09F5E1C1" w14:textId="77777777" w:rsidR="00DE54ED" w:rsidRDefault="00DE54ED">
      <w:pPr>
        <w:spacing w:before="240" w:after="240" w:line="360" w:lineRule="auto"/>
        <w:jc w:val="both"/>
        <w:rPr>
          <w:rFonts w:eastAsia="Times New Roman" w:cs="Times New Roman"/>
          <w:szCs w:val="24"/>
        </w:rPr>
      </w:pPr>
    </w:p>
    <w:p w14:paraId="38E270AC" w14:textId="77777777" w:rsidR="00DE54ED" w:rsidRDefault="00DE54ED">
      <w:pPr>
        <w:spacing w:before="240" w:after="240" w:line="360" w:lineRule="auto"/>
        <w:jc w:val="both"/>
        <w:rPr>
          <w:rFonts w:eastAsia="Times New Roman" w:cs="Times New Roman"/>
          <w:szCs w:val="24"/>
        </w:rPr>
      </w:pPr>
    </w:p>
    <w:p w14:paraId="62093BDE" w14:textId="77777777" w:rsidR="00DE54ED" w:rsidRDefault="00DE54ED">
      <w:pPr>
        <w:spacing w:before="240" w:after="240" w:line="360" w:lineRule="auto"/>
        <w:jc w:val="both"/>
        <w:rPr>
          <w:rFonts w:eastAsia="Times New Roman" w:cs="Times New Roman"/>
          <w:szCs w:val="24"/>
        </w:rPr>
      </w:pPr>
    </w:p>
    <w:p w14:paraId="174A9522" w14:textId="77777777" w:rsidR="00DE54ED" w:rsidRDefault="00DE54ED">
      <w:pPr>
        <w:spacing w:before="240" w:after="240" w:line="360" w:lineRule="auto"/>
        <w:jc w:val="both"/>
        <w:rPr>
          <w:rFonts w:eastAsia="Times New Roman" w:cs="Times New Roman"/>
          <w:szCs w:val="24"/>
        </w:rPr>
      </w:pPr>
    </w:p>
    <w:p w14:paraId="2347F8E5" w14:textId="77777777" w:rsidR="00DE54ED" w:rsidRDefault="00DE54ED">
      <w:pPr>
        <w:spacing w:before="240" w:after="240" w:line="360" w:lineRule="auto"/>
        <w:jc w:val="both"/>
        <w:rPr>
          <w:rFonts w:eastAsia="Times New Roman" w:cs="Times New Roman"/>
          <w:szCs w:val="24"/>
        </w:rPr>
      </w:pPr>
    </w:p>
    <w:p w14:paraId="1B241DDE" w14:textId="77777777" w:rsidR="00DE54ED" w:rsidRDefault="00DE54ED">
      <w:pPr>
        <w:spacing w:before="240" w:after="240" w:line="360" w:lineRule="auto"/>
        <w:jc w:val="both"/>
        <w:rPr>
          <w:rFonts w:eastAsia="Times New Roman" w:cs="Times New Roman"/>
          <w:szCs w:val="24"/>
        </w:rPr>
      </w:pPr>
    </w:p>
    <w:p w14:paraId="539A9BB9" w14:textId="77777777" w:rsidR="00DE54ED" w:rsidRDefault="00DE54ED">
      <w:pPr>
        <w:spacing w:before="240" w:after="240" w:line="360" w:lineRule="auto"/>
        <w:jc w:val="both"/>
        <w:rPr>
          <w:rFonts w:eastAsia="Times New Roman" w:cs="Times New Roman"/>
          <w:szCs w:val="24"/>
        </w:rPr>
      </w:pPr>
    </w:p>
    <w:p w14:paraId="6D54EC62" w14:textId="77777777" w:rsidR="00DE54ED" w:rsidRDefault="00DE54ED">
      <w:pPr>
        <w:spacing w:before="240" w:after="240" w:line="360" w:lineRule="auto"/>
        <w:jc w:val="both"/>
        <w:rPr>
          <w:rFonts w:eastAsia="Times New Roman" w:cs="Times New Roman"/>
          <w:szCs w:val="24"/>
        </w:rPr>
      </w:pPr>
    </w:p>
    <w:p w14:paraId="6DFD662F" w14:textId="77777777" w:rsidR="00DE54ED" w:rsidRDefault="00DE54ED">
      <w:pPr>
        <w:spacing w:before="240" w:after="240" w:line="360" w:lineRule="auto"/>
        <w:jc w:val="both"/>
        <w:rPr>
          <w:rFonts w:eastAsia="Times New Roman" w:cs="Times New Roman"/>
          <w:szCs w:val="24"/>
        </w:rPr>
      </w:pPr>
    </w:p>
    <w:p w14:paraId="2D45F935" w14:textId="77777777" w:rsidR="00DE54ED" w:rsidRDefault="00DE54ED">
      <w:pPr>
        <w:spacing w:before="240" w:after="240" w:line="360" w:lineRule="auto"/>
        <w:jc w:val="both"/>
        <w:rPr>
          <w:rFonts w:eastAsia="Times New Roman" w:cs="Times New Roman"/>
          <w:szCs w:val="24"/>
        </w:rPr>
      </w:pPr>
    </w:p>
    <w:p w14:paraId="707641E3" w14:textId="77777777" w:rsidR="00DE54ED" w:rsidRDefault="00DE54ED">
      <w:pPr>
        <w:spacing w:before="240" w:after="240" w:line="360" w:lineRule="auto"/>
        <w:jc w:val="both"/>
        <w:rPr>
          <w:rFonts w:eastAsia="Times New Roman" w:cs="Times New Roman"/>
          <w:szCs w:val="24"/>
        </w:rPr>
      </w:pPr>
    </w:p>
    <w:p w14:paraId="03CAA74A" w14:textId="77777777" w:rsidR="00DE54ED" w:rsidRDefault="00DE54ED">
      <w:pPr>
        <w:spacing w:before="240" w:after="240" w:line="360" w:lineRule="auto"/>
        <w:jc w:val="both"/>
        <w:rPr>
          <w:rFonts w:eastAsia="Times New Roman" w:cs="Times New Roman"/>
          <w:szCs w:val="24"/>
        </w:rPr>
      </w:pPr>
    </w:p>
    <w:p w14:paraId="1080853F" w14:textId="77777777" w:rsidR="00DE54ED" w:rsidRDefault="00DE54ED">
      <w:pPr>
        <w:spacing w:before="240" w:after="240" w:line="360" w:lineRule="auto"/>
        <w:jc w:val="both"/>
        <w:rPr>
          <w:rFonts w:eastAsia="Times New Roman" w:cs="Times New Roman"/>
          <w:szCs w:val="24"/>
        </w:rPr>
      </w:pPr>
    </w:p>
    <w:p w14:paraId="2D8480AE" w14:textId="77777777" w:rsidR="00DE54ED" w:rsidRDefault="00DE54ED">
      <w:pPr>
        <w:spacing w:before="240" w:after="240" w:line="360" w:lineRule="auto"/>
        <w:jc w:val="both"/>
        <w:rPr>
          <w:rFonts w:eastAsia="Times New Roman" w:cs="Times New Roman"/>
          <w:szCs w:val="24"/>
        </w:rPr>
      </w:pPr>
    </w:p>
    <w:p w14:paraId="4F494EEE" w14:textId="77777777" w:rsidR="0026676C" w:rsidRDefault="004A315C">
      <w:pPr>
        <w:spacing w:before="240" w:after="240" w:line="360" w:lineRule="auto"/>
        <w:jc w:val="both"/>
        <w:rPr>
          <w:rFonts w:eastAsia="Times New Roman" w:cs="Times New Roman"/>
          <w:szCs w:val="24"/>
        </w:rPr>
      </w:pPr>
      <w:r>
        <w:rPr>
          <w:rFonts w:eastAsia="Times New Roman" w:cs="Times New Roman"/>
          <w:szCs w:val="24"/>
        </w:rPr>
        <w:t xml:space="preserve"> </w:t>
      </w:r>
    </w:p>
    <w:p w14:paraId="4A65D162" w14:textId="77777777" w:rsidR="0026676C" w:rsidRPr="00DE54ED" w:rsidRDefault="004A315C" w:rsidP="00DE54ED">
      <w:pPr>
        <w:spacing w:before="80" w:line="360" w:lineRule="auto"/>
        <w:ind w:right="340"/>
        <w:jc w:val="right"/>
        <w:rPr>
          <w:rFonts w:eastAsia="Times New Roman" w:cs="Times New Roman"/>
          <w:szCs w:val="24"/>
        </w:rPr>
      </w:pPr>
      <w:r>
        <w:rPr>
          <w:rFonts w:eastAsia="Times New Roman" w:cs="Times New Roman"/>
          <w:szCs w:val="24"/>
        </w:rPr>
        <w:t>FORM 10 (r. 40(6))</w:t>
      </w:r>
    </w:p>
    <w:p w14:paraId="3F1E7D09" w14:textId="77777777" w:rsidR="0026676C" w:rsidRDefault="004A315C">
      <w:pPr>
        <w:spacing w:line="360" w:lineRule="auto"/>
        <w:ind w:left="1000" w:right="1000"/>
        <w:jc w:val="center"/>
        <w:rPr>
          <w:rFonts w:eastAsia="Times New Roman" w:cs="Times New Roman"/>
          <w:b/>
          <w:sz w:val="26"/>
          <w:szCs w:val="26"/>
        </w:rPr>
      </w:pPr>
      <w:r>
        <w:rPr>
          <w:rFonts w:eastAsia="Times New Roman" w:cs="Times New Roman"/>
          <w:b/>
          <w:szCs w:val="24"/>
        </w:rPr>
        <w:t>AFFIDAVIT OF PROTEST AGAINST CONFIRMATION OF GRANT*</w:t>
      </w:r>
      <w:r>
        <w:rPr>
          <w:rFonts w:eastAsia="Times New Roman" w:cs="Times New Roman"/>
          <w:b/>
          <w:sz w:val="26"/>
          <w:szCs w:val="26"/>
        </w:rPr>
        <w:t xml:space="preserve"> </w:t>
      </w:r>
    </w:p>
    <w:p w14:paraId="0FAF9358" w14:textId="77777777" w:rsidR="0026676C" w:rsidRDefault="004A315C">
      <w:pPr>
        <w:spacing w:after="240" w:line="360" w:lineRule="auto"/>
        <w:jc w:val="both"/>
        <w:rPr>
          <w:rFonts w:eastAsia="Times New Roman" w:cs="Times New Roman"/>
          <w:b/>
          <w:sz w:val="21"/>
          <w:szCs w:val="21"/>
        </w:rPr>
      </w:pPr>
      <w:r>
        <w:rPr>
          <w:rFonts w:eastAsia="Times New Roman" w:cs="Times New Roman"/>
          <w:b/>
          <w:sz w:val="21"/>
          <w:szCs w:val="21"/>
        </w:rPr>
        <w:t xml:space="preserve"> </w:t>
      </w:r>
    </w:p>
    <w:p w14:paraId="5DB45EF9" w14:textId="77777777" w:rsidR="0026676C" w:rsidRDefault="004A315C">
      <w:pPr>
        <w:spacing w:line="360" w:lineRule="auto"/>
        <w:ind w:left="1000" w:right="1000"/>
        <w:jc w:val="center"/>
        <w:rPr>
          <w:rFonts w:eastAsia="Times New Roman" w:cs="Times New Roman"/>
          <w:sz w:val="26"/>
          <w:szCs w:val="26"/>
        </w:rPr>
      </w:pPr>
      <w:r>
        <w:rPr>
          <w:rFonts w:eastAsia="Times New Roman" w:cs="Times New Roman"/>
          <w:szCs w:val="24"/>
        </w:rPr>
        <w:t>(</w:t>
      </w:r>
      <w:r>
        <w:rPr>
          <w:rFonts w:eastAsia="Times New Roman" w:cs="Times New Roman"/>
          <w:i/>
          <w:szCs w:val="24"/>
        </w:rPr>
        <w:t>Heading as in Form 1</w:t>
      </w:r>
      <w:r>
        <w:rPr>
          <w:rFonts w:eastAsia="Times New Roman" w:cs="Times New Roman"/>
          <w:szCs w:val="24"/>
        </w:rPr>
        <w:t>)</w:t>
      </w:r>
      <w:r>
        <w:rPr>
          <w:rFonts w:eastAsia="Times New Roman" w:cs="Times New Roman"/>
          <w:sz w:val="26"/>
          <w:szCs w:val="26"/>
        </w:rPr>
        <w:t xml:space="preserve"> </w:t>
      </w:r>
    </w:p>
    <w:p w14:paraId="6BAC65A6" w14:textId="77777777" w:rsidR="0026676C" w:rsidRDefault="004A315C">
      <w:pPr>
        <w:spacing w:after="240" w:line="360" w:lineRule="auto"/>
        <w:jc w:val="both"/>
        <w:rPr>
          <w:rFonts w:eastAsia="Times New Roman" w:cs="Times New Roman"/>
          <w:sz w:val="30"/>
          <w:szCs w:val="30"/>
        </w:rPr>
      </w:pPr>
      <w:r>
        <w:rPr>
          <w:rFonts w:eastAsia="Times New Roman" w:cs="Times New Roman"/>
          <w:sz w:val="30"/>
          <w:szCs w:val="30"/>
        </w:rPr>
        <w:t xml:space="preserve"> </w:t>
      </w:r>
    </w:p>
    <w:p w14:paraId="4FC4806C" w14:textId="77777777" w:rsidR="0026676C" w:rsidRDefault="004A315C">
      <w:pPr>
        <w:spacing w:line="360" w:lineRule="auto"/>
        <w:ind w:left="100" w:right="100" w:firstLine="480"/>
        <w:jc w:val="both"/>
        <w:rPr>
          <w:rFonts w:eastAsia="Times New Roman" w:cs="Times New Roman"/>
          <w:szCs w:val="24"/>
        </w:rPr>
      </w:pPr>
      <w:r>
        <w:rPr>
          <w:rFonts w:eastAsia="Times New Roman" w:cs="Times New Roman"/>
          <w:szCs w:val="24"/>
        </w:rPr>
        <w:t>I, CD, of (</w:t>
      </w:r>
      <w:r>
        <w:rPr>
          <w:rFonts w:eastAsia="Times New Roman" w:cs="Times New Roman"/>
          <w:i/>
          <w:szCs w:val="24"/>
        </w:rPr>
        <w:t>as in Form 2</w:t>
      </w:r>
      <w:r>
        <w:rPr>
          <w:rFonts w:eastAsia="Times New Roman" w:cs="Times New Roman"/>
          <w:szCs w:val="24"/>
        </w:rPr>
        <w:t>), in protest against the proposed confirmation of the grant of probate (</w:t>
      </w:r>
      <w:r>
        <w:rPr>
          <w:rFonts w:eastAsia="Times New Roman" w:cs="Times New Roman"/>
          <w:i/>
          <w:szCs w:val="24"/>
        </w:rPr>
        <w:t xml:space="preserve">or </w:t>
      </w:r>
      <w:r>
        <w:rPr>
          <w:rFonts w:eastAsia="Times New Roman" w:cs="Times New Roman"/>
          <w:szCs w:val="24"/>
        </w:rPr>
        <w:t>letters of administration) made to E.F. in this matter on the............................................................................................................ ,</w:t>
      </w:r>
    </w:p>
    <w:p w14:paraId="407F9776" w14:textId="77777777" w:rsidR="0026676C" w:rsidRDefault="004A315C">
      <w:pPr>
        <w:spacing w:before="240" w:after="240" w:line="360" w:lineRule="auto"/>
        <w:ind w:left="700" w:hanging="300"/>
        <w:jc w:val="both"/>
        <w:rPr>
          <w:rFonts w:eastAsia="Times New Roman" w:cs="Times New Roman"/>
          <w:sz w:val="30"/>
          <w:szCs w:val="30"/>
        </w:rPr>
      </w:pPr>
      <w:r>
        <w:rPr>
          <w:rFonts w:eastAsia="Times New Roman" w:cs="Times New Roman"/>
          <w:szCs w:val="24"/>
        </w:rPr>
        <w:t>20.</w:t>
      </w:r>
      <w:r>
        <w:rPr>
          <w:rFonts w:eastAsia="Times New Roman" w:cs="Times New Roman"/>
          <w:sz w:val="14"/>
          <w:szCs w:val="14"/>
        </w:rPr>
        <w:t xml:space="preserve"> </w:t>
      </w:r>
      <w:r>
        <w:rPr>
          <w:rFonts w:eastAsia="Times New Roman" w:cs="Times New Roman"/>
          <w:szCs w:val="24"/>
        </w:rPr>
        <w:t>, make oath and say as follows: -</w:t>
      </w:r>
      <w:r>
        <w:rPr>
          <w:rFonts w:eastAsia="Times New Roman" w:cs="Times New Roman"/>
          <w:sz w:val="30"/>
          <w:szCs w:val="30"/>
        </w:rPr>
        <w:t xml:space="preserve"> </w:t>
      </w:r>
    </w:p>
    <w:p w14:paraId="79E256BE" w14:textId="77777777" w:rsidR="0026676C" w:rsidRDefault="004A315C" w:rsidP="00907297">
      <w:pPr>
        <w:spacing w:line="360" w:lineRule="auto"/>
        <w:ind w:left="1040" w:hanging="360"/>
        <w:rPr>
          <w:rFonts w:eastAsia="Times New Roman" w:cs="Times New Roman"/>
          <w:szCs w:val="24"/>
        </w:rPr>
      </w:pPr>
      <w:r>
        <w:rPr>
          <w:rFonts w:eastAsia="Times New Roman" w:cs="Times New Roman"/>
          <w:b/>
          <w:szCs w:val="24"/>
        </w:rPr>
        <w:t>1.</w:t>
      </w:r>
      <w:r>
        <w:rPr>
          <w:rFonts w:eastAsia="Times New Roman" w:cs="Times New Roman"/>
          <w:sz w:val="14"/>
          <w:szCs w:val="14"/>
        </w:rPr>
        <w:t xml:space="preserve"> </w:t>
      </w:r>
      <w:r>
        <w:rPr>
          <w:rFonts w:eastAsia="Times New Roman" w:cs="Times New Roman"/>
          <w:sz w:val="14"/>
          <w:szCs w:val="14"/>
        </w:rPr>
        <w:tab/>
      </w:r>
      <w:r>
        <w:rPr>
          <w:rFonts w:eastAsia="Times New Roman" w:cs="Times New Roman"/>
          <w:szCs w:val="24"/>
        </w:rPr>
        <w:t>(</w:t>
      </w:r>
      <w:r>
        <w:rPr>
          <w:rFonts w:eastAsia="Times New Roman" w:cs="Times New Roman"/>
          <w:i/>
          <w:szCs w:val="24"/>
        </w:rPr>
        <w:t>Set out grounds of protest in full</w:t>
      </w:r>
      <w:r>
        <w:rPr>
          <w:rFonts w:eastAsia="Times New Roman" w:cs="Times New Roman"/>
          <w:szCs w:val="24"/>
        </w:rPr>
        <w:t>)</w:t>
      </w:r>
    </w:p>
    <w:p w14:paraId="7B269ECC" w14:textId="77777777" w:rsidR="0026676C" w:rsidRDefault="004A315C">
      <w:pPr>
        <w:spacing w:before="140" w:line="360" w:lineRule="auto"/>
        <w:ind w:left="740"/>
        <w:jc w:val="both"/>
        <w:rPr>
          <w:rFonts w:eastAsia="Times New Roman" w:cs="Times New Roman"/>
          <w:szCs w:val="24"/>
        </w:rPr>
      </w:pPr>
      <w:r>
        <w:rPr>
          <w:rFonts w:eastAsia="Times New Roman" w:cs="Times New Roman"/>
          <w:szCs w:val="24"/>
        </w:rPr>
        <w:t>........................................................</w:t>
      </w:r>
    </w:p>
    <w:p w14:paraId="13A6E7FB" w14:textId="77777777" w:rsidR="0026676C" w:rsidRDefault="004A315C">
      <w:pPr>
        <w:spacing w:before="140" w:line="360" w:lineRule="auto"/>
        <w:ind w:left="680"/>
        <w:jc w:val="both"/>
        <w:rPr>
          <w:rFonts w:eastAsia="Times New Roman" w:cs="Times New Roman"/>
          <w:szCs w:val="24"/>
        </w:rPr>
      </w:pPr>
      <w:r>
        <w:rPr>
          <w:rFonts w:eastAsia="Times New Roman" w:cs="Times New Roman"/>
          <w:szCs w:val="24"/>
        </w:rPr>
        <w:t>..........................................................</w:t>
      </w:r>
    </w:p>
    <w:p w14:paraId="051E4302" w14:textId="77777777" w:rsidR="0026676C" w:rsidRDefault="004A315C">
      <w:pPr>
        <w:spacing w:before="140" w:line="360" w:lineRule="auto"/>
        <w:ind w:left="580" w:right="3940"/>
        <w:jc w:val="right"/>
        <w:rPr>
          <w:rFonts w:eastAsia="Times New Roman" w:cs="Times New Roman"/>
          <w:szCs w:val="24"/>
        </w:rPr>
      </w:pPr>
      <w:r>
        <w:rPr>
          <w:rFonts w:eastAsia="Times New Roman" w:cs="Times New Roman"/>
          <w:b/>
          <w:szCs w:val="24"/>
        </w:rPr>
        <w:t>2.</w:t>
      </w:r>
      <w:r>
        <w:rPr>
          <w:rFonts w:eastAsia="Times New Roman" w:cs="Times New Roman"/>
          <w:sz w:val="14"/>
          <w:szCs w:val="14"/>
        </w:rPr>
        <w:t xml:space="preserve">  </w:t>
      </w:r>
      <w:r>
        <w:rPr>
          <w:rFonts w:eastAsia="Times New Roman" w:cs="Times New Roman"/>
          <w:szCs w:val="24"/>
        </w:rPr>
        <w:t>The facts herein deposed (</w:t>
      </w:r>
      <w:r>
        <w:rPr>
          <w:rFonts w:eastAsia="Times New Roman" w:cs="Times New Roman"/>
          <w:i/>
          <w:szCs w:val="24"/>
        </w:rPr>
        <w:t>continue as in Form 2</w:t>
      </w:r>
      <w:r>
        <w:rPr>
          <w:rFonts w:eastAsia="Times New Roman" w:cs="Times New Roman"/>
          <w:szCs w:val="24"/>
        </w:rPr>
        <w:t>). Sworn, etc. (</w:t>
      </w:r>
      <w:r>
        <w:rPr>
          <w:rFonts w:eastAsia="Times New Roman" w:cs="Times New Roman"/>
          <w:i/>
          <w:szCs w:val="24"/>
        </w:rPr>
        <w:t>as in Form 2</w:t>
      </w:r>
      <w:r>
        <w:rPr>
          <w:rFonts w:eastAsia="Times New Roman" w:cs="Times New Roman"/>
          <w:szCs w:val="24"/>
        </w:rPr>
        <w:t>).</w:t>
      </w:r>
    </w:p>
    <w:p w14:paraId="74FD4764" w14:textId="77777777" w:rsidR="0026676C" w:rsidRDefault="004A315C">
      <w:pPr>
        <w:spacing w:before="240" w:after="240" w:line="360" w:lineRule="auto"/>
        <w:jc w:val="both"/>
        <w:rPr>
          <w:rFonts w:eastAsia="Times New Roman" w:cs="Times New Roman"/>
          <w:sz w:val="26"/>
          <w:szCs w:val="26"/>
        </w:rPr>
      </w:pPr>
      <w:r>
        <w:rPr>
          <w:rFonts w:eastAsia="Times New Roman" w:cs="Times New Roman"/>
          <w:sz w:val="26"/>
          <w:szCs w:val="26"/>
        </w:rPr>
        <w:t xml:space="preserve"> </w:t>
      </w:r>
    </w:p>
    <w:p w14:paraId="33A8B2DA" w14:textId="77777777" w:rsidR="0026676C" w:rsidRDefault="004A315C">
      <w:pPr>
        <w:spacing w:before="220" w:line="360" w:lineRule="auto"/>
        <w:ind w:left="100"/>
        <w:jc w:val="both"/>
        <w:rPr>
          <w:rFonts w:eastAsia="Times New Roman" w:cs="Times New Roman"/>
          <w:b/>
          <w:szCs w:val="24"/>
        </w:rPr>
      </w:pPr>
      <w:r>
        <w:rPr>
          <w:rFonts w:eastAsia="Times New Roman" w:cs="Times New Roman"/>
          <w:b/>
          <w:szCs w:val="24"/>
        </w:rPr>
        <w:t>* This affidavit must be filed in the principal registry.</w:t>
      </w:r>
    </w:p>
    <w:p w14:paraId="69E221D8" w14:textId="77777777" w:rsidR="0026676C" w:rsidRDefault="004A315C">
      <w:pPr>
        <w:spacing w:before="100" w:line="360" w:lineRule="auto"/>
        <w:ind w:left="120"/>
        <w:jc w:val="both"/>
        <w:rPr>
          <w:rFonts w:eastAsia="Times New Roman" w:cs="Times New Roman"/>
          <w:b/>
          <w:szCs w:val="24"/>
        </w:rPr>
      </w:pPr>
      <w:r>
        <w:rPr>
          <w:rFonts w:eastAsia="Times New Roman" w:cs="Times New Roman"/>
          <w:b/>
          <w:szCs w:val="24"/>
        </w:rPr>
        <w:t xml:space="preserve"> </w:t>
      </w:r>
    </w:p>
    <w:p w14:paraId="233954B4" w14:textId="77777777" w:rsidR="0026676C" w:rsidRDefault="0026676C">
      <w:pPr>
        <w:spacing w:before="200" w:after="160" w:line="360" w:lineRule="auto"/>
        <w:jc w:val="both"/>
        <w:rPr>
          <w:rFonts w:eastAsia="Times New Roman" w:cs="Times New Roman"/>
          <w:szCs w:val="24"/>
        </w:rPr>
      </w:pPr>
    </w:p>
    <w:p w14:paraId="6973532E" w14:textId="77777777" w:rsidR="0026676C" w:rsidRDefault="0026676C"/>
    <w:sectPr w:rsidR="0026676C">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97A4A" w14:textId="77777777" w:rsidR="001D5C3A" w:rsidRDefault="001D5C3A">
      <w:pPr>
        <w:spacing w:line="240" w:lineRule="auto"/>
      </w:pPr>
      <w:r>
        <w:separator/>
      </w:r>
    </w:p>
  </w:endnote>
  <w:endnote w:type="continuationSeparator" w:id="0">
    <w:p w14:paraId="6C47AA2E" w14:textId="77777777" w:rsidR="001D5C3A" w:rsidRDefault="001D5C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A38E7" w14:textId="77777777" w:rsidR="0026676C" w:rsidRDefault="004A315C">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907297">
      <w:rPr>
        <w:noProof/>
        <w:color w:val="000000"/>
      </w:rPr>
      <w:t>22</w:t>
    </w:r>
    <w:r>
      <w:rPr>
        <w:color w:val="000000"/>
      </w:rPr>
      <w:fldChar w:fldCharType="end"/>
    </w:r>
    <w:r>
      <w:rPr>
        <w:b/>
        <w:color w:val="000000"/>
      </w:rPr>
      <w:t xml:space="preserve"> | </w:t>
    </w:r>
    <w:r>
      <w:rPr>
        <w:color w:val="7F7F7F"/>
      </w:rPr>
      <w:t>Page</w:t>
    </w:r>
  </w:p>
  <w:p w14:paraId="65B5B89A" w14:textId="77777777" w:rsidR="0026676C" w:rsidRDefault="0026676C">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C1CCD" w14:textId="77777777" w:rsidR="001D5C3A" w:rsidRDefault="001D5C3A">
      <w:pPr>
        <w:spacing w:line="240" w:lineRule="auto"/>
      </w:pPr>
      <w:r>
        <w:separator/>
      </w:r>
    </w:p>
  </w:footnote>
  <w:footnote w:type="continuationSeparator" w:id="0">
    <w:p w14:paraId="30BAEDC1" w14:textId="77777777" w:rsidR="001D5C3A" w:rsidRDefault="001D5C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43C8B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5AB650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B5AC35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0000004"/>
    <w:multiLevelType w:val="multilevel"/>
    <w:tmpl w:val="2ED86F3C"/>
    <w:lvl w:ilvl="0">
      <w:start w:val="1"/>
      <w:numFmt w:val="lowerRoman"/>
      <w:lvlText w:val="%1)"/>
      <w:lvlJc w:val="left"/>
      <w:pPr>
        <w:ind w:left="1440" w:hanging="720"/>
      </w:pPr>
      <w:rPr>
        <w:rFonts w:ascii="Calibri" w:eastAsia="Calibri"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0000005"/>
    <w:multiLevelType w:val="multilevel"/>
    <w:tmpl w:val="82E28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0000006"/>
    <w:multiLevelType w:val="hybridMultilevel"/>
    <w:tmpl w:val="B9EE8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07"/>
    <w:multiLevelType w:val="multilevel"/>
    <w:tmpl w:val="20BAC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0000008"/>
    <w:multiLevelType w:val="multilevel"/>
    <w:tmpl w:val="0AB63A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9"/>
    <w:multiLevelType w:val="multilevel"/>
    <w:tmpl w:val="A2AAEE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0A"/>
    <w:multiLevelType w:val="multilevel"/>
    <w:tmpl w:val="8788F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00000B"/>
    <w:multiLevelType w:val="multilevel"/>
    <w:tmpl w:val="422018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000000C"/>
    <w:multiLevelType w:val="multilevel"/>
    <w:tmpl w:val="0A1C18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000000D"/>
    <w:multiLevelType w:val="multilevel"/>
    <w:tmpl w:val="2B720D92"/>
    <w:lvl w:ilvl="0">
      <w:start w:val="1"/>
      <w:numFmt w:val="low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000000E"/>
    <w:multiLevelType w:val="multilevel"/>
    <w:tmpl w:val="3476E0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0000000F"/>
    <w:multiLevelType w:val="multilevel"/>
    <w:tmpl w:val="2D242CD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1692146"/>
    <w:multiLevelType w:val="hybridMultilevel"/>
    <w:tmpl w:val="CC845B4E"/>
    <w:lvl w:ilvl="0" w:tplc="87D471F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DF02BE"/>
    <w:multiLevelType w:val="hybridMultilevel"/>
    <w:tmpl w:val="1CA89A4A"/>
    <w:lvl w:ilvl="0" w:tplc="87D471F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200505"/>
    <w:multiLevelType w:val="hybridMultilevel"/>
    <w:tmpl w:val="028CF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4D69BE"/>
    <w:multiLevelType w:val="hybridMultilevel"/>
    <w:tmpl w:val="596875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EA31F8"/>
    <w:multiLevelType w:val="multilevel"/>
    <w:tmpl w:val="422018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5596623">
    <w:abstractNumId w:val="10"/>
  </w:num>
  <w:num w:numId="2" w16cid:durableId="1886722073">
    <w:abstractNumId w:val="13"/>
  </w:num>
  <w:num w:numId="3" w16cid:durableId="1312324595">
    <w:abstractNumId w:val="6"/>
  </w:num>
  <w:num w:numId="4" w16cid:durableId="2086106955">
    <w:abstractNumId w:val="12"/>
  </w:num>
  <w:num w:numId="5" w16cid:durableId="435946434">
    <w:abstractNumId w:val="11"/>
  </w:num>
  <w:num w:numId="6" w16cid:durableId="1736273354">
    <w:abstractNumId w:val="1"/>
  </w:num>
  <w:num w:numId="7" w16cid:durableId="1137063943">
    <w:abstractNumId w:val="0"/>
  </w:num>
  <w:num w:numId="8" w16cid:durableId="126709196">
    <w:abstractNumId w:val="3"/>
  </w:num>
  <w:num w:numId="9" w16cid:durableId="1555579704">
    <w:abstractNumId w:val="14"/>
  </w:num>
  <w:num w:numId="10" w16cid:durableId="1377003105">
    <w:abstractNumId w:val="7"/>
  </w:num>
  <w:num w:numId="11" w16cid:durableId="830483934">
    <w:abstractNumId w:val="8"/>
  </w:num>
  <w:num w:numId="12" w16cid:durableId="1742175399">
    <w:abstractNumId w:val="2"/>
  </w:num>
  <w:num w:numId="13" w16cid:durableId="1138497065">
    <w:abstractNumId w:val="9"/>
  </w:num>
  <w:num w:numId="14" w16cid:durableId="828137689">
    <w:abstractNumId w:val="4"/>
  </w:num>
  <w:num w:numId="15" w16cid:durableId="309481008">
    <w:abstractNumId w:val="5"/>
  </w:num>
  <w:num w:numId="16" w16cid:durableId="62720706">
    <w:abstractNumId w:val="17"/>
  </w:num>
  <w:num w:numId="17" w16cid:durableId="730857790">
    <w:abstractNumId w:val="18"/>
  </w:num>
  <w:num w:numId="18" w16cid:durableId="1534272011">
    <w:abstractNumId w:val="19"/>
  </w:num>
  <w:num w:numId="19" w16cid:durableId="214588151">
    <w:abstractNumId w:val="15"/>
  </w:num>
  <w:num w:numId="20" w16cid:durableId="10651819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76C"/>
    <w:rsid w:val="001D5C3A"/>
    <w:rsid w:val="0026676C"/>
    <w:rsid w:val="00412BFB"/>
    <w:rsid w:val="004A315C"/>
    <w:rsid w:val="00745E10"/>
    <w:rsid w:val="00907297"/>
    <w:rsid w:val="00935EE5"/>
    <w:rsid w:val="00984F98"/>
    <w:rsid w:val="00B867D3"/>
    <w:rsid w:val="00C3269C"/>
    <w:rsid w:val="00C37380"/>
    <w:rsid w:val="00DE5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6050F"/>
  <w15:docId w15:val="{83973535-29FC-409D-BF62-03DD683B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984F98"/>
    <w:pPr>
      <w:keepNext/>
      <w:keepLines/>
      <w:outlineLvl w:val="0"/>
    </w:pPr>
    <w:rPr>
      <w:rFonts w:eastAsia="SimSun"/>
      <w:b/>
      <w:szCs w:val="32"/>
      <w:u w:val="single"/>
    </w:rPr>
  </w:style>
  <w:style w:type="paragraph" w:styleId="Heading2">
    <w:name w:val="heading 2"/>
    <w:basedOn w:val="Normal"/>
    <w:next w:val="Normal"/>
    <w:link w:val="Heading2Char"/>
    <w:uiPriority w:val="9"/>
    <w:qFormat/>
    <w:rsid w:val="00984F98"/>
    <w:pPr>
      <w:keepNext/>
      <w:keepLines/>
      <w:spacing w:before="120" w:after="120" w:line="259" w:lineRule="auto"/>
      <w:outlineLvl w:val="1"/>
    </w:pPr>
    <w:rPr>
      <w:rFonts w:eastAsia="SimSun"/>
      <w:b/>
      <w:szCs w:val="26"/>
    </w:rPr>
  </w:style>
  <w:style w:type="paragraph" w:styleId="Heading3">
    <w:name w:val="heading 3"/>
    <w:basedOn w:val="Normal"/>
    <w:next w:val="Normal"/>
    <w:link w:val="Heading3Char"/>
    <w:uiPriority w:val="9"/>
    <w:unhideWhenUsed/>
    <w:qFormat/>
    <w:rsid w:val="00984F98"/>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84F98"/>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F98"/>
    <w:rPr>
      <w:rFonts w:ascii="Times New Roman" w:eastAsia="SimSun" w:hAnsi="Times New Roman"/>
      <w:b/>
      <w:sz w:val="24"/>
      <w:szCs w:val="32"/>
      <w:u w:val="single"/>
    </w:rPr>
  </w:style>
  <w:style w:type="character" w:customStyle="1" w:styleId="Heading2Char">
    <w:name w:val="Heading 2 Char"/>
    <w:basedOn w:val="DefaultParagraphFont"/>
    <w:link w:val="Heading2"/>
    <w:uiPriority w:val="9"/>
    <w:rsid w:val="00984F98"/>
    <w:rPr>
      <w:rFonts w:ascii="Times New Roman" w:eastAsia="SimSun" w:hAnsi="Times New Roman"/>
      <w:b/>
      <w:sz w:val="24"/>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984F98"/>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F98"/>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DE54ED"/>
    <w:pPr>
      <w:spacing w:before="240" w:line="259" w:lineRule="auto"/>
      <w:outlineLvl w:val="9"/>
    </w:pPr>
    <w:rPr>
      <w:rFonts w:asciiTheme="majorHAnsi" w:eastAsiaTheme="majorEastAsia" w:hAnsiTheme="majorHAnsi" w:cstheme="majorBidi"/>
      <w:b w:val="0"/>
      <w:color w:val="365F91" w:themeColor="accent1" w:themeShade="BF"/>
      <w:sz w:val="32"/>
      <w:u w:val="none"/>
    </w:rPr>
  </w:style>
  <w:style w:type="paragraph" w:styleId="TOC1">
    <w:name w:val="toc 1"/>
    <w:basedOn w:val="Normal"/>
    <w:next w:val="Normal"/>
    <w:autoRedefine/>
    <w:uiPriority w:val="39"/>
    <w:unhideWhenUsed/>
    <w:rsid w:val="00DE54ED"/>
    <w:pPr>
      <w:spacing w:after="100"/>
    </w:pPr>
  </w:style>
  <w:style w:type="paragraph" w:styleId="TOC2">
    <w:name w:val="toc 2"/>
    <w:basedOn w:val="Normal"/>
    <w:next w:val="Normal"/>
    <w:autoRedefine/>
    <w:uiPriority w:val="39"/>
    <w:unhideWhenUsed/>
    <w:rsid w:val="00DE54ED"/>
    <w:pPr>
      <w:spacing w:after="100"/>
      <w:ind w:left="240"/>
    </w:pPr>
  </w:style>
  <w:style w:type="paragraph" w:styleId="TOC3">
    <w:name w:val="toc 3"/>
    <w:basedOn w:val="Normal"/>
    <w:next w:val="Normal"/>
    <w:autoRedefine/>
    <w:uiPriority w:val="39"/>
    <w:unhideWhenUsed/>
    <w:rsid w:val="00DE54ED"/>
    <w:pPr>
      <w:spacing w:after="100"/>
      <w:ind w:left="480"/>
    </w:pPr>
  </w:style>
  <w:style w:type="character" w:styleId="Hyperlink">
    <w:name w:val="Hyperlink"/>
    <w:basedOn w:val="DefaultParagraphFont"/>
    <w:uiPriority w:val="99"/>
    <w:unhideWhenUsed/>
    <w:rsid w:val="00DE54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D3FCCE2C-22F4-4A33-A430-DAA3ED70E13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Microsoft.Com</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Fleur Sauvage</dc:creator>
  <cp:lastModifiedBy>lvg lvg</cp:lastModifiedBy>
  <cp:revision>2</cp:revision>
  <dcterms:created xsi:type="dcterms:W3CDTF">2022-10-18T14:10:00Z</dcterms:created>
  <dcterms:modified xsi:type="dcterms:W3CDTF">2022-10-18T14:10:00Z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85b91b5d902445fe88fc8ef221cf62e2</vt:lpwstr>
  </property>
</Properties>
</file>