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1676847" cy="1868716"/>
            <wp:effectExtent b="0" l="0" r="0" t="0"/>
            <wp:docPr descr="Kenya School of Law eLearning" id="2" name="image1.jpg"/>
            <a:graphic>
              <a:graphicData uri="http://schemas.openxmlformats.org/drawingml/2006/picture">
                <pic:pic>
                  <pic:nvPicPr>
                    <pic:cNvPr descr="Kenya School of Law eLearning" id="0" name="image1.jpg"/>
                    <pic:cNvPicPr preferRelativeResize="0"/>
                  </pic:nvPicPr>
                  <pic:blipFill>
                    <a:blip r:embed="rId7"/>
                    <a:srcRect b="0" l="0" r="0" t="0"/>
                    <a:stretch>
                      <a:fillRect/>
                    </a:stretch>
                  </pic:blipFill>
                  <pic:spPr>
                    <a:xfrm>
                      <a:off x="0" y="0"/>
                      <a:ext cx="1676847" cy="18687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KENYA SCHOOL OF LAW</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ADVOCATES TRAINING PROGRAMME</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ATP 102-PROBATE AND ADMINISTRATION</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E, FIRM 8</w:t>
      </w:r>
    </w:p>
    <w:p w:rsidR="00000000" w:rsidDel="00000000" w:rsidP="00000000" w:rsidRDefault="00000000" w:rsidRPr="00000000" w14:paraId="00000006">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Names</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Mutiso Rachel Mulondu</w:t>
        <w:tab/>
        <w:tab/>
        <w:tab/>
        <w:tab/>
        <w:tab/>
        <w:t xml:space="preserve">20220454</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Koech Vincent Kipkirui</w:t>
        <w:tab/>
        <w:tab/>
        <w:tab/>
        <w:tab/>
        <w:tab/>
        <w:t xml:space="preserve">20221519</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Getrude Manga Washalla</w:t>
        <w:tab/>
        <w:tab/>
        <w:tab/>
        <w:tab/>
        <w:tab/>
        <w:t xml:space="preserve">20220416</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Mwita Griffin Mirumbe</w:t>
        <w:tab/>
        <w:tab/>
        <w:tab/>
        <w:tab/>
        <w:tab/>
        <w:t xml:space="preserve">20220736</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Muraguri Ashley Wanjiru</w:t>
        <w:tab/>
        <w:tab/>
        <w:tab/>
        <w:tab/>
        <w:tab/>
        <w:t xml:space="preserve">20220202</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Nderi Justin Mugera</w:t>
        <w:tab/>
        <w:tab/>
        <w:tab/>
        <w:tab/>
        <w:tab/>
        <w:tab/>
        <w:t xml:space="preserve">20221405</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Khalalie Mukabi Fanuel</w:t>
        <w:tab/>
        <w:tab/>
        <w:tab/>
        <w:tab/>
        <w:tab/>
        <w:t xml:space="preserve">20221543</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Kyalo Samuel Mwendwa</w:t>
        <w:tab/>
        <w:tab/>
        <w:tab/>
        <w:tab/>
        <w:tab/>
        <w:t xml:space="preserve">20221562</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Question 11</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Foma, your old-time client comes to your offices at Fastidious and co advocates and tells you that his friend Highness had called him sometimes 2 years earlier and given him the key to one of his cars and told him, “should I die then this is yours.” He remembers that day very well because Highness had been very sick and in hospital and looked like he would not make it alive. He has just realized that the issue concerning the estate of the late Highness was filed a few months ago and the car is one of the properties listed in the estate.</w:t>
      </w:r>
    </w:p>
    <w:p w:rsidR="00000000" w:rsidDel="00000000" w:rsidP="00000000" w:rsidRDefault="00000000" w:rsidRPr="00000000" w14:paraId="00000012">
      <w:pPr>
        <w:pStyle w:val="Heading1"/>
        <w:spacing w:line="360" w:lineRule="auto"/>
        <w:jc w:val="both"/>
        <w:rPr>
          <w:rFonts w:ascii="Times New Roman" w:cs="Times New Roman" w:eastAsia="Times New Roman" w:hAnsi="Times New Roman"/>
          <w:sz w:val="24"/>
          <w:szCs w:val="24"/>
        </w:rPr>
      </w:pPr>
      <w:bookmarkStart w:colFirst="0" w:colLast="0" w:name="_heading=h.6upxaz6wliyl" w:id="0"/>
      <w:bookmarkEnd w:id="0"/>
      <w:r w:rsidDel="00000000" w:rsidR="00000000" w:rsidRPr="00000000">
        <w:rPr>
          <w:rFonts w:ascii="Times New Roman" w:cs="Times New Roman" w:eastAsia="Times New Roman" w:hAnsi="Times New Roman"/>
          <w:sz w:val="24"/>
          <w:szCs w:val="24"/>
          <w:rtl w:val="0"/>
        </w:rPr>
        <w:t xml:space="preserve">Issues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issues arising from the facts: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words, “should I die then this is yours” qualifies to be valid oral will.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other possible ways in which a property can pass other than through a will.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car has qualified to be a gift under either gift </w:t>
      </w: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donatio mortis causa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car should be listed in the estate of Highness for the purposes of succession.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procedure to be followed to ensure that the car is removed from the properties listed in the estate of Highness.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numPr>
          <w:ilvl w:val="0"/>
          <w:numId w:val="3"/>
        </w:numPr>
        <w:spacing w:line="360" w:lineRule="auto"/>
        <w:ind w:left="720" w:hanging="360"/>
        <w:jc w:val="both"/>
        <w:rPr>
          <w:rFonts w:ascii="Times New Roman" w:cs="Times New Roman" w:eastAsia="Times New Roman" w:hAnsi="Times New Roman"/>
          <w:sz w:val="24"/>
          <w:szCs w:val="24"/>
        </w:rPr>
      </w:pPr>
      <w:bookmarkStart w:colFirst="0" w:colLast="0" w:name="_heading=h.ebqo1zsg34l6" w:id="1"/>
      <w:bookmarkEnd w:id="1"/>
      <w:r w:rsidDel="00000000" w:rsidR="00000000" w:rsidRPr="00000000">
        <w:rPr>
          <w:rFonts w:ascii="Times New Roman" w:cs="Times New Roman" w:eastAsia="Times New Roman" w:hAnsi="Times New Roman"/>
          <w:sz w:val="24"/>
          <w:szCs w:val="24"/>
          <w:u w:val="single"/>
          <w:vertAlign w:val="baseline"/>
          <w:rtl w:val="0"/>
        </w:rPr>
        <w:t xml:space="preserve">Whether the words, “should I die then this is yours” qualifies to be valid oral will.</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9</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talks of oral wills. There are two requirements that any oral will should possess for it to be valid. One, it should be spoken in the presence of two or more competent witnesses. Competence, hereby, means that they must be of capacity and sound mind. Two, the testator must die within three months of making the will.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the words that were uttered by Highness towards Foma were not in the presence of two or more competent witnesses. From the facts of the case, it is also evident that Highness died after two years from the time of giving out the car to Foma. </w:t>
      </w:r>
    </w:p>
    <w:p w:rsidR="00000000" w:rsidDel="00000000" w:rsidP="00000000" w:rsidRDefault="00000000" w:rsidRPr="00000000" w14:paraId="0000001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test for this being an oral will has failed completely. Other than by will, property is capable of passing on death by other means which are </w:t>
      </w:r>
      <w:r w:rsidDel="00000000" w:rsidR="00000000" w:rsidRPr="00000000">
        <w:rPr>
          <w:rFonts w:ascii="Times New Roman" w:cs="Times New Roman" w:eastAsia="Times New Roman" w:hAnsi="Times New Roman"/>
          <w:b w:val="1"/>
          <w:sz w:val="24"/>
          <w:szCs w:val="24"/>
          <w:rtl w:val="0"/>
        </w:rPr>
        <w:t xml:space="preserve">survivorship</w:t>
      </w:r>
      <w:r w:rsidDel="00000000" w:rsidR="00000000" w:rsidRPr="00000000">
        <w:rPr>
          <w:rFonts w:ascii="Times New Roman" w:cs="Times New Roman" w:eastAsia="Times New Roman" w:hAnsi="Times New Roman"/>
          <w:sz w:val="24"/>
          <w:szCs w:val="24"/>
          <w:rtl w:val="0"/>
        </w:rPr>
        <w:t xml:space="preserve">, under a </w:t>
      </w:r>
      <w:r w:rsidDel="00000000" w:rsidR="00000000" w:rsidRPr="00000000">
        <w:rPr>
          <w:rFonts w:ascii="Times New Roman" w:cs="Times New Roman" w:eastAsia="Times New Roman" w:hAnsi="Times New Roman"/>
          <w:b w:val="1"/>
          <w:sz w:val="24"/>
          <w:szCs w:val="24"/>
          <w:rtl w:val="0"/>
        </w:rPr>
        <w:t xml:space="preserve">nomination</w:t>
      </w:r>
      <w:r w:rsidDel="00000000" w:rsidR="00000000" w:rsidRPr="00000000">
        <w:rPr>
          <w:rFonts w:ascii="Times New Roman" w:cs="Times New Roman" w:eastAsia="Times New Roman" w:hAnsi="Times New Roman"/>
          <w:sz w:val="24"/>
          <w:szCs w:val="24"/>
          <w:rtl w:val="0"/>
        </w:rPr>
        <w:t xml:space="preserve"> and as a </w:t>
      </w:r>
      <w:r w:rsidDel="00000000" w:rsidR="00000000" w:rsidRPr="00000000">
        <w:rPr>
          <w:rFonts w:ascii="Times New Roman" w:cs="Times New Roman" w:eastAsia="Times New Roman" w:hAnsi="Times New Roman"/>
          <w:b w:val="1"/>
          <w:i w:val="1"/>
          <w:sz w:val="24"/>
          <w:szCs w:val="24"/>
          <w:rtl w:val="0"/>
        </w:rPr>
        <w:t xml:space="preserve">donatio mortis causa</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Survivorship</w:t>
      </w:r>
      <w:r w:rsidDel="00000000" w:rsidR="00000000" w:rsidRPr="00000000">
        <w:rPr>
          <w:rFonts w:ascii="Times New Roman" w:cs="Times New Roman" w:eastAsia="Times New Roman" w:hAnsi="Times New Roman"/>
          <w:sz w:val="24"/>
          <w:szCs w:val="24"/>
          <w:rtl w:val="0"/>
        </w:rPr>
        <w:t xml:space="preserve"> involves joint tenancies. This is where property is jointly owned. The interest of one owner automatically passes to the surviving joint tenant on their death by virtue of the principle of survivorship- the principle of </w:t>
      </w:r>
      <w:r w:rsidDel="00000000" w:rsidR="00000000" w:rsidRPr="00000000">
        <w:rPr>
          <w:rFonts w:ascii="Times New Roman" w:cs="Times New Roman" w:eastAsia="Times New Roman" w:hAnsi="Times New Roman"/>
          <w:i w:val="1"/>
          <w:sz w:val="24"/>
          <w:szCs w:val="24"/>
          <w:rtl w:val="0"/>
        </w:rPr>
        <w:t xml:space="preserve">jus accrescendi</w:t>
      </w:r>
      <w:r w:rsidDel="00000000" w:rsidR="00000000" w:rsidRPr="00000000">
        <w:rPr>
          <w:rFonts w:ascii="Times New Roman" w:cs="Times New Roman" w:eastAsia="Times New Roman" w:hAnsi="Times New Roman"/>
          <w:sz w:val="24"/>
          <w:szCs w:val="24"/>
          <w:rtl w:val="0"/>
        </w:rPr>
        <w:t xml:space="preserve">. Upon the demise of one of the tenants, that tenant’s interest would merge with that of the surviving tenant. For example, where the matrimonial home is held by a husband and wife as joint tenants and the husband predeceases the wife, the house will pass to the wife by reason of the survivorship.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of survivorship operates to remove jointly owned property from the operation of the law of succession, upon the death of a spouse who jointly owns property with the other spouse their interests unite and the property passes to the surviving spouse. It does not form part of the deceased spouse’s estate and it cannot pass by that deceased spouse’s will. This contrasts with the operation of the principle of tenancy in common. The interests of common tenants are clear and distinct. The interests are not united. In the event of the death of the one tenant, there is no merger or union of interests. The beneficial share of a common tenant who is deceased can pass under their will.</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43</w:t>
      </w:r>
      <w:r w:rsidDel="00000000" w:rsidR="00000000" w:rsidRPr="00000000">
        <w:rPr>
          <w:rFonts w:ascii="Times New Roman" w:cs="Times New Roman" w:eastAsia="Times New Roman" w:hAnsi="Times New Roman"/>
          <w:sz w:val="24"/>
          <w:szCs w:val="24"/>
          <w:rtl w:val="0"/>
        </w:rPr>
        <w:t xml:space="preserve"> of the</w:t>
      </w:r>
      <w:r w:rsidDel="00000000" w:rsidR="00000000" w:rsidRPr="00000000">
        <w:rPr>
          <w:rFonts w:ascii="Times New Roman" w:cs="Times New Roman" w:eastAsia="Times New Roman" w:hAnsi="Times New Roman"/>
          <w:b w:val="1"/>
          <w:sz w:val="24"/>
          <w:szCs w:val="24"/>
          <w:rtl w:val="0"/>
        </w:rPr>
        <w:t xml:space="preserve"> Law of Succession Act </w:t>
      </w:r>
      <w:r w:rsidDel="00000000" w:rsidR="00000000" w:rsidRPr="00000000">
        <w:rPr>
          <w:rFonts w:ascii="Times New Roman" w:cs="Times New Roman" w:eastAsia="Times New Roman" w:hAnsi="Times New Roman"/>
          <w:sz w:val="24"/>
          <w:szCs w:val="24"/>
          <w:rtl w:val="0"/>
        </w:rPr>
        <w:t xml:space="preserve">explains the presumption of survivorship.</w:t>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“Where two more persons have died in circumstances rendering it uncertain which of them survived the other or others, the deaths shall, for all purposes of this Act, be presumed to have occurred in order of seniority, and accordingly the younger shall be deemed to have survived the elder: Provided that, in the case of spouses who died in those circumstances, the spouses shall be presumed to have died simultaneously.”</w:t>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property in the case of non-spouses should devolve to different people upon the tenant’s death, it is therefore necessary to determine who died first. In the case of spouses, the property should pass to their children or to the same dependants it would not matter therefore who between husband and wife died first.</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facts of this case, Foma and Highness did not have a joint tenancy therefore the gift did not pass by survivorship.</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Nomination</w:t>
      </w:r>
      <w:r w:rsidDel="00000000" w:rsidR="00000000" w:rsidRPr="00000000">
        <w:rPr>
          <w:rFonts w:ascii="Times New Roman" w:cs="Times New Roman" w:eastAsia="Times New Roman" w:hAnsi="Times New Roman"/>
          <w:sz w:val="24"/>
          <w:szCs w:val="24"/>
          <w:rtl w:val="0"/>
        </w:rPr>
        <w:t xml:space="preserve">, on the other hand, is a direction by a person called the nominator to another person who is holding investment on their behalf, to pay the funds on the nominator’s death to a third party called the nominee, nominated by the nominator during the nominator’s lifetime. The direction is made by the nominator during the nominator’s lifetime, but like a will, the gift only takes effect upon the death of the nominator. Nominations operate under the rules of a particular scheme and although it does dispose of property upon death, it does not comply with the formalities of the Law of Succession Act.</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Nominations are classified into statutory nominations and nominations under a discretionary pension scheme.  The property the subject of a statutory nomination does not form part of the nominator’s estate, and it cannot therefore pass under a will. It does not vest in the personal representatives of the deceased, as it does not form part of the nominator’s estate. Consequently, the payer (the person having the investment) does not require a grant (of probate or letters of administration) before paying the funds to the nominee. The direction is to pay only on death and therefore the payer will want to see the nominator’s death certificate before making payment. As with the beneficiary under a will, the nominee does not have an interest in the nominated funds during the lifetime of the nominator, who may deal freely with the property at any time during their life.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nomination may be revoked by: a later nomination; the subsequent marriage of the nominator; and the death of the nominee prior to the death of the nominator. A nomination cannot be revoked by a subsequent will or codicil. In </w:t>
      </w:r>
      <w:r w:rsidDel="00000000" w:rsidR="00000000" w:rsidRPr="00000000">
        <w:rPr>
          <w:rFonts w:ascii="Times New Roman" w:cs="Times New Roman" w:eastAsia="Times New Roman" w:hAnsi="Times New Roman"/>
          <w:b w:val="1"/>
          <w:sz w:val="24"/>
          <w:szCs w:val="24"/>
          <w:rtl w:val="0"/>
        </w:rPr>
        <w:t xml:space="preserve">Re Estate of Carolyne Achieng’ Wagah (Deceased) [2015] eKLR</w:t>
      </w:r>
      <w:r w:rsidDel="00000000" w:rsidR="00000000" w:rsidRPr="00000000">
        <w:rPr>
          <w:rFonts w:ascii="Times New Roman" w:cs="Times New Roman" w:eastAsia="Times New Roman" w:hAnsi="Times New Roman"/>
          <w:sz w:val="24"/>
          <w:szCs w:val="24"/>
          <w:rtl w:val="0"/>
        </w:rPr>
        <w:t xml:space="preserve">, the administrator of the estate of the deceased sought to have the benefits of the deceased, such as terminal benefits upon death, pension, group life insurance and shares in a co-operative society be considered as part of the deceased’s estate and distributed among the beneficiaries according to the laws of succession. The deceased had made a will which only included assets that were subject to statutory nomination. The court dismissed the administrator’s application and held that funds which were subject to nomination did not form part of the deceased’s estate and could not pass under a will. The court also held that despite the fact that there was a will, all the deceased’s assets under the will had been nominated by the deceased and could only be given to the nominees and not to any other beneficiaries. Thus, the grant issued to the administrator was worthless since it sought to distribute property that the probate court had no jurisdiction to distribute in the first place.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Kenya, nominations are made mainly with respect to savings and investments in co-operative societies and provident or pension schemes. The nominations under the Co-operative Societies Act 1997 are statutory. </w:t>
      </w:r>
      <w:r w:rsidDel="00000000" w:rsidR="00000000" w:rsidRPr="00000000">
        <w:rPr>
          <w:rFonts w:ascii="Times New Roman" w:cs="Times New Roman" w:eastAsia="Times New Roman" w:hAnsi="Times New Roman"/>
          <w:b w:val="1"/>
          <w:sz w:val="24"/>
          <w:szCs w:val="24"/>
          <w:rtl w:val="0"/>
        </w:rPr>
        <w:t xml:space="preserve">Section 39(1)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b w:val="1"/>
          <w:sz w:val="24"/>
          <w:szCs w:val="24"/>
          <w:rtl w:val="0"/>
        </w:rPr>
        <w:t xml:space="preserve"> the Co-operative Societies Act </w:t>
      </w:r>
      <w:r w:rsidDel="00000000" w:rsidR="00000000" w:rsidRPr="00000000">
        <w:rPr>
          <w:rFonts w:ascii="Times New Roman" w:cs="Times New Roman" w:eastAsia="Times New Roman" w:hAnsi="Times New Roman"/>
          <w:sz w:val="24"/>
          <w:szCs w:val="24"/>
          <w:rtl w:val="0"/>
        </w:rPr>
        <w:t xml:space="preserve">provides that on the death of a member, a co-operative society may transfer the share or interest of the deceased member to: a person nominated in accordance with the Act or the rules made under it; or if, no person has been nominated, to such person as may appear to be the personal representative of the deceased member.</w:t>
      </w:r>
    </w:p>
    <w:p w:rsidR="00000000" w:rsidDel="00000000" w:rsidP="00000000" w:rsidRDefault="00000000" w:rsidRPr="00000000" w14:paraId="00000029">
      <w:pPr>
        <w:spacing w:line="360" w:lineRule="auto"/>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sz w:val="24"/>
          <w:szCs w:val="24"/>
          <w:rtl w:val="0"/>
        </w:rPr>
        <w:t xml:space="preserve">From our case we can establish that there are only two parties involved, that is Foma and Highness, no one is being paid anything and therefore this gift fails to pass under Nomination.</w:t>
      </w:r>
      <w:r w:rsidDel="00000000" w:rsidR="00000000" w:rsidRPr="00000000">
        <w:rPr>
          <w:rtl w:val="0"/>
        </w:rPr>
      </w:r>
    </w:p>
    <w:p w:rsidR="00000000" w:rsidDel="00000000" w:rsidP="00000000" w:rsidRDefault="00000000" w:rsidRPr="00000000" w14:paraId="0000002A">
      <w:pPr>
        <w:pStyle w:val="Heading1"/>
        <w:numPr>
          <w:ilvl w:val="0"/>
          <w:numId w:val="3"/>
        </w:numPr>
        <w:spacing w:line="360" w:lineRule="auto"/>
        <w:ind w:left="720" w:hanging="360"/>
        <w:jc w:val="both"/>
        <w:rPr>
          <w:rFonts w:ascii="Times New Roman" w:cs="Times New Roman" w:eastAsia="Times New Roman" w:hAnsi="Times New Roman"/>
          <w:sz w:val="24"/>
          <w:szCs w:val="24"/>
        </w:rPr>
      </w:pPr>
      <w:bookmarkStart w:colFirst="0" w:colLast="0" w:name="_heading=h.e7q0gmn9lnlw" w:id="2"/>
      <w:bookmarkEnd w:id="2"/>
      <w:r w:rsidDel="00000000" w:rsidR="00000000" w:rsidRPr="00000000">
        <w:rPr>
          <w:rFonts w:ascii="Times New Roman" w:cs="Times New Roman" w:eastAsia="Times New Roman" w:hAnsi="Times New Roman"/>
          <w:sz w:val="24"/>
          <w:szCs w:val="24"/>
          <w:u w:val="single"/>
          <w:vertAlign w:val="baseline"/>
          <w:rtl w:val="0"/>
        </w:rPr>
        <w:t xml:space="preserve">Whether the car qualifies as a gift under  gift </w:t>
      </w:r>
      <w:r w:rsidDel="00000000" w:rsidR="00000000" w:rsidRPr="00000000">
        <w:rPr>
          <w:rFonts w:ascii="Times New Roman" w:cs="Times New Roman" w:eastAsia="Times New Roman" w:hAnsi="Times New Roman"/>
          <w:i w:val="1"/>
          <w:sz w:val="24"/>
          <w:szCs w:val="24"/>
          <w:u w:val="single"/>
          <w:rtl w:val="0"/>
        </w:rPr>
        <w:t xml:space="preserve">inter vivos</w:t>
      </w:r>
      <w:r w:rsidDel="00000000" w:rsidR="00000000" w:rsidRPr="00000000">
        <w:rPr>
          <w:rFonts w:ascii="Times New Roman" w:cs="Times New Roman" w:eastAsia="Times New Roman" w:hAnsi="Times New Roman"/>
          <w:sz w:val="24"/>
          <w:szCs w:val="24"/>
          <w:u w:val="single"/>
          <w:vertAlign w:val="baseline"/>
          <w:rtl w:val="0"/>
        </w:rPr>
        <w:t xml:space="preserve"> or </w:t>
      </w:r>
      <w:r w:rsidDel="00000000" w:rsidR="00000000" w:rsidRPr="00000000">
        <w:rPr>
          <w:rFonts w:ascii="Times New Roman" w:cs="Times New Roman" w:eastAsia="Times New Roman" w:hAnsi="Times New Roman"/>
          <w:i w:val="1"/>
          <w:sz w:val="24"/>
          <w:szCs w:val="24"/>
          <w:u w:val="single"/>
          <w:vertAlign w:val="baseline"/>
          <w:rtl w:val="0"/>
        </w:rPr>
        <w:t xml:space="preserve">donatio mortis causa</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sz w:val="24"/>
          <w:szCs w:val="24"/>
          <w:rtl w:val="0"/>
        </w:rPr>
        <w:t xml:space="preserve"> is a Latin term that refers to when one transfers a gift to another person during their lifetime. For this type of a gift to be valid, it must be between two living persons, be capable of delivery, donative intent and acceptance have to be proved. In </w:t>
      </w:r>
      <w:r w:rsidDel="00000000" w:rsidR="00000000" w:rsidRPr="00000000">
        <w:rPr>
          <w:rFonts w:ascii="Times New Roman" w:cs="Times New Roman" w:eastAsia="Times New Roman" w:hAnsi="Times New Roman"/>
          <w:b w:val="1"/>
          <w:i w:val="1"/>
          <w:sz w:val="24"/>
          <w:szCs w:val="24"/>
          <w:rtl w:val="0"/>
        </w:rPr>
        <w:t xml:space="preserve">Re Estate of The Late Gideon Manthi Nzioka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(Deceased) [2015] eKLR</w:t>
      </w:r>
      <w:r w:rsidDel="00000000" w:rsidR="00000000" w:rsidRPr="00000000">
        <w:rPr>
          <w:rFonts w:ascii="Times New Roman" w:cs="Times New Roman" w:eastAsia="Times New Roman" w:hAnsi="Times New Roman"/>
          <w:sz w:val="24"/>
          <w:szCs w:val="24"/>
          <w:rtl w:val="0"/>
        </w:rPr>
        <w:t xml:space="preserve">, Nyamweya J stated that the requirements of law for the gift </w:t>
      </w: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sz w:val="24"/>
          <w:szCs w:val="24"/>
          <w:rtl w:val="0"/>
        </w:rPr>
        <w:t xml:space="preserve"> are that the said gift may be granted by deed, an instrument in writing or by delivery, by way of a declaration of trust by the donor, or by way of resulting trusts or the presumption of. Gifts of land must be by way of registered transfer, or if the land is not registered it must be in writing or by a declaration of trust in writing. Gifts </w:t>
      </w: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sz w:val="24"/>
          <w:szCs w:val="24"/>
          <w:rtl w:val="0"/>
        </w:rPr>
        <w:t xml:space="preserve"> must be complete for the same to be valid. </w:t>
      </w:r>
      <w:r w:rsidDel="00000000" w:rsidR="00000000" w:rsidRPr="00000000">
        <w:rPr>
          <w:rFonts w:ascii="Times New Roman" w:cs="Times New Roman" w:eastAsia="Times New Roman" w:hAnsi="Times New Roman"/>
          <w:i w:val="0"/>
          <w:sz w:val="24"/>
          <w:szCs w:val="24"/>
          <w:rtl w:val="0"/>
        </w:rPr>
        <w:t xml:space="preserve">In this regard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it is not necessary for the donee  to give express acceptance, and acceptance of a gift is presumed until or unless dissent or disclaimer is signified by the donee</w:t>
      </w:r>
      <w:r w:rsidDel="00000000" w:rsidR="00000000" w:rsidRPr="00000000">
        <w:rPr>
          <w:rtl w:val="0"/>
        </w:rPr>
      </w:r>
    </w:p>
    <w:p w:rsidR="00000000" w:rsidDel="00000000" w:rsidP="00000000" w:rsidRDefault="00000000" w:rsidRPr="00000000" w14:paraId="0000002C">
      <w:pPr>
        <w:spacing w:after="280" w:before="2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Halsbury Laws of England 4th Edition Volume 20(1) at paragraph 67 it is stated as follows with respect to incomplete gifts:</w:t>
      </w:r>
    </w:p>
    <w:p w:rsidR="00000000" w:rsidDel="00000000" w:rsidP="00000000" w:rsidRDefault="00000000" w:rsidRPr="00000000" w14:paraId="0000002D">
      <w:pPr>
        <w:spacing w:after="280" w:before="280" w:line="360" w:lineRule="auto"/>
        <w:ind w:lef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“Where a gift rests merely in promise, whether written or oral, or in unfulfilled intention, it is incomplete and imperfect, and the court will not compel the intending donor, or those claiming under him, to complete and perfect it, except in circumstances where donor's subsequent conduct gives the donee a right to enforce the promise.  A promise made by deed is, however, binding even though it is made without consideration. If a gift is to be valid the donor must have done everything which according to the nature of the property comprises in the gift, was necessary to be done by him in order to transfer the property and which it was in his power to do.”</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facts of our case, we can not say that the car passed to Foma as a gift </w:t>
      </w: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sz w:val="24"/>
          <w:szCs w:val="24"/>
          <w:rtl w:val="0"/>
        </w:rPr>
        <w:t xml:space="preserve"> because at that time of passing the keys, Mr. Highness was very sick and contemplating his death.</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w:t>
      </w:r>
      <w:r w:rsidDel="00000000" w:rsidR="00000000" w:rsidRPr="00000000">
        <w:rPr>
          <w:rFonts w:ascii="Times New Roman" w:cs="Times New Roman" w:eastAsia="Times New Roman" w:hAnsi="Times New Roman"/>
          <w:b w:val="1"/>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is a gift in contemplation of death and is made by persons during their lifetime, which is conditional upon their death. It is neither a gift  </w:t>
      </w: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sz w:val="24"/>
          <w:szCs w:val="24"/>
          <w:rtl w:val="0"/>
        </w:rPr>
        <w:t xml:space="preserve"> nor a testamentary gift. Buckley L.J. in </w:t>
      </w:r>
      <w:r w:rsidDel="00000000" w:rsidR="00000000" w:rsidRPr="00000000">
        <w:rPr>
          <w:rFonts w:ascii="Times New Roman" w:cs="Times New Roman" w:eastAsia="Times New Roman" w:hAnsi="Times New Roman"/>
          <w:b w:val="1"/>
          <w:i w:val="1"/>
          <w:sz w:val="24"/>
          <w:szCs w:val="24"/>
          <w:rtl w:val="0"/>
        </w:rPr>
        <w:t xml:space="preserve">Re Beaumont (1902)1 CH 889</w:t>
      </w:r>
      <w:r w:rsidDel="00000000" w:rsidR="00000000" w:rsidRPr="00000000">
        <w:rPr>
          <w:rFonts w:ascii="Times New Roman" w:cs="Times New Roman" w:eastAsia="Times New Roman" w:hAnsi="Times New Roman"/>
          <w:sz w:val="24"/>
          <w:szCs w:val="24"/>
          <w:rtl w:val="0"/>
        </w:rPr>
        <w:t xml:space="preserve"> said that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may be of amphibious nature being a gift which is neither testamentary nor </w:t>
      </w:r>
      <w:r w:rsidDel="00000000" w:rsidR="00000000" w:rsidRPr="00000000">
        <w:rPr>
          <w:rFonts w:ascii="Times New Roman" w:cs="Times New Roman" w:eastAsia="Times New Roman" w:hAnsi="Times New Roman"/>
          <w:i w:val="1"/>
          <w:sz w:val="24"/>
          <w:szCs w:val="24"/>
          <w:rtl w:val="0"/>
        </w:rPr>
        <w:t xml:space="preserve">inter vivos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conditions for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were set in the case of </w:t>
      </w:r>
      <w:r w:rsidDel="00000000" w:rsidR="00000000" w:rsidRPr="00000000">
        <w:rPr>
          <w:rFonts w:ascii="Times New Roman" w:cs="Times New Roman" w:eastAsia="Times New Roman" w:hAnsi="Times New Roman"/>
          <w:b w:val="1"/>
          <w:i w:val="1"/>
          <w:sz w:val="24"/>
          <w:szCs w:val="24"/>
          <w:rtl w:val="0"/>
        </w:rPr>
        <w:t xml:space="preserve">Cain v Moon</w:t>
      </w:r>
      <w:r w:rsidDel="00000000" w:rsidR="00000000" w:rsidRPr="00000000">
        <w:rPr>
          <w:rFonts w:ascii="Times New Roman" w:cs="Times New Roman" w:eastAsia="Times New Roman" w:hAnsi="Times New Roman"/>
          <w:b w:val="1"/>
          <w:sz w:val="24"/>
          <w:szCs w:val="24"/>
          <w:rtl w:val="0"/>
        </w:rPr>
        <w:t xml:space="preserve"> (1896) 2 QB 283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where</w:t>
      </w:r>
      <w:r w:rsidDel="00000000" w:rsidR="00000000" w:rsidRPr="00000000">
        <w:rPr>
          <w:rFonts w:ascii="Times New Roman" w:cs="Times New Roman" w:eastAsia="Times New Roman" w:hAnsi="Times New Roman"/>
          <w:i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a daughter, the donor, delivered a deposit note to her mother, the donee, for safe custody. Two years later, when the daughter was seriously ill, she told her mother, </w:t>
      </w:r>
      <w:r w:rsidDel="00000000" w:rsidR="00000000" w:rsidRPr="00000000">
        <w:rPr>
          <w:rFonts w:ascii="Times New Roman" w:cs="Times New Roman" w:eastAsia="Times New Roman" w:hAnsi="Times New Roman"/>
          <w:i w:val="1"/>
          <w:color w:val="212529"/>
          <w:sz w:val="24"/>
          <w:szCs w:val="24"/>
          <w:highlight w:val="white"/>
          <w:rtl w:val="0"/>
        </w:rPr>
        <w:t xml:space="preserve">“The bank note is for you if I die”</w:t>
      </w:r>
      <w:r w:rsidDel="00000000" w:rsidR="00000000" w:rsidRPr="00000000">
        <w:rPr>
          <w:rFonts w:ascii="Times New Roman" w:cs="Times New Roman" w:eastAsia="Times New Roman" w:hAnsi="Times New Roman"/>
          <w:color w:val="212529"/>
          <w:sz w:val="24"/>
          <w:szCs w:val="24"/>
          <w:highlight w:val="white"/>
          <w:rtl w:val="0"/>
        </w:rPr>
        <w:t xml:space="preserve">. The court held this to be a valid </w:t>
      </w:r>
      <w:r w:rsidDel="00000000" w:rsidR="00000000" w:rsidRPr="00000000">
        <w:rPr>
          <w:rFonts w:ascii="Times New Roman" w:cs="Times New Roman" w:eastAsia="Times New Roman" w:hAnsi="Times New Roman"/>
          <w:i w:val="1"/>
          <w:color w:val="212529"/>
          <w:sz w:val="24"/>
          <w:szCs w:val="24"/>
          <w:highlight w:val="white"/>
          <w:rtl w:val="0"/>
        </w:rPr>
        <w:t xml:space="preserve">donatio mortis causa</w:t>
      </w:r>
      <w:r w:rsidDel="00000000" w:rsidR="00000000" w:rsidRPr="00000000">
        <w:rPr>
          <w:rFonts w:ascii="Times New Roman" w:cs="Times New Roman" w:eastAsia="Times New Roman" w:hAnsi="Times New Roman"/>
          <w:color w:val="212529"/>
          <w:sz w:val="24"/>
          <w:szCs w:val="24"/>
          <w:highlight w:val="white"/>
          <w:rtl w:val="0"/>
        </w:rPr>
        <w:t xml:space="preserve"> as it was not necessary for the mother to hand back the bank note and for the daughter to re-deliver it when she expressed her intention to make the donatio mortis causa.</w:t>
        <w:tab/>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Lord Russell of Killowen said:</w:t>
      </w:r>
    </w:p>
    <w:p w:rsidR="00000000" w:rsidDel="00000000" w:rsidP="00000000" w:rsidRDefault="00000000" w:rsidRPr="00000000" w14:paraId="00000032">
      <w:pPr>
        <w:spacing w:after="10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for an effectual </w:t>
      </w:r>
      <w:r w:rsidDel="00000000" w:rsidR="00000000" w:rsidRPr="00000000">
        <w:rPr>
          <w:rFonts w:ascii="Times New Roman" w:cs="Times New Roman" w:eastAsia="Times New Roman" w:hAnsi="Times New Roman"/>
          <w:b w:val="1"/>
          <w:i w:val="1"/>
          <w:color w:val="000000"/>
          <w:sz w:val="24"/>
          <w:szCs w:val="24"/>
          <w:rtl w:val="0"/>
        </w:rPr>
        <w:t xml:space="preserve">donatio mortis causa</w:t>
      </w:r>
      <w:r w:rsidDel="00000000" w:rsidR="00000000" w:rsidRPr="00000000">
        <w:rPr>
          <w:rFonts w:ascii="Times New Roman" w:cs="Times New Roman" w:eastAsia="Times New Roman" w:hAnsi="Times New Roman"/>
          <w:b w:val="1"/>
          <w:color w:val="000000"/>
          <w:sz w:val="24"/>
          <w:szCs w:val="24"/>
          <w:rtl w:val="0"/>
        </w:rPr>
        <w:t xml:space="preserve"> three things must combine: first, the gift or donation must have been made in contemplation, though not necessarily in expectation, of death; secondly, there must have been delivery to the donee of the subject-matter of the gift; and, thirdly, the gift must be made under such circumstances as to show that the thing is to revert to the donor in case he should recover.”</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burden of proving that all the conditions have been met lies with the donee.</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characteristics have been incorporated in </w:t>
      </w:r>
      <w:r w:rsidDel="00000000" w:rsidR="00000000" w:rsidRPr="00000000">
        <w:rPr>
          <w:rFonts w:ascii="Times New Roman" w:cs="Times New Roman" w:eastAsia="Times New Roman" w:hAnsi="Times New Roman"/>
          <w:b w:val="1"/>
          <w:sz w:val="24"/>
          <w:szCs w:val="24"/>
          <w:rtl w:val="0"/>
        </w:rPr>
        <w:t xml:space="preserve">Section 31</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It states that:</w:t>
      </w:r>
    </w:p>
    <w:p w:rsidR="00000000" w:rsidDel="00000000" w:rsidP="00000000" w:rsidRDefault="00000000" w:rsidRPr="00000000" w14:paraId="0000003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 gift made in contemplation of death shall be valid, notwithstanding that there has been no complete transfer of legal title, if—</w:t>
      </w:r>
    </w:p>
    <w:p w:rsidR="00000000" w:rsidDel="00000000" w:rsidP="00000000" w:rsidRDefault="00000000" w:rsidRPr="00000000" w14:paraId="0000003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the person making the gift is at the time contemplating the possibility of death, whether or not expecting death, as the result of a present illness or present or imminent danger; and </w:t>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a person gives movable property (which includes any debt secured upon movable or immovable property) which he could otherwise dispose of by will; and </w:t>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there is delivery to the intended beneficiary of possession or the means of possession of the property or of the documents or other evidence of title thereto; and</w:t>
      </w:r>
    </w:p>
    <w:p w:rsidR="00000000" w:rsidDel="00000000" w:rsidP="00000000" w:rsidRDefault="00000000" w:rsidRPr="00000000" w14:paraId="0000003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 a person makes a gift in such circumstances as to show that he intended it to revert to him should he survive that illness or danger; and</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 the person making that gift dies from any cause without having survived that same illness or danger; and</w:t>
      </w:r>
    </w:p>
    <w:p w:rsidR="00000000" w:rsidDel="00000000" w:rsidP="00000000" w:rsidRDefault="00000000" w:rsidRPr="00000000" w14:paraId="0000003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 the intended beneficiary survives the person who made the gift to him: Provided that— (i) no gift made in contemplation of death shall be valid if the death is caused by suicide; </w:t>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the person making the gift may, at any time before his death, lawfully request its return.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Highness was contemplating death and therefore handed over one of his car keys to Foma and told him that “should I die this is yours”.</w:t>
      </w:r>
    </w:p>
    <w:p w:rsidR="00000000" w:rsidDel="00000000" w:rsidP="00000000" w:rsidRDefault="00000000" w:rsidRPr="00000000" w14:paraId="0000003E">
      <w:pPr>
        <w:pStyle w:val="Heading2"/>
        <w:numPr>
          <w:ilvl w:val="0"/>
          <w:numId w:val="4"/>
        </w:numPr>
        <w:spacing w:line="360" w:lineRule="auto"/>
        <w:ind w:left="720" w:hanging="360"/>
        <w:jc w:val="both"/>
        <w:rPr>
          <w:rFonts w:ascii="Times New Roman" w:cs="Times New Roman" w:eastAsia="Times New Roman" w:hAnsi="Times New Roman"/>
          <w:sz w:val="24"/>
          <w:szCs w:val="24"/>
        </w:rPr>
      </w:pPr>
      <w:bookmarkStart w:colFirst="0" w:colLast="0" w:name="_heading=h.4ezg37o7k2z" w:id="3"/>
      <w:bookmarkEnd w:id="3"/>
      <w:r w:rsidDel="00000000" w:rsidR="00000000" w:rsidRPr="00000000">
        <w:rPr>
          <w:rFonts w:ascii="Times New Roman" w:cs="Times New Roman" w:eastAsia="Times New Roman" w:hAnsi="Times New Roman"/>
          <w:sz w:val="24"/>
          <w:szCs w:val="24"/>
          <w:u w:val="single"/>
          <w:rtl w:val="0"/>
        </w:rPr>
        <w:t xml:space="preserve">The gift must be in contemplation of death</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gift in contemplation of death is valid if a person making the gift is a person contemplating death either through illness or any other danger. The death of the donor may not be imminent, but the donor must believe that they are dying and must die in that particular way he had anticipated.</w:t>
      </w:r>
    </w:p>
    <w:p w:rsidR="00000000" w:rsidDel="00000000" w:rsidP="00000000" w:rsidRDefault="00000000" w:rsidRPr="00000000" w14:paraId="00000040">
      <w:pPr>
        <w:spacing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In the historic case of </w:t>
      </w:r>
      <w:r w:rsidDel="00000000" w:rsidR="00000000" w:rsidRPr="00000000">
        <w:rPr>
          <w:rFonts w:ascii="Times New Roman" w:cs="Times New Roman" w:eastAsia="Times New Roman" w:hAnsi="Times New Roman"/>
          <w:b w:val="1"/>
          <w:i w:val="1"/>
          <w:color w:val="212529"/>
          <w:sz w:val="24"/>
          <w:szCs w:val="24"/>
          <w:highlight w:val="white"/>
          <w:rtl w:val="0"/>
        </w:rPr>
        <w:t xml:space="preserve">Re Craven’s Estate</w:t>
      </w:r>
      <w:r w:rsidDel="00000000" w:rsidR="00000000" w:rsidRPr="00000000">
        <w:rPr>
          <w:rFonts w:ascii="Times New Roman" w:cs="Times New Roman" w:eastAsia="Times New Roman" w:hAnsi="Times New Roman"/>
          <w:b w:val="1"/>
          <w:color w:val="212529"/>
          <w:sz w:val="24"/>
          <w:szCs w:val="24"/>
          <w:highlight w:val="white"/>
          <w:rtl w:val="0"/>
        </w:rPr>
        <w:t xml:space="preserve"> </w:t>
      </w:r>
      <w:r w:rsidDel="00000000" w:rsidR="00000000" w:rsidRPr="00000000">
        <w:rPr>
          <w:rFonts w:ascii="Times New Roman" w:cs="Times New Roman" w:eastAsia="Times New Roman" w:hAnsi="Times New Roman"/>
          <w:b w:val="1"/>
          <w:i w:val="1"/>
          <w:color w:val="212529"/>
          <w:sz w:val="24"/>
          <w:szCs w:val="24"/>
          <w:highlight w:val="white"/>
          <w:rtl w:val="0"/>
        </w:rPr>
        <w:t xml:space="preserve">(No.1) [1937]</w:t>
      </w:r>
      <w:r w:rsidDel="00000000" w:rsidR="00000000" w:rsidRPr="00000000">
        <w:rPr>
          <w:rFonts w:ascii="Times New Roman" w:cs="Times New Roman" w:eastAsia="Times New Roman" w:hAnsi="Times New Roman"/>
          <w:i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it was stated that the donor must contemplate his death, </w:t>
      </w:r>
      <w:r w:rsidDel="00000000" w:rsidR="00000000" w:rsidRPr="00000000">
        <w:rPr>
          <w:rFonts w:ascii="Times New Roman" w:cs="Times New Roman" w:eastAsia="Times New Roman" w:hAnsi="Times New Roman"/>
          <w:i w:val="0"/>
          <w:color w:val="212529"/>
          <w:sz w:val="24"/>
          <w:szCs w:val="24"/>
          <w:highlight w:val="white"/>
          <w:rtl w:val="0"/>
        </w:rPr>
        <w:t xml:space="preserve">within the near future, what may be called death for some reason believed to be impending.</w:t>
      </w:r>
      <w:r w:rsidDel="00000000" w:rsidR="00000000" w:rsidRPr="00000000">
        <w:rPr>
          <w:rFonts w:ascii="Times New Roman" w:cs="Times New Roman" w:eastAsia="Times New Roman" w:hAnsi="Times New Roman"/>
          <w:i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The donor must not, however, contemplate immediate death or be on his deathbed when he makes the gift.</w:t>
      </w:r>
    </w:p>
    <w:p w:rsidR="00000000" w:rsidDel="00000000" w:rsidP="00000000" w:rsidRDefault="00000000" w:rsidRPr="00000000" w14:paraId="00000041">
      <w:pPr>
        <w:spacing w:after="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The contemplation of death may be expressed or implied from the circumstances. In </w:t>
      </w:r>
      <w:r w:rsidDel="00000000" w:rsidR="00000000" w:rsidRPr="00000000">
        <w:rPr>
          <w:rFonts w:ascii="Times New Roman" w:cs="Times New Roman" w:eastAsia="Times New Roman" w:hAnsi="Times New Roman"/>
          <w:b w:val="1"/>
          <w:i w:val="1"/>
          <w:sz w:val="24"/>
          <w:szCs w:val="24"/>
          <w:rtl w:val="0"/>
        </w:rPr>
        <w:t xml:space="preserve">Lillingston</w:t>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(1952) 2 All E. R. 184</w:t>
      </w:r>
      <w:r w:rsidDel="00000000" w:rsidR="00000000" w:rsidRPr="00000000">
        <w:rPr>
          <w:rFonts w:ascii="Times New Roman" w:cs="Times New Roman" w:eastAsia="Times New Roman" w:hAnsi="Times New Roman"/>
          <w:sz w:val="24"/>
          <w:szCs w:val="24"/>
          <w:rtl w:val="0"/>
        </w:rPr>
        <w:t xml:space="preserve"> the donor expressed the opinion that she was “done for” and the court inferred that the gift was made in contemplation of her death.</w:t>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Further, in the recent case of </w:t>
      </w:r>
      <w:r w:rsidDel="00000000" w:rsidR="00000000" w:rsidRPr="00000000">
        <w:rPr>
          <w:rFonts w:ascii="Times New Roman" w:cs="Times New Roman" w:eastAsia="Times New Roman" w:hAnsi="Times New Roman"/>
          <w:b w:val="1"/>
          <w:i w:val="1"/>
          <w:color w:val="212529"/>
          <w:sz w:val="24"/>
          <w:szCs w:val="24"/>
          <w:highlight w:val="white"/>
          <w:rtl w:val="0"/>
        </w:rPr>
        <w:t xml:space="preserve">Keeling v Keeling [2017]</w:t>
      </w:r>
      <w:r w:rsidDel="00000000" w:rsidR="00000000" w:rsidRPr="00000000">
        <w:rPr>
          <w:rFonts w:ascii="Times New Roman" w:cs="Times New Roman" w:eastAsia="Times New Roman" w:hAnsi="Times New Roman"/>
          <w:i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the defendant of this matter and the donee, alleged that a valid </w:t>
      </w:r>
      <w:r w:rsidDel="00000000" w:rsidR="00000000" w:rsidRPr="00000000">
        <w:rPr>
          <w:rFonts w:ascii="Times New Roman" w:cs="Times New Roman" w:eastAsia="Times New Roman" w:hAnsi="Times New Roman"/>
          <w:i w:val="1"/>
          <w:color w:val="212529"/>
          <w:sz w:val="24"/>
          <w:szCs w:val="24"/>
          <w:highlight w:val="white"/>
          <w:rtl w:val="0"/>
        </w:rPr>
        <w:t xml:space="preserve">donatio mortis causa</w:t>
      </w:r>
      <w:r w:rsidDel="00000000" w:rsidR="00000000" w:rsidRPr="00000000">
        <w:rPr>
          <w:rFonts w:ascii="Times New Roman" w:cs="Times New Roman" w:eastAsia="Times New Roman" w:hAnsi="Times New Roman"/>
          <w:color w:val="212529"/>
          <w:sz w:val="24"/>
          <w:szCs w:val="24"/>
          <w:highlight w:val="white"/>
          <w:rtl w:val="0"/>
        </w:rPr>
        <w:t xml:space="preserve"> was made because the donor suffered a heart attack and told him that she wanted him to have the house. The donor passed the donee the keys and the title deeds to the house. The court decided that there was no </w:t>
      </w:r>
      <w:r w:rsidDel="00000000" w:rsidR="00000000" w:rsidRPr="00000000">
        <w:rPr>
          <w:rFonts w:ascii="Times New Roman" w:cs="Times New Roman" w:eastAsia="Times New Roman" w:hAnsi="Times New Roman"/>
          <w:i w:val="1"/>
          <w:color w:val="212529"/>
          <w:sz w:val="24"/>
          <w:szCs w:val="24"/>
          <w:highlight w:val="white"/>
          <w:rtl w:val="0"/>
        </w:rPr>
        <w:t xml:space="preserve">donatio mortis causa</w:t>
      </w:r>
      <w:r w:rsidDel="00000000" w:rsidR="00000000" w:rsidRPr="00000000">
        <w:rPr>
          <w:rFonts w:ascii="Times New Roman" w:cs="Times New Roman" w:eastAsia="Times New Roman" w:hAnsi="Times New Roman"/>
          <w:color w:val="212529"/>
          <w:sz w:val="24"/>
          <w:szCs w:val="24"/>
          <w:highlight w:val="white"/>
          <w:rtl w:val="0"/>
        </w:rPr>
        <w:t xml:space="preserve"> because the requirements had not been satisfied in relation to the donor’s contemplation of death. The judge said, “</w:t>
      </w:r>
      <w:r w:rsidDel="00000000" w:rsidR="00000000" w:rsidRPr="00000000">
        <w:rPr>
          <w:rFonts w:ascii="Times New Roman" w:cs="Times New Roman" w:eastAsia="Times New Roman" w:hAnsi="Times New Roman"/>
          <w:i w:val="1"/>
          <w:color w:val="212529"/>
          <w:sz w:val="24"/>
          <w:szCs w:val="24"/>
          <w:highlight w:val="white"/>
          <w:rtl w:val="0"/>
        </w:rPr>
        <w:t xml:space="preserve">In May 2012 Ellen [the donor] had just had her first heart attack but was not hospitalized. She survived a further six months.  She did not, in May 2012, "have good reason to anticipate death from an identified cause." In any event, any "contemplated" death in May did not occur: she recovered, so any gift would have lapsed.</w:t>
      </w:r>
      <w:r w:rsidDel="00000000" w:rsidR="00000000" w:rsidRPr="00000000">
        <w:rPr>
          <w:rFonts w:ascii="Times New Roman" w:cs="Times New Roman" w:eastAsia="Times New Roman" w:hAnsi="Times New Roman"/>
          <w:color w:val="212529"/>
          <w:sz w:val="24"/>
          <w:szCs w:val="24"/>
          <w:highlight w:val="white"/>
          <w:rtl w:val="0"/>
        </w:rPr>
        <w:t xml:space="preserve">”</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our facts, Foma states that when Highness was handing the car keys to him, he was very sick and in hospital and looked like he would not make it alive.</w:t>
      </w:r>
    </w:p>
    <w:p w:rsidR="00000000" w:rsidDel="00000000" w:rsidP="00000000" w:rsidRDefault="00000000" w:rsidRPr="00000000" w14:paraId="00000046">
      <w:pPr>
        <w:pStyle w:val="Heading2"/>
        <w:numPr>
          <w:ilvl w:val="0"/>
          <w:numId w:val="4"/>
        </w:numPr>
        <w:spacing w:after="0" w:line="360" w:lineRule="auto"/>
        <w:ind w:left="720" w:hanging="360"/>
        <w:jc w:val="both"/>
        <w:rPr>
          <w:rFonts w:ascii="Times New Roman" w:cs="Times New Roman" w:eastAsia="Times New Roman" w:hAnsi="Times New Roman"/>
          <w:sz w:val="24"/>
          <w:szCs w:val="24"/>
        </w:rPr>
      </w:pPr>
      <w:bookmarkStart w:colFirst="0" w:colLast="0" w:name="_heading=h.y130mej1w990" w:id="4"/>
      <w:bookmarkEnd w:id="4"/>
      <w:r w:rsidDel="00000000" w:rsidR="00000000" w:rsidRPr="00000000">
        <w:rPr>
          <w:rFonts w:ascii="Times New Roman" w:cs="Times New Roman" w:eastAsia="Times New Roman" w:hAnsi="Times New Roman"/>
          <w:sz w:val="24"/>
          <w:szCs w:val="24"/>
          <w:u w:val="single"/>
          <w:rtl w:val="0"/>
        </w:rPr>
        <w:t xml:space="preserve">The gift must be capable of making the subject matter of a </w:t>
      </w:r>
      <w:r w:rsidDel="00000000" w:rsidR="00000000" w:rsidRPr="00000000">
        <w:rPr>
          <w:rFonts w:ascii="Times New Roman" w:cs="Times New Roman" w:eastAsia="Times New Roman" w:hAnsi="Times New Roman"/>
          <w:i w:val="1"/>
          <w:sz w:val="24"/>
          <w:szCs w:val="24"/>
          <w:u w:val="single"/>
          <w:rtl w:val="0"/>
        </w:rPr>
        <w:t xml:space="preserve">donatio mortis causa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gift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shoul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be capable of being donated.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31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Law of Succession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states that, </w:t>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gift in contemplation of death shall be valid, notwithstanding that there has been no complete transfer of legal title, if a person gives movable property which he could otherwise dispose of by will.”</w:t>
      </w:r>
    </w:p>
    <w:p w:rsidR="00000000" w:rsidDel="00000000" w:rsidP="00000000" w:rsidRDefault="00000000" w:rsidRPr="00000000" w14:paraId="0000004A">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Property that cannot be disposed of by will cannot be donated. A testator can only dispose of free property by will, therefore only free property can be subject to donation. Cheques and promissory notes drawn by the donor cannot be a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as they are not enforceable without consideration and this was held in the case of </w:t>
      </w:r>
      <w:r w:rsidDel="00000000" w:rsidR="00000000" w:rsidRPr="00000000">
        <w:rPr>
          <w:rFonts w:ascii="Times New Roman" w:cs="Times New Roman" w:eastAsia="Times New Roman" w:hAnsi="Times New Roman"/>
          <w:b w:val="1"/>
          <w:i w:val="1"/>
          <w:sz w:val="24"/>
          <w:szCs w:val="24"/>
          <w:rtl w:val="0"/>
        </w:rPr>
        <w:t xml:space="preserve">Re Beaumont (1902)1 Ch.889.</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b w:val="1"/>
          <w:i w:val="1"/>
          <w:sz w:val="24"/>
          <w:szCs w:val="24"/>
          <w:rtl w:val="0"/>
        </w:rPr>
        <w:t xml:space="preserve">Duffield v Elwes</w:t>
      </w:r>
      <w:r w:rsidDel="00000000" w:rsidR="00000000" w:rsidRPr="00000000">
        <w:rPr>
          <w:rFonts w:ascii="Times New Roman" w:cs="Times New Roman" w:eastAsia="Times New Roman" w:hAnsi="Times New Roman"/>
          <w:b w:val="1"/>
          <w:sz w:val="24"/>
          <w:szCs w:val="24"/>
          <w:rtl w:val="0"/>
        </w:rPr>
        <w:t xml:space="preserve"> 1827 Bli NS 497</w:t>
      </w:r>
      <w:r w:rsidDel="00000000" w:rsidR="00000000" w:rsidRPr="00000000">
        <w:rPr>
          <w:rFonts w:ascii="Times New Roman" w:cs="Times New Roman" w:eastAsia="Times New Roman" w:hAnsi="Times New Roman"/>
          <w:sz w:val="24"/>
          <w:szCs w:val="24"/>
          <w:rtl w:val="0"/>
        </w:rPr>
        <w:t xml:space="preserve">, it was suggested obiter dicta by the House of Laws that the land either freehold or leasehold could not form the subject matter of a donation mortis causa. The law of Succession Act appears to imply that this dicta is the law in Kenya as section 31 only covers moveable property. The most recent English decisions however suggest that unregistered freehold property could form the subject matter of a donation mortis causa.</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Foma was given by Highness movable property which is a car and thus, the gift meets the characteristics under Section 31 of Law of Succession Act.</w:t>
      </w:r>
    </w:p>
    <w:p w:rsidR="00000000" w:rsidDel="00000000" w:rsidP="00000000" w:rsidRDefault="00000000" w:rsidRPr="00000000" w14:paraId="0000004D">
      <w:pPr>
        <w:pStyle w:val="Heading2"/>
        <w:numPr>
          <w:ilvl w:val="0"/>
          <w:numId w:val="4"/>
        </w:numPr>
        <w:spacing w:line="360" w:lineRule="auto"/>
        <w:ind w:left="720" w:hanging="360"/>
        <w:jc w:val="both"/>
        <w:rPr>
          <w:rFonts w:ascii="Times New Roman" w:cs="Times New Roman" w:eastAsia="Times New Roman" w:hAnsi="Times New Roman"/>
          <w:sz w:val="24"/>
          <w:szCs w:val="24"/>
        </w:rPr>
      </w:pPr>
      <w:bookmarkStart w:colFirst="0" w:colLast="0" w:name="_heading=h.sot9womduouw" w:id="5"/>
      <w:bookmarkEnd w:id="5"/>
      <w:r w:rsidDel="00000000" w:rsidR="00000000" w:rsidRPr="00000000">
        <w:rPr>
          <w:rFonts w:ascii="Times New Roman" w:cs="Times New Roman" w:eastAsia="Times New Roman" w:hAnsi="Times New Roman"/>
          <w:sz w:val="24"/>
          <w:szCs w:val="24"/>
          <w:u w:val="single"/>
          <w:rtl w:val="0"/>
        </w:rPr>
        <w:t xml:space="preserve">The gift must be delivered to the donee</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donor must have handed over to the donee or his agent the subject matter of the gift or the means of controlling it. The donor must have parted possession with or dominion over the subject matter of the gift.</w:t>
      </w:r>
    </w:p>
    <w:p w:rsidR="00000000" w:rsidDel="00000000" w:rsidP="00000000" w:rsidRDefault="00000000" w:rsidRPr="00000000" w14:paraId="0000004F">
      <w:pPr>
        <w:spacing w:line="360"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31 (c)</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states that, </w:t>
      </w:r>
    </w:p>
    <w:p w:rsidR="00000000" w:rsidDel="00000000" w:rsidP="00000000" w:rsidRDefault="00000000" w:rsidRPr="00000000" w14:paraId="0000005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“There must be delivery to the intended beneficiary of possession or the means of possession of the property or of the documents or other evidence of title thereto. The donor must either hand over the thing to be given, or the documents which constitute the essential evidence of title, with the intention of surrendering dominion over the thing and not merely for safe keeping for instance, key of the car, title for the land among others.”</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is valid if there is actual delivery of the subject matter to the donee. Ownership is only passed after the death of the donor and the donor must have the intention after his/her death for the gift to pass. From the facts of our case, Highness gave Foma the keys to his car with the words, ‘should I die then this is yours.’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b w:val="1"/>
          <w:i w:val="1"/>
          <w:sz w:val="24"/>
          <w:szCs w:val="24"/>
          <w:rtl w:val="0"/>
        </w:rPr>
        <w:t xml:space="preserve">Woodward v Woodward</w:t>
      </w:r>
      <w:r w:rsidDel="00000000" w:rsidR="00000000" w:rsidRPr="00000000">
        <w:rPr>
          <w:rFonts w:ascii="Times New Roman" w:cs="Times New Roman" w:eastAsia="Times New Roman" w:hAnsi="Times New Roman"/>
          <w:b w:val="1"/>
          <w:sz w:val="24"/>
          <w:szCs w:val="24"/>
          <w:rtl w:val="0"/>
        </w:rPr>
        <w:t xml:space="preserve"> (1995) 3 ALL ER 980</w:t>
      </w:r>
      <w:r w:rsidDel="00000000" w:rsidR="00000000" w:rsidRPr="00000000">
        <w:rPr>
          <w:rFonts w:ascii="Times New Roman" w:cs="Times New Roman" w:eastAsia="Times New Roman" w:hAnsi="Times New Roman"/>
          <w:sz w:val="24"/>
          <w:szCs w:val="24"/>
          <w:rtl w:val="0"/>
        </w:rPr>
        <w:t xml:space="preserve">, a father handed over keys of his car to his son at a time when the father was seriously ill but he kept a duplicate set of the keys.  The court held that there was delivery because during the father’s illness, it was only the son who had access to the car and therefore the father had parted with dominion over the car.</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the case of </w:t>
      </w:r>
      <w:r w:rsidDel="00000000" w:rsidR="00000000" w:rsidRPr="00000000">
        <w:rPr>
          <w:rFonts w:ascii="Times New Roman" w:cs="Times New Roman" w:eastAsia="Times New Roman" w:hAnsi="Times New Roman"/>
          <w:b w:val="1"/>
          <w:i w:val="1"/>
          <w:sz w:val="24"/>
          <w:szCs w:val="24"/>
          <w:rtl w:val="0"/>
        </w:rPr>
        <w:t xml:space="preserve">Wildish v Fowler</w:t>
      </w:r>
      <w:r w:rsidDel="00000000" w:rsidR="00000000" w:rsidRPr="00000000">
        <w:rPr>
          <w:rFonts w:ascii="Times New Roman" w:cs="Times New Roman" w:eastAsia="Times New Roman" w:hAnsi="Times New Roman"/>
          <w:b w:val="1"/>
          <w:sz w:val="24"/>
          <w:szCs w:val="24"/>
          <w:rtl w:val="0"/>
        </w:rPr>
        <w:t xml:space="preserve"> (1892) 8 T.L.R 457</w:t>
      </w:r>
      <w:r w:rsidDel="00000000" w:rsidR="00000000" w:rsidRPr="00000000">
        <w:rPr>
          <w:rFonts w:ascii="Times New Roman" w:cs="Times New Roman" w:eastAsia="Times New Roman" w:hAnsi="Times New Roman"/>
          <w:sz w:val="24"/>
          <w:szCs w:val="24"/>
          <w:rtl w:val="0"/>
        </w:rPr>
        <w:t xml:space="preserve"> a landlady was handed property by her sick tenant with instructions “take care of this.” It was held that there had been no</w:t>
      </w:r>
      <w:r w:rsidDel="00000000" w:rsidR="00000000" w:rsidRPr="00000000">
        <w:rPr>
          <w:rFonts w:ascii="Times New Roman" w:cs="Times New Roman" w:eastAsia="Times New Roman" w:hAnsi="Times New Roman"/>
          <w:i w:val="1"/>
          <w:sz w:val="24"/>
          <w:szCs w:val="24"/>
          <w:rtl w:val="0"/>
        </w:rPr>
        <w:t xml:space="preserve"> donatio mortis causa</w:t>
      </w:r>
      <w:r w:rsidDel="00000000" w:rsidR="00000000" w:rsidRPr="00000000">
        <w:rPr>
          <w:rFonts w:ascii="Times New Roman" w:cs="Times New Roman" w:eastAsia="Times New Roman" w:hAnsi="Times New Roman"/>
          <w:sz w:val="24"/>
          <w:szCs w:val="24"/>
          <w:rtl w:val="0"/>
        </w:rPr>
        <w:t xml:space="preserve"> of the property as the donor had not parted with dominion over the property. The property was delivered merely for the purpose of safe custody.</w:t>
      </w:r>
    </w:p>
    <w:p w:rsidR="00000000" w:rsidDel="00000000" w:rsidP="00000000" w:rsidRDefault="00000000" w:rsidRPr="00000000" w14:paraId="00000054">
      <w:pPr>
        <w:pStyle w:val="Heading2"/>
        <w:numPr>
          <w:ilvl w:val="0"/>
          <w:numId w:val="4"/>
        </w:numPr>
        <w:spacing w:line="360" w:lineRule="auto"/>
        <w:ind w:left="720" w:hanging="360"/>
        <w:jc w:val="both"/>
        <w:rPr>
          <w:rFonts w:ascii="Times New Roman" w:cs="Times New Roman" w:eastAsia="Times New Roman" w:hAnsi="Times New Roman"/>
          <w:sz w:val="24"/>
          <w:szCs w:val="24"/>
        </w:rPr>
      </w:pPr>
      <w:bookmarkStart w:colFirst="0" w:colLast="0" w:name="_heading=h.6m5kx02cktcx" w:id="6"/>
      <w:bookmarkEnd w:id="6"/>
      <w:r w:rsidDel="00000000" w:rsidR="00000000" w:rsidRPr="00000000">
        <w:rPr>
          <w:rFonts w:ascii="Times New Roman" w:cs="Times New Roman" w:eastAsia="Times New Roman" w:hAnsi="Times New Roman"/>
          <w:sz w:val="24"/>
          <w:szCs w:val="24"/>
          <w:u w:val="single"/>
          <w:rtl w:val="0"/>
        </w:rPr>
        <w:t xml:space="preserve">The gift must be conditional on the donor’s death</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31(d)</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states that, </w:t>
      </w:r>
    </w:p>
    <w:p w:rsidR="00000000" w:rsidDel="00000000" w:rsidP="00000000" w:rsidRDefault="00000000" w:rsidRPr="00000000" w14:paraId="0000005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gift in contemplation of death would be valid if the donor makes the gift in such circumstances as to show he intended the gift to revert to him should he survive the contemplated illness or danger.” </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gift can expressly be stated by the donor to be conditional upon death. It may also be implied by the circumstances. The courts are likely to imply that the gift is conditional on death if it is made in the last few days of the donor’s final illness. However, where a gift in these circumstances is made in writing as opposed to orally it is presumed by the court that the gift is not a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but either an attempted lifetime gift or a failed testamentary gift and the same was held in the case of </w:t>
      </w:r>
      <w:r w:rsidDel="00000000" w:rsidR="00000000" w:rsidRPr="00000000">
        <w:rPr>
          <w:rFonts w:ascii="Times New Roman" w:cs="Times New Roman" w:eastAsia="Times New Roman" w:hAnsi="Times New Roman"/>
          <w:b w:val="1"/>
          <w:i w:val="1"/>
          <w:sz w:val="24"/>
          <w:szCs w:val="24"/>
          <w:rtl w:val="0"/>
        </w:rPr>
        <w:t xml:space="preserve">Edward vs. Jones (1836) 1 MY &amp; CN 226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facts of our case, the words quoted by Highness were, “should I die then this is yours” to mean that the gift would only be effected upon his death.</w:t>
      </w:r>
    </w:p>
    <w:p w:rsidR="00000000" w:rsidDel="00000000" w:rsidP="00000000" w:rsidRDefault="00000000" w:rsidRPr="00000000" w14:paraId="00000059">
      <w:pPr>
        <w:pStyle w:val="Heading2"/>
        <w:numPr>
          <w:ilvl w:val="0"/>
          <w:numId w:val="4"/>
        </w:numPr>
        <w:spacing w:line="360" w:lineRule="auto"/>
        <w:ind w:left="720" w:hanging="360"/>
        <w:jc w:val="both"/>
        <w:rPr>
          <w:rFonts w:ascii="Times New Roman" w:cs="Times New Roman" w:eastAsia="Times New Roman" w:hAnsi="Times New Roman"/>
          <w:sz w:val="24"/>
          <w:szCs w:val="24"/>
        </w:rPr>
      </w:pPr>
      <w:bookmarkStart w:colFirst="0" w:colLast="0" w:name="_heading=h.qiydvlm0thvl" w:id="7"/>
      <w:bookmarkEnd w:id="7"/>
      <w:r w:rsidDel="00000000" w:rsidR="00000000" w:rsidRPr="00000000">
        <w:rPr>
          <w:rFonts w:ascii="Times New Roman" w:cs="Times New Roman" w:eastAsia="Times New Roman" w:hAnsi="Times New Roman"/>
          <w:sz w:val="24"/>
          <w:szCs w:val="24"/>
          <w:u w:val="single"/>
          <w:rtl w:val="0"/>
        </w:rPr>
        <w:t xml:space="preserve">The gift passes to the donee if the donor dies from any cause without having survived that same illness or danger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31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Law of Succession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goes further to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immaterial that the donor dies on something else other than what they had anticipated as long as at the time of death, they are still suffering the same disease. </w:t>
      </w:r>
    </w:p>
    <w:p w:rsidR="00000000" w:rsidDel="00000000" w:rsidP="00000000" w:rsidRDefault="00000000" w:rsidRPr="00000000" w14:paraId="0000005B">
      <w:pPr>
        <w:spacing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b w:val="1"/>
          <w:i w:val="1"/>
          <w:sz w:val="24"/>
          <w:szCs w:val="24"/>
          <w:rtl w:val="0"/>
        </w:rPr>
        <w:t xml:space="preserve">Wilkes v Allington (1931) </w:t>
      </w:r>
      <w:r w:rsidDel="00000000" w:rsidR="00000000" w:rsidRPr="00000000">
        <w:rPr>
          <w:rFonts w:ascii="Times New Roman" w:cs="Times New Roman" w:eastAsia="Times New Roman" w:hAnsi="Times New Roman"/>
          <w:b w:val="1"/>
          <w:sz w:val="24"/>
          <w:szCs w:val="24"/>
          <w:rtl w:val="0"/>
        </w:rPr>
        <w:t xml:space="preserve">2 CH 104</w:t>
      </w:r>
      <w:r w:rsidDel="00000000" w:rsidR="00000000" w:rsidRPr="00000000">
        <w:rPr>
          <w:rFonts w:ascii="Times New Roman" w:cs="Times New Roman" w:eastAsia="Times New Roman" w:hAnsi="Times New Roman"/>
          <w:sz w:val="24"/>
          <w:szCs w:val="24"/>
          <w:rtl w:val="0"/>
        </w:rPr>
        <w:t xml:space="preserve">, the deceased thought he was going to die of cancer and he made a gift contemplating death. While still suffering from cancer, he was diagnosed with pneumonia and died although he had not been cured of cancer. It was held that the gift passed as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because he had not been cured of cancer.</w:t>
      </w:r>
      <w:r w:rsidDel="00000000" w:rsidR="00000000" w:rsidRPr="00000000">
        <w:rPr>
          <w:rFonts w:ascii="Times New Roman" w:cs="Times New Roman" w:eastAsia="Times New Roman" w:hAnsi="Times New Roman"/>
          <w:color w:val="212529"/>
          <w:sz w:val="24"/>
          <w:szCs w:val="24"/>
          <w:highlight w:val="white"/>
          <w:rtl w:val="0"/>
        </w:rPr>
        <w:t xml:space="preserve"> It therefore does not matter whether the cause of death that the donor anticipates is actually what kills them.</w:t>
      </w:r>
    </w:p>
    <w:p w:rsidR="00000000" w:rsidDel="00000000" w:rsidP="00000000" w:rsidRDefault="00000000" w:rsidRPr="00000000" w14:paraId="0000005C">
      <w:pPr>
        <w:pStyle w:val="Heading2"/>
        <w:numPr>
          <w:ilvl w:val="0"/>
          <w:numId w:val="4"/>
        </w:numPr>
        <w:spacing w:line="360" w:lineRule="auto"/>
        <w:ind w:left="720" w:hanging="360"/>
        <w:jc w:val="both"/>
        <w:rPr>
          <w:rFonts w:ascii="Times New Roman" w:cs="Times New Roman" w:eastAsia="Times New Roman" w:hAnsi="Times New Roman"/>
          <w:sz w:val="24"/>
          <w:szCs w:val="24"/>
        </w:rPr>
      </w:pPr>
      <w:bookmarkStart w:colFirst="0" w:colLast="0" w:name="_heading=h.q6ch11k1yppi" w:id="8"/>
      <w:bookmarkEnd w:id="8"/>
      <w:r w:rsidDel="00000000" w:rsidR="00000000" w:rsidRPr="00000000">
        <w:rPr>
          <w:rFonts w:ascii="Times New Roman" w:cs="Times New Roman" w:eastAsia="Times New Roman" w:hAnsi="Times New Roman"/>
          <w:sz w:val="24"/>
          <w:szCs w:val="24"/>
          <w:u w:val="single"/>
          <w:rtl w:val="0"/>
        </w:rPr>
        <w:t xml:space="preserve">The donee must survive the donor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31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Law of Succession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states that the gift is only valid if the donor dies before the donee, provided that no gift made in contemplation of death shall be valid if the death is caused by suicide. In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w:t>
      </w:r>
      <w:r w:rsidDel="00000000" w:rsidR="00000000" w:rsidRPr="00000000">
        <w:rPr>
          <w:rFonts w:ascii="Times New Roman" w:cs="Times New Roman" w:eastAsia="Times New Roman" w:hAnsi="Times New Roman"/>
          <w:sz w:val="24"/>
          <w:szCs w:val="24"/>
          <w:rtl w:val="0"/>
        </w:rPr>
        <w:t xml:space="preserve">beforehand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Highness died before the donee, Foma. It is also clear that Highness did not commit suicide </w:t>
      </w:r>
      <w:r w:rsidDel="00000000" w:rsidR="00000000" w:rsidRPr="00000000">
        <w:rPr>
          <w:rFonts w:ascii="Times New Roman" w:cs="Times New Roman" w:eastAsia="Times New Roman" w:hAnsi="Times New Roman"/>
          <w:sz w:val="24"/>
          <w:szCs w:val="24"/>
          <w:rtl w:val="0"/>
        </w:rPr>
        <w:t xml:space="preserve">hence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gift passes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donatio mortis causa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31 (f) (ii)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Law </w:t>
      </w:r>
      <w:r w:rsidDel="00000000" w:rsidR="00000000" w:rsidRPr="00000000">
        <w:rPr>
          <w:rFonts w:ascii="Times New Roman" w:cs="Times New Roman" w:eastAsia="Times New Roman" w:hAnsi="Times New Roman"/>
          <w:b w:val="1"/>
          <w:sz w:val="24"/>
          <w:szCs w:val="24"/>
          <w:rtl w:val="0"/>
        </w:rPr>
        <w:t xml:space="preserve">of Succession 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that the person making the gift may at any time before his death, lawfully request its return. Highness did not require the car keys to be returned to him by Foma and this is a clear indication that he did not revoke the gift.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b w:val="1"/>
          <w:i w:val="1"/>
          <w:sz w:val="24"/>
          <w:szCs w:val="24"/>
          <w:rtl w:val="0"/>
        </w:rPr>
        <w:t xml:space="preserve">Agnew vs. Belfast Banking Co.</w:t>
      </w:r>
      <w:r w:rsidDel="00000000" w:rsidR="00000000" w:rsidRPr="00000000">
        <w:rPr>
          <w:rFonts w:ascii="Times New Roman" w:cs="Times New Roman" w:eastAsia="Times New Roman" w:hAnsi="Times New Roman"/>
          <w:b w:val="1"/>
          <w:sz w:val="24"/>
          <w:szCs w:val="24"/>
          <w:rtl w:val="0"/>
        </w:rPr>
        <w:t xml:space="preserve"> (1896) 2 IR 204 </w:t>
      </w:r>
      <w:r w:rsidDel="00000000" w:rsidR="00000000" w:rsidRPr="00000000">
        <w:rPr>
          <w:rFonts w:ascii="Times New Roman" w:cs="Times New Roman" w:eastAsia="Times New Roman" w:hAnsi="Times New Roman"/>
          <w:sz w:val="24"/>
          <w:szCs w:val="24"/>
          <w:rtl w:val="0"/>
        </w:rPr>
        <w:t xml:space="preserve">it was held that a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was not possible to uphold if a gift was intended to take effect by means of a suicide, as it was against public policy. In </w:t>
      </w:r>
      <w:r w:rsidDel="00000000" w:rsidR="00000000" w:rsidRPr="00000000">
        <w:rPr>
          <w:rFonts w:ascii="Times New Roman" w:cs="Times New Roman" w:eastAsia="Times New Roman" w:hAnsi="Times New Roman"/>
          <w:b w:val="1"/>
          <w:i w:val="1"/>
          <w:sz w:val="24"/>
          <w:szCs w:val="24"/>
          <w:rtl w:val="0"/>
        </w:rPr>
        <w:t xml:space="preserve">Re Dudman</w:t>
      </w:r>
      <w:r w:rsidDel="00000000" w:rsidR="00000000" w:rsidRPr="00000000">
        <w:rPr>
          <w:rFonts w:ascii="Times New Roman" w:cs="Times New Roman" w:eastAsia="Times New Roman" w:hAnsi="Times New Roman"/>
          <w:b w:val="1"/>
          <w:sz w:val="24"/>
          <w:szCs w:val="24"/>
          <w:rtl w:val="0"/>
        </w:rPr>
        <w:t xml:space="preserve"> (1925) 1Ch.553 </w:t>
      </w:r>
      <w:r w:rsidDel="00000000" w:rsidR="00000000" w:rsidRPr="00000000">
        <w:rPr>
          <w:rFonts w:ascii="Times New Roman" w:cs="Times New Roman" w:eastAsia="Times New Roman" w:hAnsi="Times New Roman"/>
          <w:sz w:val="24"/>
          <w:szCs w:val="24"/>
          <w:rtl w:val="0"/>
        </w:rPr>
        <w:t xml:space="preserve">the donor committed suicide, as he could not cope with his terminal illness. The court followed Agnews case and in addition, held that the donation failed on the grounds of public policy. The legal position stated in these two cases is no longer valid in England following the enactment of the Suicide Act, 1961 that decriminalized suicide. The pre-1961 position in England is still the law in Kenya by virtue of section 31(i) of Law of Succession Act.</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discussion about the conditions to be met for a gift to pass as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we can confidently state that the car passed to Foma as a gift in contemplation of death.</w:t>
      </w:r>
    </w:p>
    <w:p w:rsidR="00000000" w:rsidDel="00000000" w:rsidP="00000000" w:rsidRDefault="00000000" w:rsidRPr="00000000" w14:paraId="00000060">
      <w:pPr>
        <w:pStyle w:val="Heading1"/>
        <w:numPr>
          <w:ilvl w:val="0"/>
          <w:numId w:val="1"/>
        </w:numPr>
        <w:spacing w:line="360" w:lineRule="auto"/>
        <w:ind w:left="720" w:hanging="360"/>
        <w:jc w:val="both"/>
        <w:rPr>
          <w:rFonts w:ascii="Times New Roman" w:cs="Times New Roman" w:eastAsia="Times New Roman" w:hAnsi="Times New Roman"/>
          <w:sz w:val="24"/>
          <w:szCs w:val="24"/>
          <w:u w:val="none"/>
          <w:vertAlign w:val="baseline"/>
        </w:rPr>
      </w:pPr>
      <w:bookmarkStart w:colFirst="0" w:colLast="0" w:name="_heading=h.e5tt3arflrw8" w:id="9"/>
      <w:bookmarkEnd w:id="9"/>
      <w:r w:rsidDel="00000000" w:rsidR="00000000" w:rsidRPr="00000000">
        <w:rPr>
          <w:rFonts w:ascii="Times New Roman" w:cs="Times New Roman" w:eastAsia="Times New Roman" w:hAnsi="Times New Roman"/>
          <w:sz w:val="24"/>
          <w:szCs w:val="24"/>
          <w:u w:val="single"/>
          <w:vertAlign w:val="baseline"/>
          <w:rtl w:val="0"/>
        </w:rPr>
        <w:t xml:space="preserve">Whether the car should be listed in the estate of Highness for the purposes of succession</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cannot be revoked by a subsequent will. It cannot be given to someone else under a will as it is not a free property. </w:t>
      </w:r>
      <w:r w:rsidDel="00000000" w:rsidR="00000000" w:rsidRPr="00000000">
        <w:rPr>
          <w:rFonts w:ascii="Times New Roman" w:cs="Times New Roman" w:eastAsia="Times New Roman" w:hAnsi="Times New Roman"/>
          <w:b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defines free property, in relation to a deceased person, as the property of which that person was legally competent to freely dispose during his lifetime, and in respect of which his interest has not been terminated by his death. This means that if property is delivered by a donor during his lifetime in contemplation of death to another, with the intention of making it a gift conditional to his death, then thereafter makes a bequest of the same property by will to another person, the beneficiary named in the will receives nothing. </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t>
      </w:r>
      <w:r w:rsidDel="00000000" w:rsidR="00000000" w:rsidRPr="00000000">
        <w:rPr>
          <w:rFonts w:ascii="Times New Roman" w:cs="Times New Roman" w:eastAsia="Times New Roman" w:hAnsi="Times New Roman"/>
          <w:b w:val="1"/>
          <w:i w:val="1"/>
          <w:sz w:val="24"/>
          <w:szCs w:val="24"/>
          <w:rtl w:val="0"/>
        </w:rPr>
        <w:t xml:space="preserve">Re Korvine’s Trust</w:t>
      </w:r>
      <w:r w:rsidDel="00000000" w:rsidR="00000000" w:rsidRPr="00000000">
        <w:rPr>
          <w:rFonts w:ascii="Times New Roman" w:cs="Times New Roman" w:eastAsia="Times New Roman" w:hAnsi="Times New Roman"/>
          <w:b w:val="1"/>
          <w:sz w:val="24"/>
          <w:szCs w:val="24"/>
          <w:rtl w:val="0"/>
        </w:rPr>
        <w:t xml:space="preserve"> (1921) 1 Ch 343</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does not form part of the deceased estate upon his death, but if the estate proves insufficient to pay the deceased’s debts the subject matter of the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may be used. Following the facts of this case, Highness’ estate has no problem in paying his debts and therefore there is no reason for taking the car as a subject matter of his estate. </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discussion clearly indicates that the car passed to Foma as a gift by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and thus it should not be listed in the estate of the deceased.</w:t>
      </w:r>
    </w:p>
    <w:p w:rsidR="00000000" w:rsidDel="00000000" w:rsidP="00000000" w:rsidRDefault="00000000" w:rsidRPr="00000000" w14:paraId="00000064">
      <w:pPr>
        <w:pStyle w:val="Heading1"/>
        <w:numPr>
          <w:ilvl w:val="0"/>
          <w:numId w:val="2"/>
        </w:numPr>
        <w:spacing w:line="360" w:lineRule="auto"/>
        <w:ind w:left="720" w:hanging="360"/>
        <w:jc w:val="both"/>
        <w:rPr>
          <w:rFonts w:ascii="Times New Roman" w:cs="Times New Roman" w:eastAsia="Times New Roman" w:hAnsi="Times New Roman"/>
          <w:sz w:val="24"/>
          <w:szCs w:val="24"/>
          <w:u w:val="none"/>
        </w:rPr>
      </w:pPr>
      <w:bookmarkStart w:colFirst="0" w:colLast="0" w:name="_heading=h.eil1fs5lfqr4" w:id="10"/>
      <w:bookmarkEnd w:id="10"/>
      <w:r w:rsidDel="00000000" w:rsidR="00000000" w:rsidRPr="00000000">
        <w:rPr>
          <w:rFonts w:ascii="Times New Roman" w:cs="Times New Roman" w:eastAsia="Times New Roman" w:hAnsi="Times New Roman"/>
          <w:sz w:val="24"/>
          <w:szCs w:val="24"/>
          <w:u w:val="single"/>
          <w:vertAlign w:val="baseline"/>
          <w:rtl w:val="0"/>
        </w:rPr>
        <w:t xml:space="preserve">The procedure to be followed to ensure that the car is removed from the properties listed in the estate of Highness</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only be done through objection to application of grants which procedure is reflected under the</w:t>
      </w:r>
      <w:r w:rsidDel="00000000" w:rsidR="00000000" w:rsidRPr="00000000">
        <w:rPr>
          <w:rFonts w:ascii="Times New Roman" w:cs="Times New Roman" w:eastAsia="Times New Roman" w:hAnsi="Times New Roman"/>
          <w:b w:val="1"/>
          <w:sz w:val="24"/>
          <w:szCs w:val="24"/>
          <w:rtl w:val="0"/>
        </w:rPr>
        <w:t xml:space="preserve"> Law of Succession Act </w:t>
      </w:r>
      <w:r w:rsidDel="00000000" w:rsidR="00000000" w:rsidRPr="00000000">
        <w:rPr>
          <w:rFonts w:ascii="Times New Roman" w:cs="Times New Roman" w:eastAsia="Times New Roman" w:hAnsi="Times New Roman"/>
          <w:sz w:val="24"/>
          <w:szCs w:val="24"/>
          <w:rtl w:val="0"/>
        </w:rPr>
        <w:t xml:space="preserve">as well as the</w:t>
      </w:r>
      <w:r w:rsidDel="00000000" w:rsidR="00000000" w:rsidRPr="00000000">
        <w:rPr>
          <w:rFonts w:ascii="Times New Roman" w:cs="Times New Roman" w:eastAsia="Times New Roman" w:hAnsi="Times New Roman"/>
          <w:b w:val="1"/>
          <w:sz w:val="24"/>
          <w:szCs w:val="24"/>
          <w:rtl w:val="0"/>
        </w:rPr>
        <w:t xml:space="preserve"> Probate and Administration Rules.</w:t>
      </w: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First, we must consider the jurisdiction of the court which can handle the matter.</w:t>
      </w:r>
      <w:r w:rsidDel="00000000" w:rsidR="00000000" w:rsidRPr="00000000">
        <w:rPr>
          <w:rFonts w:ascii="Times New Roman" w:cs="Times New Roman" w:eastAsia="Times New Roman" w:hAnsi="Times New Roman"/>
          <w:b w:val="1"/>
          <w:sz w:val="24"/>
          <w:szCs w:val="24"/>
          <w:rtl w:val="0"/>
        </w:rPr>
        <w:t xml:space="preserve"> Section 47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Law of Succession Act </w:t>
      </w:r>
      <w:r w:rsidDel="00000000" w:rsidR="00000000" w:rsidRPr="00000000">
        <w:rPr>
          <w:rFonts w:ascii="Times New Roman" w:cs="Times New Roman" w:eastAsia="Times New Roman" w:hAnsi="Times New Roman"/>
          <w:sz w:val="24"/>
          <w:szCs w:val="24"/>
          <w:rtl w:val="0"/>
        </w:rPr>
        <w:t xml:space="preserve">reads as follows;</w:t>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High Court shall have jurisdiction to entertain any application and determine any dispute under this Act and to pronounce such decrees and make such orders therein as may be expedient: Provided that the High Court may for the purpose of this section be represented by Resident Magistrates appointed by the Chief Justice.</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23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Magistrates’ Court Act no. 26 of 2015 </w:t>
      </w:r>
      <w:r w:rsidDel="00000000" w:rsidR="00000000" w:rsidRPr="00000000">
        <w:rPr>
          <w:rFonts w:ascii="Times New Roman" w:cs="Times New Roman" w:eastAsia="Times New Roman" w:hAnsi="Times New Roman"/>
          <w:sz w:val="24"/>
          <w:szCs w:val="24"/>
          <w:rtl w:val="0"/>
        </w:rPr>
        <w:t xml:space="preserve">has repealed section 48 (1) The Law of Succession Act and substituting therefore the following new subsection:</w:t>
      </w:r>
    </w:p>
    <w:p w:rsidR="00000000" w:rsidDel="00000000" w:rsidP="00000000" w:rsidRDefault="00000000" w:rsidRPr="00000000" w14:paraId="0000006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“Notwithstanding any other written law which limits jurisdiction, but subject to the provisions of section 49, a magistrate shall have jurisdiction to entertain any application and to determine any dispute under this Act and pronounce such decrees and make such orders therein as may be expedient in respect of any estate the gross value of which does not exceed the pecuniary limit prescribed under section 7(1) of the Magistrates' Courts Act, 2015.”</w:t>
      </w:r>
    </w:p>
    <w:p w:rsidR="00000000" w:rsidDel="00000000" w:rsidP="00000000" w:rsidRDefault="00000000" w:rsidRPr="00000000" w14:paraId="0000006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From the facts of the case, the estate of the deceased Highness exceeds the Ksh. 20 million, the maximum pecuniary limit for a magistrate court and for that reason, therefore, the objection of the grant of letters of administration should be filed at the High Court.</w:t>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67</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states that no grant of representation, other than a limited grant for collection and preservation of assets, shall be made until there has been published notice of the application for such grant, inviting objections thereto to be made known to the court within a specified period of not less than thirty days from the date of publication, and the period so specified has expired.</w:t>
      </w:r>
    </w:p>
    <w:p w:rsidR="00000000" w:rsidDel="00000000" w:rsidP="00000000" w:rsidRDefault="00000000" w:rsidRPr="00000000" w14:paraId="0000006C">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Rule 7 (4)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b w:val="1"/>
          <w:sz w:val="24"/>
          <w:szCs w:val="24"/>
          <w:rtl w:val="0"/>
        </w:rPr>
        <w:t xml:space="preserve">Probate and Administration Rules</w:t>
      </w:r>
      <w:r w:rsidDel="00000000" w:rsidR="00000000" w:rsidRPr="00000000">
        <w:rPr>
          <w:rFonts w:ascii="Times New Roman" w:cs="Times New Roman" w:eastAsia="Times New Roman" w:hAnsi="Times New Roman"/>
          <w:sz w:val="24"/>
          <w:szCs w:val="24"/>
          <w:rtl w:val="0"/>
        </w:rPr>
        <w:t xml:space="preserve"> reads;</w:t>
      </w: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registrar shall cause to be inserted, at the cost of the applicant, in the </w:t>
      </w:r>
      <w:r w:rsidDel="00000000" w:rsidR="00000000" w:rsidRPr="00000000">
        <w:rPr>
          <w:rFonts w:ascii="Times New Roman" w:cs="Times New Roman" w:eastAsia="Times New Roman" w:hAnsi="Times New Roman"/>
          <w:b w:val="1"/>
          <w:i w:val="1"/>
          <w:color w:val="000000"/>
          <w:sz w:val="24"/>
          <w:szCs w:val="24"/>
          <w:rtl w:val="0"/>
        </w:rPr>
        <w:t xml:space="preserve">Gazette</w:t>
      </w:r>
      <w:r w:rsidDel="00000000" w:rsidR="00000000" w:rsidRPr="00000000">
        <w:rPr>
          <w:rFonts w:ascii="Times New Roman" w:cs="Times New Roman" w:eastAsia="Times New Roman" w:hAnsi="Times New Roman"/>
          <w:b w:val="1"/>
          <w:color w:val="000000"/>
          <w:sz w:val="24"/>
          <w:szCs w:val="24"/>
          <w:rtl w:val="0"/>
        </w:rPr>
        <w:t xml:space="preserve"> and, if he so decides, in a daily newspaper, and to be exhibited conspicuously in the courthouse attached to the registry where the application is intended to be made, a notice of the application for the grant in Form 60 inviting objections thereto to be made known to that registry within a period, to be specified in the notice, of not less than thirty days from the date of the last of such publications.”</w:t>
      </w: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68</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denotes objections to application. It states that, </w:t>
      </w:r>
    </w:p>
    <w:p w:rsidR="00000000" w:rsidDel="00000000" w:rsidP="00000000" w:rsidRDefault="00000000" w:rsidRPr="00000000" w14:paraId="0000006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“Notice of any objection to an application for a grant of representation shall be lodged with the court, in such form as may be prescribed, within the period specified by such notice, or such longer period as the court may allow. Where notice of objection has been lodged, the court shall give notice to the objector to file an answer to the application and a cross application within a specified period.” </w:t>
      </w:r>
    </w:p>
    <w:p w:rsidR="00000000" w:rsidDel="00000000" w:rsidP="00000000" w:rsidRDefault="00000000" w:rsidRPr="00000000" w14:paraId="0000007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 17(1)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Probate and Administration Rules </w:t>
      </w:r>
      <w:r w:rsidDel="00000000" w:rsidR="00000000" w:rsidRPr="00000000">
        <w:rPr>
          <w:rFonts w:ascii="Times New Roman" w:cs="Times New Roman" w:eastAsia="Times New Roman" w:hAnsi="Times New Roman"/>
          <w:sz w:val="24"/>
          <w:szCs w:val="24"/>
          <w:rtl w:val="0"/>
        </w:rPr>
        <w:t xml:space="preserve">states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“any person who has not applied for a grant to the estate of a deceased and wishes to object to the making of a grant which has been already applied for by another person may do so by lodging within the period specified in the notice of the application published under rule 7(4), or such longer period as the court may allow, either in the registry in which the pending application has been made or in the principal registry, an objection in Form 76 or 77 in triplicate stating his full name and address for service, his relationship (if any) to the deceased and the grounds of his objection.”</w:t>
      </w:r>
    </w:p>
    <w:p w:rsidR="00000000" w:rsidDel="00000000" w:rsidP="00000000" w:rsidRDefault="00000000" w:rsidRPr="00000000" w14:paraId="0000007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Rule 17(2)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Probate and Administration Rules </w:t>
      </w:r>
      <w:r w:rsidDel="00000000" w:rsidR="00000000" w:rsidRPr="00000000">
        <w:rPr>
          <w:rFonts w:ascii="Times New Roman" w:cs="Times New Roman" w:eastAsia="Times New Roman" w:hAnsi="Times New Roman"/>
          <w:sz w:val="24"/>
          <w:szCs w:val="24"/>
          <w:rtl w:val="0"/>
        </w:rPr>
        <w:t xml:space="preserve">states that,</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request by an intending objector for an extension under Section 68(1) of the Act of the period specified in the notice under Rule 7(4) shall be made to the registry at which the application for a grant was made or by which the notice was issued, as the case may be, by summons supported by an affidavit, if necessary, and upon notice to the applicant for the grant.”</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Rule17(4)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Probate and Administration Rules</w:t>
      </w:r>
      <w:r w:rsidDel="00000000" w:rsidR="00000000" w:rsidRPr="00000000">
        <w:rPr>
          <w:rFonts w:ascii="Times New Roman" w:cs="Times New Roman" w:eastAsia="Times New Roman" w:hAnsi="Times New Roman"/>
          <w:sz w:val="24"/>
          <w:szCs w:val="24"/>
          <w:rtl w:val="0"/>
        </w:rPr>
        <w:t xml:space="preserve"> states that:</w:t>
      </w:r>
    </w:p>
    <w:p w:rsidR="00000000" w:rsidDel="00000000" w:rsidP="00000000" w:rsidRDefault="00000000" w:rsidRPr="00000000" w14:paraId="0000007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Upon receipt of an objection in triplicate within the period referred to in subrule (1), or an extension thereof, the registrar shall forthwith file and retain the original thereof and cause an appropriate entry to be made in the register and shall transmit forthwith by registered post a notification in Form 61 of the receipt of the objection, together with a copy thereof, to the person or to each of the persons by whom the application for a grant has been made and also, save where the objection is lodged in the principal registry, transmit a copy of the notice and objection to the principal registrar by whom it shall be filed and retained.</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notice of objection has been lodged, the court shall give notice to the objector through </w:t>
      </w:r>
      <w:r w:rsidDel="00000000" w:rsidR="00000000" w:rsidRPr="00000000">
        <w:rPr>
          <w:rFonts w:ascii="Times New Roman" w:cs="Times New Roman" w:eastAsia="Times New Roman" w:hAnsi="Times New Roman"/>
          <w:b w:val="1"/>
          <w:sz w:val="24"/>
          <w:szCs w:val="24"/>
          <w:rtl w:val="0"/>
        </w:rPr>
        <w:t xml:space="preserve">form 67</w:t>
      </w:r>
      <w:r w:rsidDel="00000000" w:rsidR="00000000" w:rsidRPr="00000000">
        <w:rPr>
          <w:rFonts w:ascii="Times New Roman" w:cs="Times New Roman" w:eastAsia="Times New Roman" w:hAnsi="Times New Roman"/>
          <w:sz w:val="24"/>
          <w:szCs w:val="24"/>
          <w:rtl w:val="0"/>
        </w:rPr>
        <w:t xml:space="preserve"> to file an answer in </w:t>
      </w:r>
      <w:r w:rsidDel="00000000" w:rsidR="00000000" w:rsidRPr="00000000">
        <w:rPr>
          <w:rFonts w:ascii="Times New Roman" w:cs="Times New Roman" w:eastAsia="Times New Roman" w:hAnsi="Times New Roman"/>
          <w:b w:val="1"/>
          <w:sz w:val="24"/>
          <w:szCs w:val="24"/>
          <w:rtl w:val="0"/>
        </w:rPr>
        <w:t xml:space="preserve">form 25</w:t>
      </w:r>
      <w:r w:rsidDel="00000000" w:rsidR="00000000" w:rsidRPr="00000000">
        <w:rPr>
          <w:rFonts w:ascii="Times New Roman" w:cs="Times New Roman" w:eastAsia="Times New Roman" w:hAnsi="Times New Roman"/>
          <w:sz w:val="24"/>
          <w:szCs w:val="24"/>
          <w:rtl w:val="0"/>
        </w:rPr>
        <w:t xml:space="preserve"> to the application and a cross application in </w:t>
      </w:r>
      <w:r w:rsidDel="00000000" w:rsidR="00000000" w:rsidRPr="00000000">
        <w:rPr>
          <w:rFonts w:ascii="Times New Roman" w:cs="Times New Roman" w:eastAsia="Times New Roman" w:hAnsi="Times New Roman"/>
          <w:b w:val="1"/>
          <w:sz w:val="24"/>
          <w:szCs w:val="24"/>
          <w:rtl w:val="0"/>
        </w:rPr>
        <w:t xml:space="preserve">form 84</w:t>
      </w:r>
      <w:r w:rsidDel="00000000" w:rsidR="00000000" w:rsidRPr="00000000">
        <w:rPr>
          <w:rFonts w:ascii="Times New Roman" w:cs="Times New Roman" w:eastAsia="Times New Roman" w:hAnsi="Times New Roman"/>
          <w:sz w:val="24"/>
          <w:szCs w:val="24"/>
          <w:rtl w:val="0"/>
        </w:rPr>
        <w:t xml:space="preserve"> within a specified period.</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the objector makes another application for grant in the same file, hence the term cross application. The objector may at this point neglect, fail or refuse to file an answer and a cross application in which case the grant of letters of administration is made in accordance with the original application. This is done without any further reference to the objector.</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objector agrees with the directions of the court and files an answer and a cross application, the succession matter becomes a contested one and herein lays the jurisdiction of the court to determine the disputes and pronounce any order or decree as stated in </w:t>
      </w:r>
      <w:r w:rsidDel="00000000" w:rsidR="00000000" w:rsidRPr="00000000">
        <w:rPr>
          <w:rFonts w:ascii="Times New Roman" w:cs="Times New Roman" w:eastAsia="Times New Roman" w:hAnsi="Times New Roman"/>
          <w:b w:val="1"/>
          <w:sz w:val="24"/>
          <w:szCs w:val="24"/>
          <w:rtl w:val="0"/>
        </w:rPr>
        <w:t xml:space="preserve">Section 69 (2)</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The court shall inform the petitioner and objector of the time and place set for the hearing of the petition, answer and cross application. The court then determines the dispute.</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long as an objection which has been lodged has not been withdrawn, no grant shall be made by any registry to the estate of the deceased prior to the expiration of the period for the filing by the objector of an answer and cross application specified by the court under </w:t>
      </w:r>
      <w:r w:rsidDel="00000000" w:rsidR="00000000" w:rsidRPr="00000000">
        <w:rPr>
          <w:rFonts w:ascii="Times New Roman" w:cs="Times New Roman" w:eastAsia="Times New Roman" w:hAnsi="Times New Roman"/>
          <w:b w:val="1"/>
          <w:sz w:val="24"/>
          <w:szCs w:val="24"/>
          <w:rtl w:val="0"/>
        </w:rPr>
        <w:t xml:space="preserve">section 68</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 17 (14) </w:t>
      </w:r>
      <w:r w:rsidDel="00000000" w:rsidR="00000000" w:rsidRPr="00000000">
        <w:rPr>
          <w:rFonts w:ascii="Times New Roman" w:cs="Times New Roman" w:eastAsia="Times New Roman" w:hAnsi="Times New Roman"/>
          <w:sz w:val="24"/>
          <w:szCs w:val="24"/>
          <w:rtl w:val="0"/>
        </w:rPr>
        <w:t xml:space="preserve">of the Probate and Administration Rules provides that,</w:t>
      </w:r>
    </w:p>
    <w:p w:rsidR="00000000" w:rsidDel="00000000" w:rsidP="00000000" w:rsidRDefault="00000000" w:rsidRPr="00000000" w14:paraId="0000007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registrar shall make a grant if he has knowledge of the existence of an effective objection lodged in any registry in respect of the estate of the deceased: Provided that an objection shall not operate to invalidate a grant made not less than twenty-one days after the period specified for inviting objections under section 67 of the Act but before knowledge or notification of the lodging of the objection is received by the registrar making the grant.”</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therefore advise Foma to raise an objection on the basis that the car had passed to him through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 and should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be listed in the estate of the deceased. By filing an answer to the application and cross application, the court will consider and remove the car in the list of the assets.</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 76   </w:t>
      </w:r>
      <w:r w:rsidDel="00000000" w:rsidR="00000000" w:rsidRPr="00000000">
        <w:rPr>
          <w:rFonts w:ascii="Times New Roman" w:cs="Times New Roman" w:eastAsia="Times New Roman" w:hAnsi="Times New Roman"/>
          <w:sz w:val="24"/>
          <w:szCs w:val="24"/>
          <w:rtl w:val="0"/>
        </w:rPr>
        <w:t xml:space="preserve">                                                                                                                          (r.17(1))</w:t>
      </w:r>
    </w:p>
    <w:p w:rsidR="00000000" w:rsidDel="00000000" w:rsidP="00000000" w:rsidRDefault="00000000" w:rsidRPr="00000000" w14:paraId="0000007F">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080">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081">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12 OF 2022</w:t>
      </w:r>
    </w:p>
    <w:p w:rsidR="00000000" w:rsidDel="00000000" w:rsidP="00000000" w:rsidRDefault="00000000" w:rsidRPr="00000000" w14:paraId="00000082">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MZEE (DECEASED)</w:t>
      </w:r>
    </w:p>
    <w:p w:rsidR="00000000" w:rsidDel="00000000" w:rsidP="00000000" w:rsidRDefault="00000000" w:rsidRPr="00000000" w14:paraId="00000083">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OBJECTION OF MAKING THE GRANT</w:t>
      </w:r>
    </w:p>
    <w:p w:rsidR="00000000" w:rsidDel="00000000" w:rsidP="00000000" w:rsidRDefault="00000000" w:rsidRPr="00000000" w14:paraId="00000084">
      <w:pPr>
        <w:spacing w:after="280"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w:t>
      </w:r>
    </w:p>
    <w:p w:rsidR="00000000" w:rsidDel="00000000" w:rsidP="00000000" w:rsidRDefault="00000000" w:rsidRPr="00000000" w14:paraId="00000085">
      <w:pPr>
        <w:spacing w:after="280"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Probate Registry,</w:t>
      </w:r>
    </w:p>
    <w:p w:rsidR="00000000" w:rsidDel="00000000" w:rsidP="00000000" w:rsidRDefault="00000000" w:rsidRPr="00000000" w14:paraId="00000086">
      <w:pPr>
        <w:spacing w:after="280"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 Box 679-00100,</w:t>
      </w:r>
    </w:p>
    <w:p w:rsidR="00000000" w:rsidDel="00000000" w:rsidP="00000000" w:rsidRDefault="00000000" w:rsidRPr="00000000" w14:paraId="00000087">
      <w:pPr>
        <w:spacing w:after="280"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Nairobi.</w:t>
      </w:r>
      <w:r w:rsidDel="00000000" w:rsidR="00000000" w:rsidRPr="00000000">
        <w:rPr>
          <w:rtl w:val="0"/>
        </w:rPr>
      </w:r>
    </w:p>
    <w:p w:rsidR="00000000" w:rsidDel="00000000" w:rsidP="00000000" w:rsidRDefault="00000000" w:rsidRPr="00000000" w14:paraId="00000088">
      <w:pPr>
        <w:spacing w:after="280" w:before="28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TAKE NOTICE</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sz w:val="24"/>
          <w:szCs w:val="24"/>
          <w:rtl w:val="0"/>
        </w:rPr>
        <w:t xml:space="preserve">Foma Bazuu</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P. O. Box 254-0100, Nairobi</w:t>
      </w:r>
      <w:r w:rsidDel="00000000" w:rsidR="00000000" w:rsidRPr="00000000">
        <w:rPr>
          <w:rFonts w:ascii="Times New Roman" w:cs="Times New Roman" w:eastAsia="Times New Roman" w:hAnsi="Times New Roman"/>
          <w:sz w:val="24"/>
          <w:szCs w:val="24"/>
          <w:rtl w:val="0"/>
        </w:rPr>
        <w:t xml:space="preserve">, hereby objects to the making of a grant of representation to the estate of the above named </w:t>
      </w:r>
      <w:r w:rsidDel="00000000" w:rsidR="00000000" w:rsidRPr="00000000">
        <w:rPr>
          <w:rFonts w:ascii="Times New Roman" w:cs="Times New Roman" w:eastAsia="Times New Roman" w:hAnsi="Times New Roman"/>
          <w:b w:val="1"/>
          <w:sz w:val="24"/>
          <w:szCs w:val="24"/>
          <w:rtl w:val="0"/>
        </w:rPr>
        <w:t xml:space="preserve">Mr Highness Mzee</w:t>
      </w:r>
      <w:r w:rsidDel="00000000" w:rsidR="00000000" w:rsidRPr="00000000">
        <w:rPr>
          <w:rFonts w:ascii="Times New Roman" w:cs="Times New Roman" w:eastAsia="Times New Roman" w:hAnsi="Times New Roman"/>
          <w:sz w:val="24"/>
          <w:szCs w:val="24"/>
          <w:rtl w:val="0"/>
        </w:rPr>
        <w:t xml:space="preserve"> who died on the </w:t>
      </w:r>
      <w:r w:rsidDel="00000000" w:rsidR="00000000" w:rsidRPr="00000000">
        <w:rPr>
          <w:rFonts w:ascii="Times New Roman" w:cs="Times New Roman" w:eastAsia="Times New Roman" w:hAnsi="Times New Roman"/>
          <w:b w:val="1"/>
          <w:sz w:val="24"/>
          <w:szCs w:val="24"/>
          <w:rtl w:val="0"/>
        </w:rPr>
        <w:t xml:space="preserve">20th November, 2021</w:t>
      </w:r>
      <w:r w:rsidDel="00000000" w:rsidR="00000000" w:rsidRPr="00000000">
        <w:rPr>
          <w:rFonts w:ascii="Times New Roman" w:cs="Times New Roman" w:eastAsia="Times New Roman" w:hAnsi="Times New Roman"/>
          <w:sz w:val="24"/>
          <w:szCs w:val="24"/>
          <w:rtl w:val="0"/>
        </w:rPr>
        <w:t xml:space="preserve"> as sought in the petition of</w:t>
      </w:r>
      <w:r w:rsidDel="00000000" w:rsidR="00000000" w:rsidRPr="00000000">
        <w:rPr>
          <w:rFonts w:ascii="Times New Roman" w:cs="Times New Roman" w:eastAsia="Times New Roman" w:hAnsi="Times New Roman"/>
          <w:b w:val="1"/>
          <w:sz w:val="24"/>
          <w:szCs w:val="24"/>
          <w:rtl w:val="0"/>
        </w:rPr>
        <w:t xml:space="preserve"> Kelline Highness</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P. O. Box 862-00100, Nairobi,</w:t>
      </w:r>
      <w:r w:rsidDel="00000000" w:rsidR="00000000" w:rsidRPr="00000000">
        <w:rPr>
          <w:rFonts w:ascii="Times New Roman" w:cs="Times New Roman" w:eastAsia="Times New Roman" w:hAnsi="Times New Roman"/>
          <w:sz w:val="24"/>
          <w:szCs w:val="24"/>
          <w:rtl w:val="0"/>
        </w:rPr>
        <w:t xml:space="preserve"> filed in the </w:t>
      </w:r>
      <w:r w:rsidDel="00000000" w:rsidR="00000000" w:rsidRPr="00000000">
        <w:rPr>
          <w:rFonts w:ascii="Times New Roman" w:cs="Times New Roman" w:eastAsia="Times New Roman" w:hAnsi="Times New Roman"/>
          <w:b w:val="1"/>
          <w:sz w:val="24"/>
          <w:szCs w:val="24"/>
          <w:rtl w:val="0"/>
        </w:rPr>
        <w:t xml:space="preserve">High Court Registry</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Nairobi</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sz w:val="24"/>
          <w:szCs w:val="24"/>
          <w:rtl w:val="0"/>
        </w:rPr>
        <w:t xml:space="preserve">5th March, 2022.</w:t>
      </w:r>
    </w:p>
    <w:p w:rsidR="00000000" w:rsidDel="00000000" w:rsidP="00000000" w:rsidRDefault="00000000" w:rsidRPr="00000000" w14:paraId="00000089">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 of the said </w:t>
      </w:r>
      <w:r w:rsidDel="00000000" w:rsidR="00000000" w:rsidRPr="00000000">
        <w:rPr>
          <w:rFonts w:ascii="Times New Roman" w:cs="Times New Roman" w:eastAsia="Times New Roman" w:hAnsi="Times New Roman"/>
          <w:b w:val="1"/>
          <w:sz w:val="24"/>
          <w:szCs w:val="24"/>
          <w:rtl w:val="0"/>
        </w:rPr>
        <w:t xml:space="preserve">Foma Bazuu</w:t>
      </w:r>
      <w:r w:rsidDel="00000000" w:rsidR="00000000" w:rsidRPr="00000000">
        <w:rPr>
          <w:rFonts w:ascii="Times New Roman" w:cs="Times New Roman" w:eastAsia="Times New Roman" w:hAnsi="Times New Roman"/>
          <w:sz w:val="24"/>
          <w:szCs w:val="24"/>
          <w:rtl w:val="0"/>
        </w:rPr>
        <w:t xml:space="preserve"> in the estate is </w:t>
      </w:r>
      <w:r w:rsidDel="00000000" w:rsidR="00000000" w:rsidRPr="00000000">
        <w:rPr>
          <w:rFonts w:ascii="Times New Roman" w:cs="Times New Roman" w:eastAsia="Times New Roman" w:hAnsi="Times New Roman"/>
          <w:b w:val="1"/>
          <w:sz w:val="24"/>
          <w:szCs w:val="24"/>
          <w:rtl w:val="0"/>
        </w:rPr>
        <w:t xml:space="preserve">Motor Vehicle of registration number KDD 444Y</w:t>
      </w:r>
      <w:r w:rsidDel="00000000" w:rsidR="00000000" w:rsidRPr="00000000">
        <w:rPr>
          <w:rFonts w:ascii="Times New Roman" w:cs="Times New Roman" w:eastAsia="Times New Roman" w:hAnsi="Times New Roman"/>
          <w:sz w:val="24"/>
          <w:szCs w:val="24"/>
          <w:rtl w:val="0"/>
        </w:rPr>
        <w:t xml:space="preserve"> and the grounds of his objection are as follows:</w:t>
      </w:r>
    </w:p>
    <w:p w:rsidR="00000000" w:rsidDel="00000000" w:rsidP="00000000" w:rsidRDefault="00000000" w:rsidRPr="00000000" w14:paraId="0000008A">
      <w:pPr>
        <w:numPr>
          <w:ilvl w:val="0"/>
          <w:numId w:val="7"/>
        </w:numPr>
        <w:spacing w:after="0" w:afterAutospacing="0" w:before="28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Mr Highness passed the motor vehicle to Mr Foma Bazuu as a gift in contemplation of death (</w:t>
      </w:r>
      <w:r w:rsidDel="00000000" w:rsidR="00000000" w:rsidRPr="00000000">
        <w:rPr>
          <w:rFonts w:ascii="Times New Roman" w:cs="Times New Roman" w:eastAsia="Times New Roman" w:hAnsi="Times New Roman"/>
          <w:i w:val="1"/>
          <w:sz w:val="24"/>
          <w:szCs w:val="24"/>
          <w:rtl w:val="0"/>
        </w:rPr>
        <w:t xml:space="preserve">donatio mortis causa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Mr Highness handed Mr Foma Bazuu the keys of the motor vehicle and told him the car would be his if he died.</w:t>
      </w:r>
    </w:p>
    <w:p w:rsidR="00000000" w:rsidDel="00000000" w:rsidP="00000000" w:rsidRDefault="00000000" w:rsidRPr="00000000" w14:paraId="0000008C">
      <w:pPr>
        <w:numPr>
          <w:ilvl w:val="0"/>
          <w:numId w:val="7"/>
        </w:numPr>
        <w:spacing w:after="28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Mr Highness passed on and the motor vehicle has been included in his estate yet it should not be part of the deceased’s estate.</w:t>
      </w:r>
    </w:p>
    <w:p w:rsidR="00000000" w:rsidDel="00000000" w:rsidP="00000000" w:rsidRDefault="00000000" w:rsidRPr="00000000" w14:paraId="0000008D">
      <w:pPr>
        <w:spacing w:after="28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at </w:t>
      </w:r>
      <w:r w:rsidDel="00000000" w:rsidR="00000000" w:rsidRPr="00000000">
        <w:rPr>
          <w:rFonts w:ascii="Times New Roman" w:cs="Times New Roman" w:eastAsia="Times New Roman" w:hAnsi="Times New Roman"/>
          <w:b w:val="1"/>
          <w:sz w:val="24"/>
          <w:szCs w:val="24"/>
          <w:rtl w:val="0"/>
        </w:rPr>
        <w:t xml:space="preserve">Nairobi </w:t>
      </w:r>
      <w:r w:rsidDel="00000000" w:rsidR="00000000" w:rsidRPr="00000000">
        <w:rPr>
          <w:rFonts w:ascii="Times New Roman" w:cs="Times New Roman" w:eastAsia="Times New Roman" w:hAnsi="Times New Roman"/>
          <w:sz w:val="24"/>
          <w:szCs w:val="24"/>
          <w:rtl w:val="0"/>
        </w:rPr>
        <w:t xml:space="preserve">this…………….day of……………………., 2022.</w:t>
      </w:r>
    </w:p>
    <w:p w:rsidR="00000000" w:rsidDel="00000000" w:rsidP="00000000" w:rsidRDefault="00000000" w:rsidRPr="00000000" w14:paraId="0000008F">
      <w:pPr>
        <w:spacing w:after="28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before="28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DRAWN AND FILED BY:</w:t>
      </w:r>
    </w:p>
    <w:p w:rsidR="00000000" w:rsidDel="00000000" w:rsidP="00000000" w:rsidRDefault="00000000" w:rsidRPr="00000000" w14:paraId="00000091">
      <w:pPr>
        <w:spacing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FASTIDIOUS &amp; CO. ADVOCATES</w:t>
      </w:r>
    </w:p>
    <w:p w:rsidR="00000000" w:rsidDel="00000000" w:rsidP="00000000" w:rsidRDefault="00000000" w:rsidRPr="00000000" w14:paraId="00000092">
      <w:pPr>
        <w:spacing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CENTURY PLAZA, 2ND FLOOR,</w:t>
      </w:r>
    </w:p>
    <w:p w:rsidR="00000000" w:rsidDel="00000000" w:rsidP="00000000" w:rsidRDefault="00000000" w:rsidRPr="00000000" w14:paraId="00000093">
      <w:pPr>
        <w:spacing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 O. BOX 345-00100,</w:t>
      </w:r>
    </w:p>
    <w:p w:rsidR="00000000" w:rsidDel="00000000" w:rsidP="00000000" w:rsidRDefault="00000000" w:rsidRPr="00000000" w14:paraId="00000094">
      <w:pPr>
        <w:spacing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NAIROBI</w:t>
      </w:r>
    </w:p>
    <w:p w:rsidR="00000000" w:rsidDel="00000000" w:rsidP="00000000" w:rsidRDefault="00000000" w:rsidRPr="00000000" w14:paraId="00000095">
      <w:pPr>
        <w:spacing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TEL: 072254398761</w:t>
      </w:r>
    </w:p>
    <w:p w:rsidR="00000000" w:rsidDel="00000000" w:rsidP="00000000" w:rsidRDefault="00000000" w:rsidRPr="00000000" w14:paraId="00000096">
      <w:pPr>
        <w:spacing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w:t>
      </w:r>
      <w:hyperlink r:id="rId8">
        <w:r w:rsidDel="00000000" w:rsidR="00000000" w:rsidRPr="00000000">
          <w:rPr>
            <w:rFonts w:ascii="Times New Roman" w:cs="Times New Roman" w:eastAsia="Times New Roman" w:hAnsi="Times New Roman"/>
            <w:b w:val="1"/>
            <w:color w:val="1155cc"/>
            <w:sz w:val="24"/>
            <w:szCs w:val="24"/>
            <w:u w:val="single"/>
            <w:rtl w:val="0"/>
          </w:rPr>
          <w:t xml:space="preserve">fastidiousadvocates@gmail.com</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7">
      <w:pPr>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 67</w:t>
      </w:r>
      <w:r w:rsidDel="00000000" w:rsidR="00000000" w:rsidRPr="00000000">
        <w:rPr>
          <w:rFonts w:ascii="Times New Roman" w:cs="Times New Roman" w:eastAsia="Times New Roman" w:hAnsi="Times New Roman"/>
          <w:sz w:val="24"/>
          <w:szCs w:val="24"/>
          <w:rtl w:val="0"/>
        </w:rPr>
        <w:tab/>
        <w:tab/>
        <w:tab/>
        <w:tab/>
        <w:tab/>
        <w:tab/>
        <w:tab/>
        <w:tab/>
        <w:tab/>
        <w:tab/>
        <w:t xml:space="preserve"> (r. 17(5)) </w:t>
      </w:r>
    </w:p>
    <w:p w:rsidR="00000000" w:rsidDel="00000000" w:rsidP="00000000" w:rsidRDefault="00000000" w:rsidRPr="00000000" w14:paraId="00000099">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09A">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09B">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12 OF 2022</w:t>
      </w:r>
    </w:p>
    <w:p w:rsidR="00000000" w:rsidDel="00000000" w:rsidP="00000000" w:rsidRDefault="00000000" w:rsidRPr="00000000" w14:paraId="0000009C">
      <w:pPr>
        <w:spacing w:after="280" w:before="2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MZEE (DECEASED)</w:t>
      </w:r>
      <w:r w:rsidDel="00000000" w:rsidR="00000000" w:rsidRPr="00000000">
        <w:rPr>
          <w:rtl w:val="0"/>
        </w:rPr>
      </w:r>
    </w:p>
    <w:p w:rsidR="00000000" w:rsidDel="00000000" w:rsidP="00000000" w:rsidRDefault="00000000" w:rsidRPr="00000000" w14:paraId="0000009D">
      <w:pPr>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NOTICE BY REGISTRY TO OBJECTOR TO APPLICATION FOR GRANT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b w:val="1"/>
          <w:sz w:val="24"/>
          <w:szCs w:val="24"/>
          <w:rtl w:val="0"/>
        </w:rPr>
        <w:t xml:space="preserve">Foma Bazuu</w:t>
      </w:r>
      <w:r w:rsidDel="00000000" w:rsidR="00000000" w:rsidRPr="00000000">
        <w:rPr>
          <w:rFonts w:ascii="Times New Roman" w:cs="Times New Roman" w:eastAsia="Times New Roman" w:hAnsi="Times New Roman"/>
          <w:sz w:val="24"/>
          <w:szCs w:val="24"/>
          <w:rtl w:val="0"/>
        </w:rPr>
        <w:t xml:space="preserve"> of P. O. Box 254-0100, Nairobi, whose address for service is </w:t>
      </w:r>
      <w:r w:rsidDel="00000000" w:rsidR="00000000" w:rsidRPr="00000000">
        <w:rPr>
          <w:rFonts w:ascii="Times New Roman" w:cs="Times New Roman" w:eastAsia="Times New Roman" w:hAnsi="Times New Roman"/>
          <w:b w:val="1"/>
          <w:sz w:val="24"/>
          <w:szCs w:val="24"/>
          <w:rtl w:val="0"/>
        </w:rPr>
        <w:t xml:space="preserve">Fastidious &amp; Company Advocates, Century Plaza 2nd Floor, P. O. Box 345-00100, Nairobi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TAKE NOTICE </w:t>
      </w:r>
      <w:r w:rsidDel="00000000" w:rsidR="00000000" w:rsidRPr="00000000">
        <w:rPr>
          <w:rFonts w:ascii="Times New Roman" w:cs="Times New Roman" w:eastAsia="Times New Roman" w:hAnsi="Times New Roman"/>
          <w:sz w:val="24"/>
          <w:szCs w:val="24"/>
          <w:rtl w:val="0"/>
        </w:rPr>
        <w:t xml:space="preserve">that having lodged in this registry an objection to a grant of representation being made to the estate of the above-named </w:t>
      </w:r>
      <w:r w:rsidDel="00000000" w:rsidR="00000000" w:rsidRPr="00000000">
        <w:rPr>
          <w:rFonts w:ascii="Times New Roman" w:cs="Times New Roman" w:eastAsia="Times New Roman" w:hAnsi="Times New Roman"/>
          <w:b w:val="1"/>
          <w:sz w:val="24"/>
          <w:szCs w:val="24"/>
          <w:rtl w:val="0"/>
        </w:rPr>
        <w:t xml:space="preserve">Mr. Highness Mzee</w:t>
      </w:r>
      <w:r w:rsidDel="00000000" w:rsidR="00000000" w:rsidRPr="00000000">
        <w:rPr>
          <w:rFonts w:ascii="Times New Roman" w:cs="Times New Roman" w:eastAsia="Times New Roman" w:hAnsi="Times New Roman"/>
          <w:sz w:val="24"/>
          <w:szCs w:val="24"/>
          <w:rtl w:val="0"/>
        </w:rPr>
        <w:t xml:space="preserve">, you are required within ...... days from the date hereof (inclusive of such date) to file an answer in the prescribed form to the application for such grant together with a petition and supporting affidavit by way of cross application for a grant of representation to yourself. </w:t>
      </w:r>
    </w:p>
    <w:p w:rsidR="00000000" w:rsidDel="00000000" w:rsidP="00000000" w:rsidRDefault="00000000" w:rsidRPr="00000000" w14:paraId="000000A0">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 FURTHER TAKE NOTICE</w:t>
      </w:r>
      <w:r w:rsidDel="00000000" w:rsidR="00000000" w:rsidRPr="00000000">
        <w:rPr>
          <w:rFonts w:ascii="Times New Roman" w:cs="Times New Roman" w:eastAsia="Times New Roman" w:hAnsi="Times New Roman"/>
          <w:sz w:val="24"/>
          <w:szCs w:val="24"/>
          <w:rtl w:val="0"/>
        </w:rPr>
        <w:t xml:space="preserve"> that in default of your so doing within the time limited a grant may be so made in this cause notwithstanding your objection. </w:t>
      </w:r>
    </w:p>
    <w:p w:rsidR="00000000" w:rsidDel="00000000" w:rsidP="00000000" w:rsidRDefault="00000000" w:rsidRPr="00000000" w14:paraId="000000A1">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the ....................day of............................, 2022.</w:t>
      </w:r>
    </w:p>
    <w:p w:rsidR="00000000" w:rsidDel="00000000" w:rsidP="00000000" w:rsidRDefault="00000000" w:rsidRPr="00000000" w14:paraId="000000A2">
      <w:pPr>
        <w:spacing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5">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District Registrar </w:t>
      </w:r>
    </w:p>
    <w:p w:rsidR="00000000" w:rsidDel="00000000" w:rsidP="00000000" w:rsidRDefault="00000000" w:rsidRPr="00000000" w14:paraId="000000A6">
      <w:pPr>
        <w:spacing w:before="2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 25</w:t>
      </w:r>
      <w:r w:rsidDel="00000000" w:rsidR="00000000" w:rsidRPr="00000000">
        <w:rPr>
          <w:rFonts w:ascii="Times New Roman" w:cs="Times New Roman" w:eastAsia="Times New Roman" w:hAnsi="Times New Roman"/>
          <w:sz w:val="24"/>
          <w:szCs w:val="24"/>
          <w:rtl w:val="0"/>
        </w:rPr>
        <w:tab/>
        <w:tab/>
        <w:tab/>
        <w:tab/>
        <w:tab/>
        <w:tab/>
        <w:tab/>
        <w:tab/>
        <w:tab/>
        <w:tab/>
        <w:t xml:space="preserve">(r. 17(5)) </w:t>
      </w:r>
    </w:p>
    <w:p w:rsidR="00000000" w:rsidDel="00000000" w:rsidP="00000000" w:rsidRDefault="00000000" w:rsidRPr="00000000" w14:paraId="000000A8">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0A9">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0AA">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12 OF 2022</w:t>
      </w:r>
    </w:p>
    <w:p w:rsidR="00000000" w:rsidDel="00000000" w:rsidP="00000000" w:rsidRDefault="00000000" w:rsidRPr="00000000" w14:paraId="000000AB">
      <w:pPr>
        <w:spacing w:after="280" w:before="2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MZEE (DECEASED)</w:t>
      </w:r>
      <w:r w:rsidDel="00000000" w:rsidR="00000000" w:rsidRPr="00000000">
        <w:rPr>
          <w:rtl w:val="0"/>
        </w:rPr>
      </w:r>
    </w:p>
    <w:p w:rsidR="00000000" w:rsidDel="00000000" w:rsidP="00000000" w:rsidRDefault="00000000" w:rsidRPr="00000000" w14:paraId="000000AC">
      <w:pPr>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NOTICE BY REGISTRY TO OBJECTOR TO APPLICATION FOR GRANT</w:t>
      </w:r>
      <w:r w:rsidDel="00000000" w:rsidR="00000000" w:rsidRPr="00000000">
        <w:rPr>
          <w:rtl w:val="0"/>
        </w:rPr>
      </w:r>
    </w:p>
    <w:p w:rsidR="00000000" w:rsidDel="00000000" w:rsidP="00000000" w:rsidRDefault="00000000" w:rsidRPr="00000000" w14:paraId="000000AD">
      <w:pPr>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ANSWER TO PETITION FOR A GRANT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Foma Bazuu</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P. O. Box 254-0100, Nairobi,</w:t>
      </w:r>
      <w:r w:rsidDel="00000000" w:rsidR="00000000" w:rsidRPr="00000000">
        <w:rPr>
          <w:rFonts w:ascii="Times New Roman" w:cs="Times New Roman" w:eastAsia="Times New Roman" w:hAnsi="Times New Roman"/>
          <w:sz w:val="24"/>
          <w:szCs w:val="24"/>
          <w:rtl w:val="0"/>
        </w:rPr>
        <w:t xml:space="preserve"> aged over 18 years, by way of answer to the petition for a grant of representation to the estate of the above-named </w:t>
      </w:r>
      <w:r w:rsidDel="00000000" w:rsidR="00000000" w:rsidRPr="00000000">
        <w:rPr>
          <w:rFonts w:ascii="Times New Roman" w:cs="Times New Roman" w:eastAsia="Times New Roman" w:hAnsi="Times New Roman"/>
          <w:b w:val="1"/>
          <w:sz w:val="24"/>
          <w:szCs w:val="24"/>
          <w:rtl w:val="0"/>
        </w:rPr>
        <w:t xml:space="preserve">Mr. Highness Mzee</w:t>
      </w:r>
      <w:r w:rsidDel="00000000" w:rsidR="00000000" w:rsidRPr="00000000">
        <w:rPr>
          <w:rFonts w:ascii="Times New Roman" w:cs="Times New Roman" w:eastAsia="Times New Roman" w:hAnsi="Times New Roman"/>
          <w:sz w:val="24"/>
          <w:szCs w:val="24"/>
          <w:rtl w:val="0"/>
        </w:rPr>
        <w:t xml:space="preserve"> made by </w:t>
      </w:r>
      <w:r w:rsidDel="00000000" w:rsidR="00000000" w:rsidRPr="00000000">
        <w:rPr>
          <w:rFonts w:ascii="Times New Roman" w:cs="Times New Roman" w:eastAsia="Times New Roman" w:hAnsi="Times New Roman"/>
          <w:b w:val="1"/>
          <w:sz w:val="24"/>
          <w:szCs w:val="24"/>
          <w:rtl w:val="0"/>
        </w:rPr>
        <w:t xml:space="preserve">Mrs Kelline Highness</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sz w:val="24"/>
          <w:szCs w:val="24"/>
          <w:rtl w:val="0"/>
        </w:rPr>
        <w:t xml:space="preserve">5th</w:t>
      </w:r>
      <w:r w:rsidDel="00000000" w:rsidR="00000000" w:rsidRPr="00000000">
        <w:rPr>
          <w:rFonts w:ascii="Times New Roman" w:cs="Times New Roman" w:eastAsia="Times New Roman" w:hAnsi="Times New Roman"/>
          <w:sz w:val="24"/>
          <w:szCs w:val="24"/>
          <w:rtl w:val="0"/>
        </w:rPr>
        <w:t xml:space="preserve"> day of </w:t>
      </w:r>
      <w:r w:rsidDel="00000000" w:rsidR="00000000" w:rsidRPr="00000000">
        <w:rPr>
          <w:rFonts w:ascii="Times New Roman" w:cs="Times New Roman" w:eastAsia="Times New Roman" w:hAnsi="Times New Roman"/>
          <w:b w:val="1"/>
          <w:sz w:val="24"/>
          <w:szCs w:val="24"/>
          <w:rtl w:val="0"/>
        </w:rPr>
        <w:t xml:space="preserve">March, 2022,</w:t>
      </w:r>
      <w:r w:rsidDel="00000000" w:rsidR="00000000" w:rsidRPr="00000000">
        <w:rPr>
          <w:rFonts w:ascii="Times New Roman" w:cs="Times New Roman" w:eastAsia="Times New Roman" w:hAnsi="Times New Roman"/>
          <w:sz w:val="24"/>
          <w:szCs w:val="24"/>
          <w:rtl w:val="0"/>
        </w:rPr>
        <w:t xml:space="preserve"> state as follows—</w:t>
      </w:r>
    </w:p>
    <w:p w:rsidR="00000000" w:rsidDel="00000000" w:rsidP="00000000" w:rsidRDefault="00000000" w:rsidRPr="00000000" w14:paraId="000000AF">
      <w:pPr>
        <w:numPr>
          <w:ilvl w:val="0"/>
          <w:numId w:val="5"/>
        </w:numPr>
        <w:spacing w:after="0" w:afterAutospacing="0" w:before="28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Notice of the application for the said grant was published on the </w:t>
      </w:r>
      <w:r w:rsidDel="00000000" w:rsidR="00000000" w:rsidRPr="00000000">
        <w:rPr>
          <w:rFonts w:ascii="Times New Roman" w:cs="Times New Roman" w:eastAsia="Times New Roman" w:hAnsi="Times New Roman"/>
          <w:b w:val="1"/>
          <w:sz w:val="24"/>
          <w:szCs w:val="24"/>
          <w:rtl w:val="0"/>
        </w:rPr>
        <w:t xml:space="preserve">5th</w:t>
      </w:r>
      <w:r w:rsidDel="00000000" w:rsidR="00000000" w:rsidRPr="00000000">
        <w:rPr>
          <w:rFonts w:ascii="Times New Roman" w:cs="Times New Roman" w:eastAsia="Times New Roman" w:hAnsi="Times New Roman"/>
          <w:sz w:val="24"/>
          <w:szCs w:val="24"/>
          <w:rtl w:val="0"/>
        </w:rPr>
        <w:t xml:space="preserve"> day of </w:t>
      </w:r>
      <w:r w:rsidDel="00000000" w:rsidR="00000000" w:rsidRPr="00000000">
        <w:rPr>
          <w:rFonts w:ascii="Times New Roman" w:cs="Times New Roman" w:eastAsia="Times New Roman" w:hAnsi="Times New Roman"/>
          <w:b w:val="1"/>
          <w:sz w:val="24"/>
          <w:szCs w:val="24"/>
          <w:rtl w:val="0"/>
        </w:rPr>
        <w:t xml:space="preserve">March, 2022</w:t>
      </w:r>
      <w:r w:rsidDel="00000000" w:rsidR="00000000" w:rsidRPr="00000000">
        <w:rPr>
          <w:rFonts w:ascii="Times New Roman" w:cs="Times New Roman" w:eastAsia="Times New Roman" w:hAnsi="Times New Roman"/>
          <w:sz w:val="24"/>
          <w:szCs w:val="24"/>
          <w:rtl w:val="0"/>
        </w:rPr>
        <w:t xml:space="preserve">, and I duly lodged in the registry at </w:t>
      </w:r>
      <w:r w:rsidDel="00000000" w:rsidR="00000000" w:rsidRPr="00000000">
        <w:rPr>
          <w:rFonts w:ascii="Times New Roman" w:cs="Times New Roman" w:eastAsia="Times New Roman" w:hAnsi="Times New Roman"/>
          <w:b w:val="1"/>
          <w:sz w:val="24"/>
          <w:szCs w:val="24"/>
          <w:rtl w:val="0"/>
        </w:rPr>
        <w:t xml:space="preserve">Nairobi</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sz w:val="24"/>
          <w:szCs w:val="24"/>
          <w:rtl w:val="0"/>
        </w:rPr>
        <w:t xml:space="preserve">5th</w:t>
      </w:r>
      <w:r w:rsidDel="00000000" w:rsidR="00000000" w:rsidRPr="00000000">
        <w:rPr>
          <w:rFonts w:ascii="Times New Roman" w:cs="Times New Roman" w:eastAsia="Times New Roman" w:hAnsi="Times New Roman"/>
          <w:sz w:val="24"/>
          <w:szCs w:val="24"/>
          <w:rtl w:val="0"/>
        </w:rPr>
        <w:t xml:space="preserve"> day of </w:t>
      </w:r>
      <w:r w:rsidDel="00000000" w:rsidR="00000000" w:rsidRPr="00000000">
        <w:rPr>
          <w:rFonts w:ascii="Times New Roman" w:cs="Times New Roman" w:eastAsia="Times New Roman" w:hAnsi="Times New Roman"/>
          <w:b w:val="1"/>
          <w:sz w:val="24"/>
          <w:szCs w:val="24"/>
          <w:rtl w:val="0"/>
        </w:rPr>
        <w:t xml:space="preserve">June, 2022</w:t>
      </w:r>
      <w:r w:rsidDel="00000000" w:rsidR="00000000" w:rsidRPr="00000000">
        <w:rPr>
          <w:rFonts w:ascii="Times New Roman" w:cs="Times New Roman" w:eastAsia="Times New Roman" w:hAnsi="Times New Roman"/>
          <w:sz w:val="24"/>
          <w:szCs w:val="24"/>
          <w:rtl w:val="0"/>
        </w:rPr>
        <w:t xml:space="preserve"> an objection to the application.</w:t>
      </w:r>
    </w:p>
    <w:p w:rsidR="00000000" w:rsidDel="00000000" w:rsidP="00000000" w:rsidRDefault="00000000" w:rsidRPr="00000000" w14:paraId="000000B0">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Having been required to file this answer to the said application I say that such application should be dismissed for the reason that the estate of the deceased listed in the application for the grant includes motor vehicle registration number KDD 444Y which was passed on to me as a gift in contemplation of death by the deceased.</w:t>
      </w:r>
    </w:p>
    <w:p w:rsidR="00000000" w:rsidDel="00000000" w:rsidP="00000000" w:rsidRDefault="00000000" w:rsidRPr="00000000" w14:paraId="000000B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intend to file contemporaneously with the filing of this answer a petition in this court by way of cross-application for a grant of representation to the estate of the deceased to be made to me, a copy of which is annexed hereto.</w:t>
      </w:r>
    </w:p>
    <w:p w:rsidR="00000000" w:rsidDel="00000000" w:rsidP="00000000" w:rsidRDefault="00000000" w:rsidRPr="00000000" w14:paraId="000000B2">
      <w:pPr>
        <w:numPr>
          <w:ilvl w:val="0"/>
          <w:numId w:val="5"/>
        </w:numP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facts herein stated are known to me of my personal knowledge, information and belief.</w:t>
      </w:r>
    </w:p>
    <w:p w:rsidR="00000000" w:rsidDel="00000000" w:rsidP="00000000" w:rsidRDefault="00000000" w:rsidRPr="00000000" w14:paraId="000000B3">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SWORN</w:t>
      </w:r>
      <w:r w:rsidDel="00000000" w:rsidR="00000000" w:rsidRPr="00000000">
        <w:rPr>
          <w:rFonts w:ascii="Times New Roman" w:cs="Times New Roman" w:eastAsia="Times New Roman" w:hAnsi="Times New Roman"/>
          <w:sz w:val="24"/>
          <w:szCs w:val="24"/>
          <w:rtl w:val="0"/>
        </w:rPr>
        <w:t xml:space="preserve"> by the said </w:t>
      </w:r>
      <w:r w:rsidDel="00000000" w:rsidR="00000000" w:rsidRPr="00000000">
        <w:rPr>
          <w:rFonts w:ascii="Times New Roman" w:cs="Times New Roman" w:eastAsia="Times New Roman" w:hAnsi="Times New Roman"/>
          <w:b w:val="1"/>
          <w:sz w:val="24"/>
          <w:szCs w:val="24"/>
          <w:rtl w:val="0"/>
        </w:rPr>
        <w:t xml:space="preserve">FOMA BAZUU </w:t>
      </w:r>
      <w:r w:rsidDel="00000000" w:rsidR="00000000" w:rsidRPr="00000000">
        <w:rPr>
          <w:rFonts w:ascii="Times New Roman" w:cs="Times New Roman" w:eastAsia="Times New Roman" w:hAnsi="Times New Roman"/>
          <w:sz w:val="24"/>
          <w:szCs w:val="24"/>
          <w:rtl w:val="0"/>
        </w:rPr>
        <w:t xml:space="preserve">at Nairobi this ..... day of..................... 2022</w:t>
      </w:r>
    </w:p>
    <w:p w:rsidR="00000000" w:rsidDel="00000000" w:rsidP="00000000" w:rsidRDefault="00000000" w:rsidRPr="00000000" w14:paraId="000000B4">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ab/>
        <w:tab/>
        <w:tab/>
        <w:tab/>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tab/>
        <w:tab/>
        <w:tab/>
        <w:t xml:space="preserve">}</w:t>
      </w:r>
    </w:p>
    <w:p w:rsidR="00000000" w:rsidDel="00000000" w:rsidP="00000000" w:rsidRDefault="00000000" w:rsidRPr="00000000" w14:paraId="000000B6">
      <w:pPr>
        <w:widowControl w:val="0"/>
        <w:spacing w:after="0" w:line="240" w:lineRule="auto"/>
        <w:ind w:left="0" w:righ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w:t>
      </w:r>
    </w:p>
    <w:p w:rsidR="00000000" w:rsidDel="00000000" w:rsidP="00000000" w:rsidRDefault="00000000" w:rsidRPr="00000000" w14:paraId="000000B7">
      <w:pPr>
        <w:widowControl w:val="0"/>
        <w:spacing w:after="0" w:line="240" w:lineRule="auto"/>
        <w:ind w:left="0" w:righ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ab/>
        <w:tab/>
        <w:tab/>
        <w:tab/>
        <w:t xml:space="preserve">}...............................................</w:t>
      </w:r>
    </w:p>
    <w:p w:rsidR="00000000" w:rsidDel="00000000" w:rsidP="00000000" w:rsidRDefault="00000000" w:rsidRPr="00000000" w14:paraId="000000B8">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w:t>
        <w:tab/>
        <w:t xml:space="preserve">DEPONENT</w:t>
      </w:r>
    </w:p>
    <w:p w:rsidR="00000000" w:rsidDel="00000000" w:rsidP="00000000" w:rsidRDefault="00000000" w:rsidRPr="00000000" w14:paraId="000000B9">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BEFORE ME</w:t>
      </w:r>
      <w:r w:rsidDel="00000000" w:rsidR="00000000" w:rsidRPr="00000000">
        <w:rPr>
          <w:rFonts w:ascii="Times New Roman" w:cs="Times New Roman" w:eastAsia="Times New Roman" w:hAnsi="Times New Roman"/>
          <w:sz w:val="24"/>
          <w:szCs w:val="24"/>
          <w:rtl w:val="0"/>
        </w:rPr>
        <w:tab/>
        <w:tab/>
        <w:tab/>
        <w:tab/>
        <w:tab/>
        <w:t xml:space="preserve">}</w:t>
      </w:r>
    </w:p>
    <w:p w:rsidR="00000000" w:rsidDel="00000000" w:rsidP="00000000" w:rsidRDefault="00000000" w:rsidRPr="00000000" w14:paraId="000000BA">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w:t>
      </w:r>
    </w:p>
    <w:p w:rsidR="00000000" w:rsidDel="00000000" w:rsidP="00000000" w:rsidRDefault="00000000" w:rsidRPr="00000000" w14:paraId="000000BB">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w:t>
      </w:r>
    </w:p>
    <w:p w:rsidR="00000000" w:rsidDel="00000000" w:rsidP="00000000" w:rsidRDefault="00000000" w:rsidRPr="00000000" w14:paraId="000000BC">
      <w:pPr>
        <w:widowControl w:val="0"/>
        <w:spacing w:after="0" w:line="240" w:lineRule="auto"/>
        <w:ind w:left="-1" w:right="-1" w:hang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w:t>
      </w:r>
    </w:p>
    <w:p w:rsidR="00000000" w:rsidDel="00000000" w:rsidP="00000000" w:rsidRDefault="00000000" w:rsidRPr="00000000" w14:paraId="000000BD">
      <w:pPr>
        <w:pStyle w:val="Heading3"/>
        <w:keepNext w:val="0"/>
        <w:keepLines w:val="0"/>
        <w:widowControl w:val="0"/>
        <w:spacing w:after="0" w:before="0" w:line="240" w:lineRule="auto"/>
        <w:ind w:left="-1" w:right="-1" w:hanging="1"/>
        <w:rPr>
          <w:rFonts w:ascii="Times New Roman" w:cs="Times New Roman" w:eastAsia="Times New Roman" w:hAnsi="Times New Roman"/>
          <w:b w:val="0"/>
          <w:sz w:val="24"/>
          <w:szCs w:val="24"/>
          <w:u w:val="single"/>
        </w:rPr>
      </w:pPr>
      <w:r w:rsidDel="00000000" w:rsidR="00000000" w:rsidRPr="00000000">
        <w:rPr>
          <w:rFonts w:ascii="Times New Roman" w:cs="Times New Roman" w:eastAsia="Times New Roman" w:hAnsi="Times New Roman"/>
          <w:b w:val="0"/>
          <w:sz w:val="24"/>
          <w:szCs w:val="24"/>
          <w:u w:val="single"/>
          <w:rtl w:val="0"/>
        </w:rPr>
        <w:t xml:space="preserve">COMMISSIONER FOR OATHS</w:t>
      </w:r>
    </w:p>
    <w:p w:rsidR="00000000" w:rsidDel="00000000" w:rsidP="00000000" w:rsidRDefault="00000000" w:rsidRPr="00000000" w14:paraId="000000BE">
      <w:pPr>
        <w:spacing w:before="28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before="28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before="280"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 84</w:t>
      </w:r>
      <w:r w:rsidDel="00000000" w:rsidR="00000000" w:rsidRPr="00000000">
        <w:rPr>
          <w:rFonts w:ascii="Times New Roman" w:cs="Times New Roman" w:eastAsia="Times New Roman" w:hAnsi="Times New Roman"/>
          <w:sz w:val="24"/>
          <w:szCs w:val="24"/>
          <w:rtl w:val="0"/>
        </w:rPr>
        <w:tab/>
        <w:tab/>
        <w:tab/>
        <w:tab/>
        <w:tab/>
        <w:tab/>
        <w:tab/>
        <w:tab/>
        <w:tab/>
        <w:tab/>
        <w:t xml:space="preserve">(r. 17(5))</w:t>
      </w:r>
    </w:p>
    <w:p w:rsidR="00000000" w:rsidDel="00000000" w:rsidP="00000000" w:rsidRDefault="00000000" w:rsidRPr="00000000" w14:paraId="000000C2">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0C3">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0C4">
      <w:pPr>
        <w:spacing w:after="280" w:before="28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12 OF 2022</w:t>
      </w:r>
    </w:p>
    <w:p w:rsidR="00000000" w:rsidDel="00000000" w:rsidP="00000000" w:rsidRDefault="00000000" w:rsidRPr="00000000" w14:paraId="000000C5">
      <w:pPr>
        <w:spacing w:after="280" w:before="2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MZEE (DECEASED)</w:t>
      </w:r>
      <w:r w:rsidDel="00000000" w:rsidR="00000000" w:rsidRPr="00000000">
        <w:rPr>
          <w:rtl w:val="0"/>
        </w:rPr>
      </w:r>
    </w:p>
    <w:p w:rsidR="00000000" w:rsidDel="00000000" w:rsidP="00000000" w:rsidRDefault="00000000" w:rsidRPr="00000000" w14:paraId="000000C6">
      <w:pPr>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NOTICE BY REGISTRY TO OBJECTOR TO APPLICATION FOR GRANT</w:t>
      </w:r>
      <w:r w:rsidDel="00000000" w:rsidR="00000000" w:rsidRPr="00000000">
        <w:rPr>
          <w:rtl w:val="0"/>
        </w:rPr>
      </w:r>
    </w:p>
    <w:p w:rsidR="00000000" w:rsidDel="00000000" w:rsidP="00000000" w:rsidRDefault="00000000" w:rsidRPr="00000000" w14:paraId="000000C7">
      <w:pPr>
        <w:spacing w:before="280" w:line="360" w:lineRule="auto"/>
        <w:ind w:lef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PETITION BY WAY OF CROSS-APPLICATION FOR A GRANT</w:t>
      </w:r>
    </w:p>
    <w:p w:rsidR="00000000" w:rsidDel="00000000" w:rsidP="00000000" w:rsidRDefault="00000000" w:rsidRPr="00000000" w14:paraId="000000C8">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NOTICE</w:t>
      </w:r>
      <w:r w:rsidDel="00000000" w:rsidR="00000000" w:rsidRPr="00000000">
        <w:rPr>
          <w:rFonts w:ascii="Times New Roman" w:cs="Times New Roman" w:eastAsia="Times New Roman" w:hAnsi="Times New Roman"/>
          <w:sz w:val="24"/>
          <w:szCs w:val="24"/>
          <w:rtl w:val="0"/>
        </w:rPr>
        <w:t xml:space="preserve"> of a petition for a grant of representation to the estate of the above named Mr Highness Mzee having been published on </w:t>
      </w:r>
      <w:r w:rsidDel="00000000" w:rsidR="00000000" w:rsidRPr="00000000">
        <w:rPr>
          <w:rFonts w:ascii="Times New Roman" w:cs="Times New Roman" w:eastAsia="Times New Roman" w:hAnsi="Times New Roman"/>
          <w:b w:val="1"/>
          <w:sz w:val="24"/>
          <w:szCs w:val="24"/>
          <w:rtl w:val="0"/>
        </w:rPr>
        <w:t xml:space="preserve">8th May, 2022</w:t>
      </w:r>
      <w:r w:rsidDel="00000000" w:rsidR="00000000" w:rsidRPr="00000000">
        <w:rPr>
          <w:rFonts w:ascii="Times New Roman" w:cs="Times New Roman" w:eastAsia="Times New Roman" w:hAnsi="Times New Roman"/>
          <w:sz w:val="24"/>
          <w:szCs w:val="24"/>
          <w:rtl w:val="0"/>
        </w:rPr>
        <w:t xml:space="preserve"> and an objection to the petition having been lodged by me on </w:t>
      </w:r>
      <w:r w:rsidDel="00000000" w:rsidR="00000000" w:rsidRPr="00000000">
        <w:rPr>
          <w:rFonts w:ascii="Times New Roman" w:cs="Times New Roman" w:eastAsia="Times New Roman" w:hAnsi="Times New Roman"/>
          <w:b w:val="1"/>
          <w:sz w:val="24"/>
          <w:szCs w:val="24"/>
          <w:rtl w:val="0"/>
        </w:rPr>
        <w:t xml:space="preserve">5th June, 2022</w:t>
      </w:r>
      <w:r w:rsidDel="00000000" w:rsidR="00000000" w:rsidRPr="00000000">
        <w:rPr>
          <w:rFonts w:ascii="Times New Roman" w:cs="Times New Roman" w:eastAsia="Times New Roman" w:hAnsi="Times New Roman"/>
          <w:sz w:val="24"/>
          <w:szCs w:val="24"/>
          <w:rtl w:val="0"/>
        </w:rPr>
        <w:t xml:space="preserve"> in the registry at the </w:t>
      </w:r>
      <w:r w:rsidDel="00000000" w:rsidR="00000000" w:rsidRPr="00000000">
        <w:rPr>
          <w:rFonts w:ascii="Times New Roman" w:cs="Times New Roman" w:eastAsia="Times New Roman" w:hAnsi="Times New Roman"/>
          <w:b w:val="1"/>
          <w:sz w:val="24"/>
          <w:szCs w:val="24"/>
          <w:rtl w:val="0"/>
        </w:rPr>
        <w:t xml:space="preserve">High Court of Kenya </w:t>
      </w:r>
      <w:r w:rsidDel="00000000" w:rsidR="00000000" w:rsidRPr="00000000">
        <w:rPr>
          <w:rFonts w:ascii="Times New Roman" w:cs="Times New Roman" w:eastAsia="Times New Roman" w:hAnsi="Times New Roman"/>
          <w:sz w:val="24"/>
          <w:szCs w:val="24"/>
          <w:rtl w:val="0"/>
        </w:rPr>
        <w:t xml:space="preserve">at</w:t>
      </w:r>
      <w:r w:rsidDel="00000000" w:rsidR="00000000" w:rsidRPr="00000000">
        <w:rPr>
          <w:rFonts w:ascii="Times New Roman" w:cs="Times New Roman" w:eastAsia="Times New Roman" w:hAnsi="Times New Roman"/>
          <w:b w:val="1"/>
          <w:sz w:val="24"/>
          <w:szCs w:val="24"/>
          <w:rtl w:val="0"/>
        </w:rPr>
        <w:t xml:space="preserve"> Nairobi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Foma Bazuu</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P. O. Box 254-0100, Nairobi, </w:t>
      </w:r>
      <w:r w:rsidDel="00000000" w:rsidR="00000000" w:rsidRPr="00000000">
        <w:rPr>
          <w:rFonts w:ascii="Times New Roman" w:cs="Times New Roman" w:eastAsia="Times New Roman" w:hAnsi="Times New Roman"/>
          <w:sz w:val="24"/>
          <w:szCs w:val="24"/>
          <w:rtl w:val="0"/>
        </w:rPr>
        <w:t xml:space="preserve">contemporaneously with the filing of my answer to the said petition </w:t>
      </w:r>
      <w:r w:rsidDel="00000000" w:rsidR="00000000" w:rsidRPr="00000000">
        <w:rPr>
          <w:rFonts w:ascii="Times New Roman" w:cs="Times New Roman" w:eastAsia="Times New Roman" w:hAnsi="Times New Roman"/>
          <w:b w:val="1"/>
          <w:sz w:val="24"/>
          <w:szCs w:val="24"/>
          <w:rtl w:val="0"/>
        </w:rPr>
        <w:t xml:space="preserve">HEREBY PETITION</w:t>
      </w:r>
      <w:r w:rsidDel="00000000" w:rsidR="00000000" w:rsidRPr="00000000">
        <w:rPr>
          <w:rFonts w:ascii="Times New Roman" w:cs="Times New Roman" w:eastAsia="Times New Roman" w:hAnsi="Times New Roman"/>
          <w:sz w:val="24"/>
          <w:szCs w:val="24"/>
          <w:rtl w:val="0"/>
        </w:rPr>
        <w:t xml:space="preserve"> this Honourable Court for a grant letters of administration intestate of the estate of the above-named Mr Highness Mzee who died domiciled in </w:t>
      </w:r>
      <w:r w:rsidDel="00000000" w:rsidR="00000000" w:rsidRPr="00000000">
        <w:rPr>
          <w:rFonts w:ascii="Times New Roman" w:cs="Times New Roman" w:eastAsia="Times New Roman" w:hAnsi="Times New Roman"/>
          <w:b w:val="1"/>
          <w:sz w:val="24"/>
          <w:szCs w:val="24"/>
          <w:rtl w:val="0"/>
        </w:rPr>
        <w:t xml:space="preserve">Kenya</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b w:val="1"/>
          <w:sz w:val="24"/>
          <w:szCs w:val="24"/>
          <w:rtl w:val="0"/>
        </w:rPr>
        <w:t xml:space="preserve">20th November, 2021</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Nairobi Hospital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 SAY</w:t>
      </w:r>
      <w:r w:rsidDel="00000000" w:rsidR="00000000" w:rsidRPr="00000000">
        <w:rPr>
          <w:rFonts w:ascii="Times New Roman" w:cs="Times New Roman" w:eastAsia="Times New Roman" w:hAnsi="Times New Roman"/>
          <w:sz w:val="24"/>
          <w:szCs w:val="24"/>
          <w:rtl w:val="0"/>
        </w:rPr>
        <w:t xml:space="preserve"> as follows— (continue in appropriate numbered paragraphs as in Forms 78 to 95 so far as not covered by the Answer filed herewith, regard being had to rule 17(15))*. </w:t>
      </w:r>
    </w:p>
    <w:p w:rsidR="00000000" w:rsidDel="00000000" w:rsidP="00000000" w:rsidRDefault="00000000" w:rsidRPr="00000000" w14:paraId="000000CB">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(as in Form 78). </w:t>
      </w:r>
    </w:p>
    <w:p w:rsidR="00000000" w:rsidDel="00000000" w:rsidP="00000000" w:rsidRDefault="00000000" w:rsidRPr="00000000" w14:paraId="000000CC">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for service (as in Form 2). </w:t>
      </w:r>
    </w:p>
    <w:p w:rsidR="00000000" w:rsidDel="00000000" w:rsidP="00000000" w:rsidRDefault="00000000" w:rsidRPr="00000000" w14:paraId="000000CD">
      <w:pPr>
        <w:spacing w:before="28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supporting affidavit (Forms 3 to 6 or 19 as may be appropriate) must verify in sufficient detail the contents of such of these paragraphs as are included in the cross-application: rule 7(1).  </w:t>
      </w:r>
    </w:p>
    <w:p w:rsidR="00000000" w:rsidDel="00000000" w:rsidP="00000000" w:rsidRDefault="00000000" w:rsidRPr="00000000" w14:paraId="000000CE">
      <w:pPr>
        <w:spacing w:before="280"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35CC2"/>
    <w:pPr>
      <w:ind w:left="720"/>
      <w:contextualSpacing w:val="1"/>
    </w:pPr>
  </w:style>
  <w:style w:type="paragraph" w:styleId="Header">
    <w:name w:val="header"/>
    <w:basedOn w:val="Normal"/>
    <w:link w:val="HeaderChar"/>
    <w:uiPriority w:val="99"/>
    <w:unhideWhenUsed w:val="1"/>
    <w:rsid w:val="008D7DE2"/>
    <w:pPr>
      <w:tabs>
        <w:tab w:val="center" w:pos="4513"/>
        <w:tab w:val="right" w:pos="9026"/>
      </w:tabs>
      <w:spacing w:after="0" w:line="240" w:lineRule="auto"/>
    </w:pPr>
  </w:style>
  <w:style w:type="character" w:styleId="HeaderChar" w:customStyle="1">
    <w:name w:val="Header Char"/>
    <w:basedOn w:val="DefaultParagraphFont"/>
    <w:link w:val="Header"/>
    <w:uiPriority w:val="99"/>
    <w:rsid w:val="008D7DE2"/>
  </w:style>
  <w:style w:type="paragraph" w:styleId="Footer">
    <w:name w:val="footer"/>
    <w:basedOn w:val="Normal"/>
    <w:link w:val="FooterChar"/>
    <w:uiPriority w:val="99"/>
    <w:unhideWhenUsed w:val="1"/>
    <w:rsid w:val="008D7DE2"/>
    <w:pPr>
      <w:tabs>
        <w:tab w:val="center" w:pos="4513"/>
        <w:tab w:val="right" w:pos="9026"/>
      </w:tabs>
      <w:spacing w:after="0" w:line="240" w:lineRule="auto"/>
    </w:pPr>
  </w:style>
  <w:style w:type="character" w:styleId="FooterChar" w:customStyle="1">
    <w:name w:val="Footer Char"/>
    <w:basedOn w:val="DefaultParagraphFont"/>
    <w:link w:val="Footer"/>
    <w:uiPriority w:val="99"/>
    <w:rsid w:val="008D7DE2"/>
  </w:style>
  <w:style w:type="paragraph" w:styleId="BalloonText">
    <w:name w:val="Balloon Text"/>
    <w:basedOn w:val="Normal"/>
    <w:link w:val="BalloonTextChar"/>
    <w:uiPriority w:val="99"/>
    <w:semiHidden w:val="1"/>
    <w:unhideWhenUsed w:val="1"/>
    <w:rsid w:val="001706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7067D"/>
    <w:rPr>
      <w:rFonts w:ascii="Segoe UI" w:cs="Segoe UI" w:hAnsi="Segoe UI"/>
      <w:sz w:val="18"/>
      <w:szCs w:val="18"/>
    </w:rPr>
  </w:style>
  <w:style w:type="paragraph" w:styleId="NormalWeb">
    <w:name w:val="Normal (Web)"/>
    <w:basedOn w:val="Normal"/>
    <w:uiPriority w:val="99"/>
    <w:semiHidden w:val="1"/>
    <w:unhideWhenUsed w:val="1"/>
    <w:rsid w:val="00DE2E8F"/>
    <w:rPr>
      <w:rFonts w:ascii="Times New Roman" w:cs="Times New Roman" w:hAnsi="Times New Roman"/>
      <w:sz w:val="24"/>
      <w:szCs w:val="24"/>
    </w:rPr>
  </w:style>
  <w:style w:type="character" w:styleId="Emphasis">
    <w:name w:val="Emphasis"/>
    <w:basedOn w:val="DefaultParagraphFont"/>
    <w:uiPriority w:val="20"/>
    <w:qFormat w:val="1"/>
    <w:rsid w:val="00D451CD"/>
    <w:rPr>
      <w:i w:val="1"/>
      <w:iCs w:val="1"/>
    </w:rPr>
  </w:style>
  <w:style w:type="paragraph" w:styleId="msonormal0" w:customStyle="1">
    <w:name w:val="msonormal"/>
    <w:basedOn w:val="Normal"/>
    <w:rsid w:val="00460291"/>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460291"/>
    <w:rPr>
      <w:color w:val="0000ff"/>
      <w:u w:val="single"/>
    </w:rPr>
  </w:style>
  <w:style w:type="character" w:styleId="FollowedHyperlink">
    <w:name w:val="FollowedHyperlink"/>
    <w:basedOn w:val="DefaultParagraphFont"/>
    <w:uiPriority w:val="99"/>
    <w:semiHidden w:val="1"/>
    <w:unhideWhenUsed w:val="1"/>
    <w:rsid w:val="00460291"/>
    <w:rPr>
      <w:color w:val="80008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fastidiousadvoc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9xGKidhsQndzGkgobuwaDt1LZA==">AMUW2mUU/CQnsDPutrb4BpohkN7KYXQ9tYJIkzgQ8nhJgZIsQELUqqrCy/ylsJzvq+MQOZxy2S9f4KFeX/h2I3Q04b9/cVVlfmscCXcu7lEYkzQiXjzzd3omDSZeHg+4WA079dRUwmKtYU00RzOvpcMv+XrOPxZiO++FeqEDm1JCQf2hbfduYoEEk+TevIqaC58CARhGoLntS8lfu8DObJELVlSdgbP9AHrtYy2h6M+MA+5Jom5hDyQQNKPmfWgu2WBZ5Fs0oIjMDTTOJjyCV3ffcutZ/ev1/NZ1lqBcP6FN4ugXaNeLVQL2j9yByT27KXJ1r/V7XJoGVrvrsFwjb0DTT8y9X3vg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2022-05-12T18:55:00Z</dcterms:created>
  <dc:creator>Stephen Odiwuor</dc:creator>
</cp:coreProperties>
</file>