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ROLE OF ADVOCATES TO THE COURTS IN THE ADMINISTRATION OF JUSTICE</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ETHICAL DUTIES OF AN ADVOCATE TOWARDS THE CLIENT</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ETHICAL DUTIES OF AN ADVOCATE TO WITNESSES</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DUTY TO OPPOSING COUNSEL</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BIBLIOGRAPHY</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ageBreakBefore w:val="0"/>
        <w:rPr>
          <w:rFonts w:ascii="Times New Roman" w:cs="Times New Roman" w:eastAsia="Times New Roman" w:hAnsi="Times New Roman"/>
          <w:color w:val="17365d"/>
          <w:sz w:val="52"/>
          <w:szCs w:val="52"/>
        </w:rPr>
      </w:pPr>
      <w:r w:rsidDel="00000000" w:rsidR="00000000" w:rsidRPr="00000000">
        <w:rPr>
          <w:rtl w:val="0"/>
        </w:rPr>
      </w:r>
    </w:p>
    <w:p w:rsidR="00000000" w:rsidDel="00000000" w:rsidP="00000000" w:rsidRDefault="00000000" w:rsidRPr="00000000" w14:paraId="00000009">
      <w:pPr>
        <w:pStyle w:val="Title"/>
        <w:pageBreakBefore w:val="0"/>
        <w:jc w:val="center"/>
        <w:rPr/>
      </w:pPr>
      <w:r w:rsidDel="00000000" w:rsidR="00000000" w:rsidRPr="00000000">
        <w:br w:type="page"/>
      </w:r>
      <w:r w:rsidDel="00000000" w:rsidR="00000000" w:rsidRPr="00000000">
        <w:rPr>
          <w:rtl w:val="0"/>
        </w:rPr>
        <w:t xml:space="preserve">ROLE OF A TRIAL ADVOCATE</w:t>
      </w:r>
    </w:p>
    <w:p w:rsidR="00000000" w:rsidDel="00000000" w:rsidP="00000000" w:rsidRDefault="00000000" w:rsidRPr="00000000" w14:paraId="0000000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according to the Black’s law dictionary is a person learned in the law, as an attorney, counsel or solicitor.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Lord Denning in </w:t>
      </w:r>
      <w:r w:rsidDel="00000000" w:rsidR="00000000" w:rsidRPr="00000000">
        <w:rPr>
          <w:rFonts w:ascii="Times New Roman" w:cs="Times New Roman" w:eastAsia="Times New Roman" w:hAnsi="Times New Roman"/>
          <w:i w:val="1"/>
          <w:sz w:val="24"/>
          <w:szCs w:val="24"/>
          <w:rtl w:val="0"/>
        </w:rPr>
        <w:t xml:space="preserve">Rondel v Worsely</w:t>
      </w:r>
      <w:r w:rsidDel="00000000" w:rsidR="00000000" w:rsidRPr="00000000">
        <w:rPr>
          <w:rFonts w:ascii="Times New Roman" w:cs="Times New Roman" w:eastAsia="Times New Roman" w:hAnsi="Times New Roman"/>
          <w:sz w:val="24"/>
          <w:szCs w:val="24"/>
          <w:rtl w:val="0"/>
        </w:rPr>
        <w:t xml:space="preserve"> aptly stated that an advocate owes allegiance to a higher cause which is the cause of justice. </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An advocate is hence expected to play a significant role in making a difference in the society. This forms part of the legal ethics required of the advocate, which in turn have played a very important role in shaping the professional duties of an advocate. This then begets professional ethics, responsibilities and obligations that are expected of them. </w:t>
      </w:r>
    </w:p>
    <w:p w:rsidR="00000000" w:rsidDel="00000000" w:rsidP="00000000" w:rsidRDefault="00000000" w:rsidRPr="00000000" w14:paraId="0000000B">
      <w:pPr>
        <w:pStyle w:val="Heading1"/>
        <w:pageBreakBefore w:val="0"/>
        <w:spacing w:line="360" w:lineRule="auto"/>
        <w:jc w:val="both"/>
        <w:rPr>
          <w:rFonts w:ascii="Times New Roman" w:cs="Times New Roman" w:eastAsia="Times New Roman" w:hAnsi="Times New Roman"/>
          <w:u w:val="single"/>
        </w:rPr>
      </w:pPr>
      <w:bookmarkStart w:colFirst="0" w:colLast="0" w:name="_heading=h.gjdgxs" w:id="0"/>
      <w:bookmarkEnd w:id="0"/>
      <w:r w:rsidDel="00000000" w:rsidR="00000000" w:rsidRPr="00000000">
        <w:rPr>
          <w:rFonts w:ascii="Times New Roman" w:cs="Times New Roman" w:eastAsia="Times New Roman" w:hAnsi="Times New Roman"/>
          <w:u w:val="single"/>
          <w:rtl w:val="0"/>
        </w:rPr>
        <w:t xml:space="preserve">ROLE OF ADVOCATES TO THE COURTS IN THE ADMINISTRATION OF JUSTICE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uphold the administration of justice. </w:t>
      </w:r>
    </w:p>
    <w:p w:rsidR="00000000" w:rsidDel="00000000" w:rsidP="00000000" w:rsidRDefault="00000000" w:rsidRPr="00000000" w14:paraId="0000000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that advocates conduct themselves with integrity, provide competent assistance to the court and promote public confidence in the court system. The Advocates Act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mandates that every person who is entitled to act as an advocate shall be an officer of the court. Therefore, as an officer of the court, an advocate should only use proper and lawful means to promote and protect the interests of his clients.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An advocate should conduct himself with fairness when dealing with fellow advocates that he meets in court. As in </w:t>
      </w:r>
      <w:r w:rsidDel="00000000" w:rsidR="00000000" w:rsidRPr="00000000">
        <w:rPr>
          <w:rFonts w:ascii="Times New Roman" w:cs="Times New Roman" w:eastAsia="Times New Roman" w:hAnsi="Times New Roman"/>
          <w:i w:val="1"/>
          <w:sz w:val="24"/>
          <w:szCs w:val="24"/>
          <w:rtl w:val="0"/>
        </w:rPr>
        <w:t xml:space="preserve">Abraham v Justsun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It is an advocate’s duty to take any point which he believes to be fairly arguable on behalf of his client. He is not to determine what shall be the effect of legal argument. He or she shall not fabricate evidence or couch witnesses.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obey court orders.</w:t>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must uphold utmost respect for court orders.  With respect to this, they should avoid issues such as obtaining and executing decrees without sending the draft to their counterparts. </w:t>
      </w:r>
      <w:r w:rsidDel="00000000" w:rsidR="00000000" w:rsidRPr="00000000">
        <w:rPr>
          <w:rFonts w:ascii="Times New Roman" w:cs="Times New Roman" w:eastAsia="Times New Roman" w:hAnsi="Times New Roman"/>
          <w:i w:val="1"/>
          <w:sz w:val="24"/>
          <w:szCs w:val="24"/>
          <w:rtl w:val="0"/>
        </w:rPr>
        <w:t xml:space="preserve">Mwangimbothu vs Gachira Waitimu</w:t>
      </w:r>
      <w:r w:rsidDel="00000000" w:rsidR="00000000" w:rsidRPr="00000000">
        <w:rPr>
          <w:rFonts w:ascii="Times New Roman" w:cs="Times New Roman" w:eastAsia="Times New Roman" w:hAnsi="Times New Roman"/>
          <w:sz w:val="24"/>
          <w:szCs w:val="24"/>
          <w:rtl w:val="0"/>
        </w:rPr>
        <w:t xml:space="preserve"> provided that obtaining ex parte injunction without full disclosure, showing the client how to circumvent court orders and disobey injunctions wouldn’t uphold this principle of respect.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Legal services Board v Forster</w:t>
      </w:r>
      <w:r w:rsidDel="00000000" w:rsidR="00000000" w:rsidRPr="00000000">
        <w:rPr>
          <w:rFonts w:ascii="Times New Roman" w:cs="Times New Roman" w:eastAsia="Times New Roman" w:hAnsi="Times New Roman"/>
          <w:sz w:val="24"/>
          <w:szCs w:val="24"/>
          <w:rtl w:val="0"/>
        </w:rPr>
        <w:t xml:space="preserve">, Emerton J sentenced an advocate to a suspended prison sentence for criminal contempt of court.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All persons must comply with the law but the obligation on advocates is particularly stringent due to the oath or affirmation they have given to uphold the law.</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Legal practitioners are bound to uphold the rule of law, which is an essential element in any civilized and properly functioning community. The burden of excellence in maintaining the rule of law must be bore by legal practitioners’ to serve as a pillar and example that society can emulate.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Courtesy. </w:t>
      </w:r>
    </w:p>
    <w:p w:rsidR="00000000" w:rsidDel="00000000" w:rsidP="00000000" w:rsidRDefault="00000000" w:rsidRPr="00000000" w14:paraId="0000001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full requirement in the courts and advocates should at all times uphold the dignity of the court through respectful conduct and courteous speech. For instance, ‘your honour, my lord, my lady I pray that this court’ is the sort of respectable language used in courts. When dealing with others an advocate must be courteous, civil and act in good faith with all the persons he comes across with during the course of the practice. Discourteous conduct is likely to increase tensions, inflame disputes and the administration of justice, in it wider sense into disrepute. In </w:t>
      </w:r>
      <w:r w:rsidDel="00000000" w:rsidR="00000000" w:rsidRPr="00000000">
        <w:rPr>
          <w:rFonts w:ascii="Times New Roman" w:cs="Times New Roman" w:eastAsia="Times New Roman" w:hAnsi="Times New Roman"/>
          <w:i w:val="1"/>
          <w:sz w:val="24"/>
          <w:szCs w:val="24"/>
          <w:rtl w:val="0"/>
        </w:rPr>
        <w:t xml:space="preserve">Rinehart v Rinehart</w:t>
      </w:r>
      <w:r w:rsidDel="00000000" w:rsidR="00000000" w:rsidRPr="00000000">
        <w:rPr>
          <w:rFonts w:ascii="Times New Roman" w:cs="Times New Roman" w:eastAsia="Times New Roman" w:hAnsi="Times New Roman"/>
          <w:sz w:val="24"/>
          <w:szCs w:val="24"/>
          <w:rtl w:val="0"/>
        </w:rPr>
        <w:t xml:space="preserve"> (2015) Justice White quoted a letter from one law firm to another before saying, “</w:t>
      </w:r>
      <w:r w:rsidDel="00000000" w:rsidR="00000000" w:rsidRPr="00000000">
        <w:rPr>
          <w:rFonts w:ascii="Times New Roman" w:cs="Times New Roman" w:eastAsia="Times New Roman" w:hAnsi="Times New Roman"/>
          <w:i w:val="1"/>
          <w:sz w:val="24"/>
          <w:szCs w:val="24"/>
          <w:rtl w:val="0"/>
        </w:rPr>
        <w:t xml:space="preserve">One of the most fundamental ethical duties of a solicitor is to be courteous in all dealings in the course of legal practice….. if the practice of law is to be regarded as a profession it should go without saying that courtesy should be shown as a mark of respect in dealing with professional colleagues.  Civility within the legal system not only holds the profession together, but also contributes to the continuation of a just society…..conduct that may be categorized as uncivil, abrasive, hostile or obstructive necessarily impedes the goal of resolving the conflicts rationally, peacefully and efficiently in turn denying justice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1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expedite proceedings.</w:t>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Ashmore vs Corpn. Of Lloyd</w:t>
      </w:r>
      <w:r w:rsidDel="00000000" w:rsidR="00000000" w:rsidRPr="00000000">
        <w:rPr>
          <w:rFonts w:ascii="Times New Roman" w:cs="Times New Roman" w:eastAsia="Times New Roman" w:hAnsi="Times New Roman"/>
          <w:sz w:val="24"/>
          <w:szCs w:val="24"/>
          <w:rtl w:val="0"/>
        </w:rPr>
        <w:t xml:space="preserve"> provided that an officer of the court has a duty to ensure that the proceedings do not waste the courts time through unnecessary proceedings and technicalities.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 parties and particularly their legal advisers in any litigation are under a duty to cooperate with the court by chronological brief and consistent pleadings which define the issues and leave the judge to draw his own conclusion about the merits when he hears the case.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advocate should not seek to influence a judge, tribunal or other official by means prohibited by law.</w:t>
      </w:r>
    </w:p>
    <w:p w:rsidR="00000000" w:rsidDel="00000000" w:rsidP="00000000" w:rsidRDefault="00000000" w:rsidRPr="00000000" w14:paraId="0000001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Advocates have a duty to uphold and respect the law while being the driving forces of the courts. Their loyalty lies with the law and to the courts before diverging to the other parties.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respect the court.</w:t>
      </w:r>
    </w:p>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with regards to the dress code which should be in a manner that honors the court. It is for such reasons that there exists an advocates’ dress code in Kenya. This Act outlines the expected dressing by the advocates. The rules clearly stipulate that any advocate who contravenes the provisions of LSK dress code commits a professional misconduct. Advocates should always uphold the dignity of the court through respectful speech. In the case of </w:t>
      </w:r>
      <w:r w:rsidDel="00000000" w:rsidR="00000000" w:rsidRPr="00000000">
        <w:rPr>
          <w:rFonts w:ascii="Times New Roman" w:cs="Times New Roman" w:eastAsia="Times New Roman" w:hAnsi="Times New Roman"/>
          <w:i w:val="1"/>
          <w:sz w:val="24"/>
          <w:szCs w:val="24"/>
          <w:rtl w:val="0"/>
        </w:rPr>
        <w:t xml:space="preserve">Ginnarelli vs Wraith</w:t>
      </w:r>
      <w:r w:rsidDel="00000000" w:rsidR="00000000" w:rsidRPr="00000000">
        <w:rPr>
          <w:rFonts w:ascii="Times New Roman" w:cs="Times New Roman" w:eastAsia="Times New Roman" w:hAnsi="Times New Roman"/>
          <w:sz w:val="24"/>
          <w:szCs w:val="24"/>
          <w:rtl w:val="0"/>
        </w:rPr>
        <w:t xml:space="preserve">, CJ Mason stated that an advocates duty to the court is supreme to that owed to the client since his or her duty to client is subject to his overriding duty to courts as the duty to the court gives rise to the matter of public interest and must be performed.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duty to adduce evidence in court.</w:t>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system mainly relies on evidence to make a judgment. Verdicts are made evenly on the evidence produced in courts. The courts may rely to evidence on past authorities tabled before it by the prosecution and the advocates taking up the matter. The advocate should then not aware of the above, should not offer false evidence regardless of whether the client gives such an instruction. </w:t>
      </w:r>
    </w:p>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duty to avoid trial publicity. </w:t>
      </w:r>
    </w:p>
    <w:p w:rsidR="00000000" w:rsidDel="00000000" w:rsidP="00000000" w:rsidRDefault="00000000" w:rsidRPr="00000000" w14:paraId="0000001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sub-judice rule </w:t>
      </w:r>
      <w:r w:rsidDel="00000000" w:rsidR="00000000" w:rsidRPr="00000000">
        <w:rPr>
          <w:rFonts w:ascii="Times New Roman" w:cs="Times New Roman" w:eastAsia="Times New Roman" w:hAnsi="Times New Roman"/>
          <w:sz w:val="24"/>
          <w:szCs w:val="24"/>
          <w:rtl w:val="0"/>
        </w:rPr>
        <w:t xml:space="preserve">bases its reasoning on the fact that it is the purpose of courts to handle legal issues that are before it without usurpations by others, in our case advocates, making public statements about how this issue should be decided. The rule is applicable when the court proceedings are ongoing, through to appeal until the matter is laid to rest.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It’s important to note that the rule does not prohibit one from making fair and accurate reporting of the facts of the ongoing case by the media as long as it does not interfere with the role of the court.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Additionally, the Constitution of Kenya under article 48 gives everyone the right to justice which includes the right to be tried before an impartial tribunal on the same.</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20">
      <w:pPr>
        <w:pStyle w:val="Heading1"/>
        <w:pageBreakBefore w:val="0"/>
        <w:spacing w:line="360" w:lineRule="auto"/>
        <w:jc w:val="both"/>
        <w:rPr>
          <w:rFonts w:ascii="Times New Roman" w:cs="Times New Roman" w:eastAsia="Times New Roman" w:hAnsi="Times New Roman"/>
          <w:u w:val="single"/>
        </w:rPr>
      </w:pPr>
      <w:bookmarkStart w:colFirst="0" w:colLast="0" w:name="_heading=h.30j0zll" w:id="1"/>
      <w:bookmarkEnd w:id="1"/>
      <w:r w:rsidDel="00000000" w:rsidR="00000000" w:rsidRPr="00000000">
        <w:rPr>
          <w:rFonts w:ascii="Times New Roman" w:cs="Times New Roman" w:eastAsia="Times New Roman" w:hAnsi="Times New Roman"/>
          <w:u w:val="single"/>
          <w:rtl w:val="0"/>
        </w:rPr>
        <w:t xml:space="preserve">THE ETHICAL DUTIES OF AN ADVOCATE TOWARDS THE CLIENT</w:t>
      </w:r>
    </w:p>
    <w:p w:rsidR="00000000" w:rsidDel="00000000" w:rsidP="00000000" w:rsidRDefault="00000000" w:rsidRPr="00000000" w14:paraId="0000002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limit the discretion of a particular member of the profession, in the performance of their duty which we shall set forth as follows;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Confidentiality  </w:t>
      </w:r>
    </w:p>
    <w:p w:rsidR="00000000" w:rsidDel="00000000" w:rsidP="00000000" w:rsidRDefault="00000000" w:rsidRPr="00000000" w14:paraId="0000002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has the duty to uphold confidentiality in dealing with his clients affairs. He is obligated to maintain secrets of the client at all times during the subsistence of the advocate-client relationship and even after the relationship ceases.</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This duty arises from the fiduciary nature of the advocate and client relationship which makes all the information exchanged between them to be privileged. Such information is protected from disclosure unless the client himself waives that right. It is noteworthy however that the privilege contemplated in section 134 of the Evidence Act does not extend to communication that promotes an illegal act. This also applies to any act that may show that a crime or a fraud has been committed since the commencement of his employment.</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This also applies whether the advocate knew of the fraud or did not know about the fraud. In that case, then, an advocate has the right to divulge any information given by the client based on public policy considerations.</w:t>
      </w:r>
    </w:p>
    <w:p w:rsidR="00000000" w:rsidDel="00000000" w:rsidP="00000000" w:rsidRDefault="00000000" w:rsidRPr="00000000" w14:paraId="0000002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Dealing in honesty and good faith.</w:t>
      </w:r>
    </w:p>
    <w:p w:rsidR="00000000" w:rsidDel="00000000" w:rsidP="00000000" w:rsidRDefault="00000000" w:rsidRPr="00000000" w14:paraId="0000002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is supposed to represent his client in honesty and good faith. He should not pursue his own interest but make the client’s goals, his own so long as they are acceptable according to law and professional ethics. It is prudent that an advocate seeks and takes proper instructions from the client before taking any further action. Additionally, the client should always be in the know of what his advocate is doing on his behalf and authorise his actions. The advocate must then inform his client of the possible consequences of any decision that the advocate wishes to take on behalf of the client. Where there is a conflict of interests, the advocate should forthwith declare that conflict of interest and request not to act for the client. Failure to do this, the advocate may be found liable both in civil and criminal proceedings.</w:t>
      </w:r>
    </w:p>
    <w:p w:rsidR="00000000" w:rsidDel="00000000" w:rsidP="00000000" w:rsidRDefault="00000000" w:rsidRPr="00000000" w14:paraId="0000002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will be liable for criminal charges in cases where the advocate is dishonest or deals fraudulently with the client’s property. This is as was in the case of </w:t>
      </w:r>
      <w:r w:rsidDel="00000000" w:rsidR="00000000" w:rsidRPr="00000000">
        <w:rPr>
          <w:rFonts w:ascii="Times New Roman" w:cs="Times New Roman" w:eastAsia="Times New Roman" w:hAnsi="Times New Roman"/>
          <w:i w:val="1"/>
          <w:sz w:val="24"/>
          <w:szCs w:val="24"/>
          <w:rtl w:val="0"/>
        </w:rPr>
        <w:t xml:space="preserve">Kinyanjui -vs- Republic.</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In this case, the appellant, an advocate, was appealing against his conviction on charges of eighteen counts of theft by agent and had to pay Kenya shillings 50,000 on each count and serve 12 months imprisonment on each count. The appellant argued that the advocate client relationship barred complainants from instituting criminal proceedings against him. The court held that the appellant, in this case, did not act as an advocate. He used the fact that he was an advocate as a cloak to put in place a scheme to defraud the estate of the deceased persons of what was rightly due to them. ‘</w:t>
      </w:r>
      <w:r w:rsidDel="00000000" w:rsidR="00000000" w:rsidRPr="00000000">
        <w:rPr>
          <w:rFonts w:ascii="Times New Roman" w:cs="Times New Roman" w:eastAsia="Times New Roman" w:hAnsi="Times New Roman"/>
          <w:i w:val="1"/>
          <w:sz w:val="24"/>
          <w:szCs w:val="24"/>
          <w:rtl w:val="0"/>
        </w:rPr>
        <w:t xml:space="preserve">It is in our finding that the advocate client relationship does not preclude the state from instituting criminal charges where it has been established that a criminal charge has been established.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representation/zealous advocacy</w:t>
      </w:r>
    </w:p>
    <w:p w:rsidR="00000000" w:rsidDel="00000000" w:rsidP="00000000" w:rsidRDefault="00000000" w:rsidRPr="00000000" w14:paraId="000000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has the duty to use all the skill he can be able to produce in order to represent his client. There is also an overwhelming duty by the advocate to exercise the highest amount of ingenuity to represent his client. The requirement for competent representation is premised on the ground that only qualified people should be allowed to practice law. No amateur should be allowed to practice law; which concerns matters of serious interest. </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Consequences of gross incompetence may lead to disciplinary action being taken against the advocate. In certain jurisdictions, ’ineffective assistance of counsel’ can be used as a ground for appeal and a fresh trial be ordered.</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note that the incompetence must be so gross and therefore cannot be used to disbar somebody where it was just a common mistake in the course of the discharge of his duty. In the case of </w:t>
      </w:r>
      <w:r w:rsidDel="00000000" w:rsidR="00000000" w:rsidRPr="00000000">
        <w:rPr>
          <w:rFonts w:ascii="Times New Roman" w:cs="Times New Roman" w:eastAsia="Times New Roman" w:hAnsi="Times New Roman"/>
          <w:i w:val="1"/>
          <w:sz w:val="24"/>
          <w:szCs w:val="24"/>
          <w:rtl w:val="0"/>
        </w:rPr>
        <w:t xml:space="preserve">Ger v Marmanet Forest Co-operative and Credit Society, </w:t>
      </w:r>
      <w:r w:rsidDel="00000000" w:rsidR="00000000" w:rsidRPr="00000000">
        <w:rPr>
          <w:rFonts w:ascii="Times New Roman" w:cs="Times New Roman" w:eastAsia="Times New Roman" w:hAnsi="Times New Roman"/>
          <w:sz w:val="24"/>
          <w:szCs w:val="24"/>
          <w:rtl w:val="0"/>
        </w:rPr>
        <w:t xml:space="preserve">the advocate for the applicant was late in serving a notice of appeal on the other party due to his own mistake. He sought for the court to grant him time to serve the notice of appeal. The application was allowed because the court found that there was no unnecessary hardship or injustice to that would be that would be visited on the other side.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Indeed </w:t>
      </w:r>
      <w:r w:rsidDel="00000000" w:rsidR="00000000" w:rsidRPr="00000000">
        <w:rPr>
          <w:rFonts w:ascii="Times New Roman" w:cs="Times New Roman" w:eastAsia="Times New Roman" w:hAnsi="Times New Roman"/>
          <w:i w:val="1"/>
          <w:sz w:val="24"/>
          <w:szCs w:val="24"/>
          <w:rtl w:val="0"/>
        </w:rPr>
        <w:t xml:space="preserve">Murai v Wainaina</w:t>
      </w:r>
      <w:r w:rsidDel="00000000" w:rsidR="00000000" w:rsidRPr="00000000">
        <w:rPr>
          <w:rFonts w:ascii="Times New Roman" w:cs="Times New Roman" w:eastAsia="Times New Roman" w:hAnsi="Times New Roman"/>
          <w:sz w:val="24"/>
          <w:szCs w:val="24"/>
          <w:rtl w:val="0"/>
        </w:rPr>
        <w:t xml:space="preserve">. Madan J. (as he then was) states that, </w:t>
      </w:r>
      <w:r w:rsidDel="00000000" w:rsidR="00000000" w:rsidRPr="00000000">
        <w:rPr>
          <w:rFonts w:ascii="Times New Roman" w:cs="Times New Roman" w:eastAsia="Times New Roman" w:hAnsi="Times New Roman"/>
          <w:i w:val="1"/>
          <w:sz w:val="24"/>
          <w:szCs w:val="24"/>
          <w:rtl w:val="0"/>
        </w:rPr>
        <w:t xml:space="preserve">“The door to justice is not closed because a person of experience who ought to have known better made a mistake. The court may not forgive or condone it but it ought to certainly do whatever is necessary to rectify it, if the interests of justice indicate.’’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directions of the client- </w:t>
      </w:r>
    </w:p>
    <w:p w:rsidR="00000000" w:rsidDel="00000000" w:rsidP="00000000" w:rsidRDefault="00000000" w:rsidRPr="00000000" w14:paraId="0000002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is primarily an agent of the client. His main task is to zealously pursue the objectives of his client to their logical and legal conclusion. The only interest an advocate has with his client is the payment of his legal fees which is governed by the advocate’s remuneration order. He should thus not pursue his selfish interest. He however cannot also be allowed to hurt other third parties in the course of fighting for his clients’ interests. An advocate must seek his clients consent first before accepting a compromise or settlement without the express consent of the client.</w:t>
      </w:r>
    </w:p>
    <w:p w:rsidR="00000000" w:rsidDel="00000000" w:rsidP="00000000" w:rsidRDefault="00000000" w:rsidRPr="00000000" w14:paraId="0000002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i w:val="1"/>
          <w:sz w:val="24"/>
          <w:szCs w:val="24"/>
          <w:rtl w:val="0"/>
        </w:rPr>
        <w:t xml:space="preserve">Gichiri -vs- Republic, </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the appellant disputed the decision of his advocate to withdraw an appeal because the appellant had already served his sentence. The court quoted Halsbury’s laws of England as follows-</w:t>
      </w:r>
    </w:p>
    <w:p w:rsidR="00000000" w:rsidDel="00000000" w:rsidP="00000000" w:rsidRDefault="00000000" w:rsidRPr="00000000" w14:paraId="0000002E">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clients consent is not needed for a matter which is within the ordinary authority of counsel. Thus, if in court, in the absence of the client, compromise or settlement is entered into by counsel, whose authority has not been expressly limited, the client is bound. This authority is to be used in a manner such as not to diametrically oppose the instructions of the client.’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no duty to inquire into the truth of his clients instructions. </w:t>
      </w:r>
    </w:p>
    <w:p w:rsidR="00000000" w:rsidDel="00000000" w:rsidP="00000000" w:rsidRDefault="00000000" w:rsidRPr="00000000" w14:paraId="0000003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general rule arises from the principle that a person is innocent until proven guilty. It is not in the advocate’s interest to confirm whether the client is guilty or not. The advocate should only consider the story as given by the client and confirm it with the legal principles already in his knowledge. However, where counsel doubts their reliability, they must where practicable, check the truth to the extent that such statements will be relied upon by the court. Advocates must present their client’s case to the best of their ability, without making themselves a judge of its correctness.</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duty of fidelity. </w:t>
      </w:r>
    </w:p>
    <w:p w:rsidR="00000000" w:rsidDel="00000000" w:rsidP="00000000" w:rsidRDefault="00000000" w:rsidRPr="00000000" w14:paraId="0000003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derived from an advocates as a fiduciary duty as with any profession.</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Clients are entitled to place trust in their advocate that he or she will act loyally and competently. There is however a strain when the loyalty is to be trumped by public interest. Public interest sometimes limits loyalty. Collusion however by an advocate, with the opposing counsel to frustrate the cause of his client will be treated as breach of trust and call for disciplinary action to be taken against the advocate.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Watch the judicial pen </w:t>
      </w:r>
    </w:p>
    <w:p w:rsidR="00000000" w:rsidDel="00000000" w:rsidP="00000000" w:rsidRDefault="00000000" w:rsidRPr="00000000" w14:paraId="0000003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trial advocate should argue his case well while watching the judicial pen so as to ensure everything he argues is recorded as part of court records.  If he argues his case very well but it is not recorded he will not have done any service to the client.   It is also important for him to ensure his arguments are recorded by the judicial pen as part of court records for purposes of appeal.</w:t>
      </w:r>
    </w:p>
    <w:p w:rsidR="00000000" w:rsidDel="00000000" w:rsidP="00000000" w:rsidRDefault="00000000" w:rsidRPr="00000000" w14:paraId="00000035">
      <w:pPr>
        <w:pStyle w:val="Heading1"/>
        <w:pageBreakBefore w:val="0"/>
        <w:spacing w:line="360" w:lineRule="auto"/>
        <w:jc w:val="both"/>
        <w:rPr>
          <w:rFonts w:ascii="Times New Roman" w:cs="Times New Roman" w:eastAsia="Times New Roman" w:hAnsi="Times New Roman"/>
          <w:u w:val="single"/>
        </w:rPr>
      </w:pPr>
      <w:bookmarkStart w:colFirst="0" w:colLast="0" w:name="_heading=h.1fob9te" w:id="2"/>
      <w:bookmarkEnd w:id="2"/>
      <w:r w:rsidDel="00000000" w:rsidR="00000000" w:rsidRPr="00000000">
        <w:rPr>
          <w:rFonts w:ascii="Times New Roman" w:cs="Times New Roman" w:eastAsia="Times New Roman" w:hAnsi="Times New Roman"/>
          <w:u w:val="single"/>
          <w:rtl w:val="0"/>
        </w:rPr>
        <w:t xml:space="preserve">THE ETHICAL DUTIES OF AN ADVOCATE TO WITNESSES</w:t>
      </w:r>
    </w:p>
    <w:p w:rsidR="00000000" w:rsidDel="00000000" w:rsidP="00000000" w:rsidRDefault="00000000" w:rsidRPr="00000000" w14:paraId="0000003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Black’s Law Dictionary defines the term "witness" to mean a person who has knowledge of an event by seeing it.</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It has also acquired the meaning of a person who is present at and observes a transaction. In </w:t>
      </w:r>
      <w:r w:rsidDel="00000000" w:rsidR="00000000" w:rsidRPr="00000000">
        <w:rPr>
          <w:rFonts w:ascii="Times New Roman" w:cs="Times New Roman" w:eastAsia="Times New Roman" w:hAnsi="Times New Roman"/>
          <w:i w:val="1"/>
          <w:sz w:val="24"/>
          <w:szCs w:val="24"/>
          <w:rtl w:val="0"/>
        </w:rPr>
        <w:t xml:space="preserve">Bliss v Shuman</w:t>
      </w:r>
      <w:r w:rsidDel="00000000" w:rsidR="00000000" w:rsidRPr="00000000">
        <w:rPr>
          <w:rFonts w:ascii="Times New Roman" w:cs="Times New Roman" w:eastAsia="Times New Roman" w:hAnsi="Times New Roman"/>
          <w:sz w:val="24"/>
          <w:szCs w:val="24"/>
          <w:rtl w:val="0"/>
        </w:rPr>
        <w:t xml:space="preserve">, a witness is a person whose declaration under oath or affirmation is received as evidence for any purpose, whether such declaration be made by oral examination or by deposition or affidavit it also includes one who is present at a transaction as a wedding, making of a will, that he may thereafter if necessary, testify to the transaction in conveyancing confirming its authenticity by his testimony.</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A witness is a person who gives testimony under oath before a court of law. A witness is also the person who observes the execution of a legal document and authenticates it by affixing his name and appending his signature on it.  </w:t>
      </w:r>
    </w:p>
    <w:p w:rsidR="00000000" w:rsidDel="00000000" w:rsidP="00000000" w:rsidRDefault="00000000" w:rsidRPr="00000000" w14:paraId="0000003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categories of witnesses: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attesting witness signs his name to an instrument at the request of the party or parties for the purpose of proving and identifying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competent witness is defined in section 125 of the Evidence Act as one who is legally qualified to be heard in a cause.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adverse witness is a witness whose mind discloses a biased hostility to the party examining him.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credible witness one is who being competent to give evidence is worthy of being heard.</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prosecuting witness is the name to the chief complainant, a private citizen whose testimony is mainly relied upon to get a conviction in a criminal matter.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subscribing witness is one who sees writing, execution or hears it being acknowledged and at his the request of the parties signs his name as a witness.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swift witness is one who volunteers information and betrays his bias to the side that called him</w:t>
      </w:r>
    </w:p>
    <w:p w:rsidR="00000000" w:rsidDel="00000000" w:rsidP="00000000" w:rsidRDefault="00000000" w:rsidRPr="00000000" w14:paraId="0000003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Evidence Act  provides that all persons shall be competent to testify in  the court unless the court considers that they are prevented from understanding the questions put to them, or from giving rational answers to those questions, by tender years, extremely old age, disease (whether of body or mind ) or any similar case. A mentally ill person or lunatic is not prevented from testifying unless he is prevented by his condition from understanding the questions put to him and giving rational answers to them.</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04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duty of an advocate towards a witness is also part of the advocate's ethical duties towards the court. Generally, ethical duties are prescribed by the regulatory bodies of a profession and others are set by statutes. Therefore the ethical duties of an advocate to a client are: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burger the witness with unreasonable questions, he must be tactful and gentle when seeking out the requisite facts at issue. The aim is to prevent any disruption of flow as the witness gives his or her evidence and prevent witness agitation.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Sallazar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deplored an advocate’s disrespectfulness towards the witness and the court at large.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the duty to prepare the witness by furnishing him with all the necessary and important details of the case in which he is to give evidence. This is pinpointed in sections 167 through to 169 of the Evidence Act on refreshing the memory of a witness prior to cross examination. This was further ascertained in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Maugham v Hubbard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a witness was furnished with a reference document to aid in remembrance.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0"/>
      </w:r>
      <w:r w:rsidDel="00000000" w:rsidR="00000000" w:rsidRPr="00000000">
        <w:rPr>
          <w:rtl w:val="0"/>
        </w:rPr>
      </w:r>
    </w:p>
    <w:p w:rsidR="00000000" w:rsidDel="00000000" w:rsidP="00000000" w:rsidRDefault="00000000" w:rsidRPr="00000000" w14:paraId="00000043">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Re stratosphere Corp. Securities Litigation</w:t>
      </w:r>
      <w:r w:rsidDel="00000000" w:rsidR="00000000" w:rsidRPr="00000000">
        <w:rPr>
          <w:rFonts w:ascii="Times New Roman" w:cs="Times New Roman" w:eastAsia="Times New Roman" w:hAnsi="Times New Roman"/>
          <w:sz w:val="24"/>
          <w:szCs w:val="24"/>
          <w:rtl w:val="0"/>
        </w:rPr>
        <w:t xml:space="preserve"> the witness underwent intensive coaching to prevent unexpected responses and to ensure that he would provide critical information without the necessity of tedious and repetitive questioning it was held that this was not improper so long as the testimony given was truthful.</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US v Johnson</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the court noted that it is legitimate and ethical practice for counsel to confer with witness, but this process is often abused.  In </w:t>
      </w:r>
      <w:r w:rsidDel="00000000" w:rsidR="00000000" w:rsidRPr="00000000">
        <w:rPr>
          <w:rFonts w:ascii="Times New Roman" w:cs="Times New Roman" w:eastAsia="Times New Roman" w:hAnsi="Times New Roman"/>
          <w:i w:val="1"/>
          <w:sz w:val="24"/>
          <w:szCs w:val="24"/>
          <w:rtl w:val="0"/>
        </w:rPr>
        <w:t xml:space="preserve">Re Eldridge</w:t>
      </w:r>
      <w:r w:rsidDel="00000000" w:rsidR="00000000" w:rsidRPr="00000000">
        <w:rPr>
          <w:rFonts w:ascii="Times New Roman" w:cs="Times New Roman" w:eastAsia="Times New Roman" w:hAnsi="Times New Roman"/>
          <w:sz w:val="24"/>
          <w:szCs w:val="24"/>
          <w:rtl w:val="0"/>
        </w:rPr>
        <w:t xml:space="preserve"> it was held that an advocate’s duty is to extract facts from witnesses and not to pour into him, to learn what the witness knows not to teach him what he ought to know. The advocate must therefore respect the distinction between discussing testimony and influencing the witness during the stage of preparation.</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make baseless attacks on a witness’s character or make statements that are merely scandalous or intended to or calculated to vilify, insult or annoy a witness and avoid naming in open court the name of witness’s character would be impugned unless the above statements are true. This is  provided  for in section 158 of   the Evidence 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4"/>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pay, offer to pay, a witness to give a testimony in court of law. The advocate may advertise for witnesses to a particular event or transaction but not for the purpose of the witness to testify to a particular version that advances his case.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163 1(b) prohibits and punishes acts of bribing a witness by impeaching the credibility of the witness.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must avoid any suggestion calculated to induce the witness to suppress evidence or deviate from the truth.</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Barristers Code of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UK and Wales it provides that an advocate must not, except with the consent of the representative of the opposing counsel, communicate directly or indirectly about the case with any witness whether or not the witness is his lay client once the witness has begun giving evidence until he completes giving evidence.</w:t>
      </w:r>
    </w:p>
    <w:p w:rsidR="00000000" w:rsidDel="00000000" w:rsidP="00000000" w:rsidRDefault="00000000" w:rsidRPr="00000000" w14:paraId="00000049">
      <w:pPr>
        <w:pStyle w:val="Heading1"/>
        <w:pageBreakBefore w:val="0"/>
        <w:rPr>
          <w:rFonts w:ascii="Times New Roman" w:cs="Times New Roman" w:eastAsia="Times New Roman" w:hAnsi="Times New Roman"/>
          <w:u w:val="single"/>
        </w:rPr>
      </w:pPr>
      <w:bookmarkStart w:colFirst="0" w:colLast="0" w:name="_heading=h.3znysh7" w:id="3"/>
      <w:bookmarkEnd w:id="3"/>
      <w:r w:rsidDel="00000000" w:rsidR="00000000" w:rsidRPr="00000000">
        <w:rPr>
          <w:rFonts w:ascii="Times New Roman" w:cs="Times New Roman" w:eastAsia="Times New Roman" w:hAnsi="Times New Roman"/>
          <w:u w:val="single"/>
          <w:rtl w:val="0"/>
        </w:rPr>
        <w:t xml:space="preserve">DUTY TO OPPOSING COUNSEL</w:t>
      </w:r>
    </w:p>
    <w:p w:rsidR="00000000" w:rsidDel="00000000" w:rsidP="00000000" w:rsidRDefault="00000000" w:rsidRPr="00000000" w14:paraId="0000004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Duty to be courteous. </w:t>
      </w:r>
    </w:p>
    <w:p w:rsidR="00000000" w:rsidDel="00000000" w:rsidP="00000000" w:rsidRDefault="00000000" w:rsidRPr="00000000" w14:paraId="0000004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Duty not to maliciously divulge discussions to the opposing counsel.</w:t>
      </w:r>
    </w:p>
    <w:p w:rsidR="00000000" w:rsidDel="00000000" w:rsidP="00000000" w:rsidRDefault="00000000" w:rsidRPr="00000000" w14:paraId="0000004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Duty to serve the documents on time.</w:t>
      </w:r>
    </w:p>
    <w:p w:rsidR="00000000" w:rsidDel="00000000" w:rsidP="00000000" w:rsidRDefault="00000000" w:rsidRPr="00000000" w14:paraId="0000004D">
      <w:pPr>
        <w:pageBreakBefore w:val="0"/>
        <w:spacing w:line="360" w:lineRule="auto"/>
        <w:jc w:val="both"/>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4. Honesty and fair dealing with the opposing counsel.</w:t>
      </w:r>
    </w:p>
    <w:p w:rsidR="00000000" w:rsidDel="00000000" w:rsidP="00000000" w:rsidRDefault="00000000" w:rsidRPr="00000000" w14:paraId="0000004E">
      <w:pPr>
        <w:pStyle w:val="Heading1"/>
        <w:pageBreakBefore w:val="0"/>
        <w:jc w:val="center"/>
        <w:rPr>
          <w:rFonts w:ascii="Times New Roman" w:cs="Times New Roman" w:eastAsia="Times New Roman" w:hAnsi="Times New Roman"/>
          <w:u w:val="single"/>
        </w:rPr>
      </w:pPr>
      <w:bookmarkStart w:colFirst="0" w:colLast="0" w:name="_heading=h.tyjcwt" w:id="5"/>
      <w:bookmarkEnd w:id="5"/>
      <w:r w:rsidDel="00000000" w:rsidR="00000000" w:rsidRPr="00000000">
        <w:rPr>
          <w:rFonts w:ascii="Times New Roman" w:cs="Times New Roman" w:eastAsia="Times New Roman" w:hAnsi="Times New Roman"/>
          <w:u w:val="single"/>
          <w:rtl w:val="0"/>
        </w:rPr>
        <w:t xml:space="preserve">BIBLIOGRAPHY</w:t>
      </w:r>
    </w:p>
    <w:p w:rsidR="00000000" w:rsidDel="00000000" w:rsidP="00000000" w:rsidRDefault="00000000" w:rsidRPr="00000000" w14:paraId="0000004F">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Laws</w:t>
      </w:r>
    </w:p>
    <w:p w:rsidR="00000000" w:rsidDel="00000000" w:rsidP="00000000" w:rsidRDefault="00000000" w:rsidRPr="00000000" w14:paraId="0000005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Act, Cap 16 Laws of Kenya.</w:t>
      </w:r>
    </w:p>
    <w:p w:rsidR="00000000" w:rsidDel="00000000" w:rsidP="00000000" w:rsidRDefault="00000000" w:rsidRPr="00000000" w14:paraId="0000005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 of Kenya, 2010</w:t>
      </w:r>
    </w:p>
    <w:p w:rsidR="00000000" w:rsidDel="00000000" w:rsidP="00000000" w:rsidRDefault="00000000" w:rsidRPr="00000000" w14:paraId="0000005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Act, Cap 80 Laws of Kenya</w:t>
      </w:r>
    </w:p>
    <w:p w:rsidR="00000000" w:rsidDel="00000000" w:rsidP="00000000" w:rsidRDefault="00000000" w:rsidRPr="00000000" w14:paraId="00000053">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BOOKS </w:t>
      </w:r>
    </w:p>
    <w:p w:rsidR="00000000" w:rsidDel="00000000" w:rsidP="00000000" w:rsidRDefault="00000000" w:rsidRPr="00000000" w14:paraId="0000005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H, </w:t>
      </w:r>
      <w:r w:rsidDel="00000000" w:rsidR="00000000" w:rsidRPr="00000000">
        <w:rPr>
          <w:rFonts w:ascii="Times New Roman" w:cs="Times New Roman" w:eastAsia="Times New Roman" w:hAnsi="Times New Roman"/>
          <w:i w:val="1"/>
          <w:sz w:val="24"/>
          <w:szCs w:val="24"/>
          <w:rtl w:val="0"/>
        </w:rPr>
        <w:t xml:space="preserve">Black's Law Dictionary Containing Definitions of the Terms and Phrases of American and English Jurisprudence</w:t>
      </w:r>
      <w:r w:rsidDel="00000000" w:rsidR="00000000" w:rsidRPr="00000000">
        <w:rPr>
          <w:rFonts w:ascii="Times New Roman" w:cs="Times New Roman" w:eastAsia="Times New Roman" w:hAnsi="Times New Roman"/>
          <w:sz w:val="24"/>
          <w:szCs w:val="24"/>
          <w:rtl w:val="0"/>
        </w:rPr>
        <w:t xml:space="preserve"> (West Pub Co 1933)</w:t>
      </w:r>
    </w:p>
    <w:p w:rsidR="00000000" w:rsidDel="00000000" w:rsidP="00000000" w:rsidRDefault="00000000" w:rsidRPr="00000000" w14:paraId="00000055">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Garner BH Black, </w:t>
      </w:r>
      <w:r w:rsidDel="00000000" w:rsidR="00000000" w:rsidRPr="00000000">
        <w:rPr>
          <w:rFonts w:ascii="Times New Roman" w:cs="Times New Roman" w:eastAsia="Times New Roman" w:hAnsi="Times New Roman"/>
          <w:i w:val="1"/>
          <w:sz w:val="24"/>
          <w:szCs w:val="24"/>
          <w:rtl w:val="0"/>
        </w:rPr>
        <w:t xml:space="preserve">Black's Law Dictionary</w:t>
      </w:r>
    </w:p>
    <w:p w:rsidR="00000000" w:rsidDel="00000000" w:rsidP="00000000" w:rsidRDefault="00000000" w:rsidRPr="00000000" w14:paraId="00000056">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Halsbury’s Laws of England</w:t>
      </w:r>
    </w:p>
    <w:p w:rsidR="00000000" w:rsidDel="00000000" w:rsidP="00000000" w:rsidRDefault="00000000" w:rsidRPr="00000000" w14:paraId="0000005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Chhablani S, </w:t>
      </w:r>
      <w:r w:rsidDel="00000000" w:rsidR="00000000" w:rsidRPr="00000000">
        <w:rPr>
          <w:rFonts w:ascii="Times New Roman" w:cs="Times New Roman" w:eastAsia="Times New Roman" w:hAnsi="Times New Roman"/>
          <w:i w:val="1"/>
          <w:sz w:val="24"/>
          <w:szCs w:val="24"/>
          <w:rtl w:val="0"/>
        </w:rPr>
        <w:t xml:space="preserve">Chronically Stricken: A Continuing Legacy Ineffective Assistance of Counsel</w:t>
      </w:r>
      <w:r w:rsidDel="00000000" w:rsidR="00000000" w:rsidRPr="00000000">
        <w:rPr>
          <w:rFonts w:ascii="Times New Roman" w:cs="Times New Roman" w:eastAsia="Times New Roman" w:hAnsi="Times New Roman"/>
          <w:sz w:val="24"/>
          <w:szCs w:val="24"/>
          <w:rtl w:val="0"/>
        </w:rPr>
        <w:t xml:space="preserve"> (Saint Louis University Public Law Review 2018)</w:t>
      </w:r>
    </w:p>
    <w:p w:rsidR="00000000" w:rsidDel="00000000" w:rsidP="00000000" w:rsidRDefault="00000000" w:rsidRPr="00000000" w14:paraId="0000005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Kakendi J, </w:t>
      </w:r>
      <w:r w:rsidDel="00000000" w:rsidR="00000000" w:rsidRPr="00000000">
        <w:rPr>
          <w:rFonts w:ascii="Times New Roman" w:cs="Times New Roman" w:eastAsia="Times New Roman" w:hAnsi="Times New Roman"/>
          <w:i w:val="1"/>
          <w:sz w:val="24"/>
          <w:szCs w:val="24"/>
          <w:rtl w:val="0"/>
        </w:rPr>
        <w:t xml:space="preserve">Ethical Duties of Trial Advocates</w:t>
      </w:r>
      <w:r w:rsidDel="00000000" w:rsidR="00000000" w:rsidRPr="00000000">
        <w:rPr>
          <w:rFonts w:ascii="Times New Roman" w:cs="Times New Roman" w:eastAsia="Times New Roman" w:hAnsi="Times New Roman"/>
          <w:sz w:val="24"/>
          <w:szCs w:val="24"/>
          <w:rtl w:val="0"/>
        </w:rPr>
        <w:t xml:space="preserve"> (2015)</w:t>
      </w:r>
    </w:p>
    <w:p w:rsidR="00000000" w:rsidDel="00000000" w:rsidP="00000000" w:rsidRDefault="00000000" w:rsidRPr="00000000" w14:paraId="0000005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Mbobu K, </w:t>
      </w:r>
      <w:r w:rsidDel="00000000" w:rsidR="00000000" w:rsidRPr="00000000">
        <w:rPr>
          <w:rFonts w:ascii="Times New Roman" w:cs="Times New Roman" w:eastAsia="Times New Roman" w:hAnsi="Times New Roman"/>
          <w:i w:val="1"/>
          <w:sz w:val="24"/>
          <w:szCs w:val="24"/>
          <w:rtl w:val="0"/>
        </w:rPr>
        <w:t xml:space="preserve">The Law And Practice Of Evidence In Kenya</w:t>
      </w:r>
      <w:r w:rsidDel="00000000" w:rsidR="00000000" w:rsidRPr="00000000">
        <w:rPr>
          <w:rFonts w:ascii="Times New Roman" w:cs="Times New Roman" w:eastAsia="Times New Roman" w:hAnsi="Times New Roman"/>
          <w:sz w:val="24"/>
          <w:szCs w:val="24"/>
          <w:rtl w:val="0"/>
        </w:rPr>
        <w:t xml:space="preserve"> (Law Africa Publishing (K) Ltd 2011)</w:t>
      </w:r>
    </w:p>
    <w:p w:rsidR="00000000" w:rsidDel="00000000" w:rsidP="00000000" w:rsidRDefault="00000000" w:rsidRPr="00000000" w14:paraId="0000005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Ojienda TJ Katarina, </w:t>
      </w:r>
      <w:r w:rsidDel="00000000" w:rsidR="00000000" w:rsidRPr="00000000">
        <w:rPr>
          <w:rFonts w:ascii="Times New Roman" w:cs="Times New Roman" w:eastAsia="Times New Roman" w:hAnsi="Times New Roman"/>
          <w:i w:val="1"/>
          <w:sz w:val="24"/>
          <w:szCs w:val="24"/>
          <w:rtl w:val="0"/>
        </w:rPr>
        <w:t xml:space="preserve">Professional Ethics</w:t>
      </w:r>
      <w:r w:rsidDel="00000000" w:rsidR="00000000" w:rsidRPr="00000000">
        <w:rPr>
          <w:rFonts w:ascii="Times New Roman" w:cs="Times New Roman" w:eastAsia="Times New Roman" w:hAnsi="Times New Roman"/>
          <w:sz w:val="24"/>
          <w:szCs w:val="24"/>
          <w:rtl w:val="0"/>
        </w:rPr>
        <w:t xml:space="preserve"> (Law Africa Publishers 2011)</w:t>
      </w:r>
    </w:p>
    <w:p w:rsidR="00000000" w:rsidDel="00000000" w:rsidP="00000000" w:rsidRDefault="00000000" w:rsidRPr="00000000" w14:paraId="0000005B">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CASES</w:t>
      </w:r>
    </w:p>
    <w:p w:rsidR="00000000" w:rsidDel="00000000" w:rsidP="00000000" w:rsidRDefault="00000000" w:rsidRPr="00000000" w14:paraId="0000005C">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Abraham v Justun </w:t>
      </w:r>
      <w:r w:rsidDel="00000000" w:rsidR="00000000" w:rsidRPr="00000000">
        <w:rPr>
          <w:rFonts w:ascii="Times New Roman" w:cs="Times New Roman" w:eastAsia="Times New Roman" w:hAnsi="Times New Roman"/>
          <w:sz w:val="24"/>
          <w:szCs w:val="24"/>
          <w:rtl w:val="0"/>
        </w:rPr>
        <w:t xml:space="preserve">(1963) 2 ALLER 401</w:t>
      </w:r>
      <w:r w:rsidDel="00000000" w:rsidR="00000000" w:rsidRPr="00000000">
        <w:rPr>
          <w:rtl w:val="0"/>
        </w:rPr>
      </w:r>
    </w:p>
    <w:p w:rsidR="00000000" w:rsidDel="00000000" w:rsidP="00000000" w:rsidRDefault="00000000" w:rsidRPr="00000000" w14:paraId="0000005D">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Ashmore v Corp of Lloyd’s </w:t>
      </w:r>
      <w:r w:rsidDel="00000000" w:rsidR="00000000" w:rsidRPr="00000000">
        <w:rPr>
          <w:rFonts w:ascii="Times New Roman" w:cs="Times New Roman" w:eastAsia="Times New Roman" w:hAnsi="Times New Roman"/>
          <w:sz w:val="24"/>
          <w:szCs w:val="24"/>
          <w:rtl w:val="0"/>
        </w:rPr>
        <w:t xml:space="preserve">(1992) 2 All ER 486</w:t>
      </w:r>
      <w:r w:rsidDel="00000000" w:rsidR="00000000" w:rsidRPr="00000000">
        <w:rPr>
          <w:rtl w:val="0"/>
        </w:rPr>
      </w:r>
    </w:p>
    <w:p w:rsidR="00000000" w:rsidDel="00000000" w:rsidP="00000000" w:rsidRDefault="00000000" w:rsidRPr="00000000" w14:paraId="0000005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Bliss v Shuman</w:t>
      </w:r>
      <w:r w:rsidDel="00000000" w:rsidR="00000000" w:rsidRPr="00000000">
        <w:rPr>
          <w:rFonts w:ascii="Times New Roman" w:cs="Times New Roman" w:eastAsia="Times New Roman" w:hAnsi="Times New Roman"/>
          <w:sz w:val="24"/>
          <w:szCs w:val="24"/>
          <w:rtl w:val="0"/>
        </w:rPr>
        <w:t xml:space="preserve"> [1947].</w:t>
      </w:r>
    </w:p>
    <w:p w:rsidR="00000000" w:rsidDel="00000000" w:rsidP="00000000" w:rsidRDefault="00000000" w:rsidRPr="00000000" w14:paraId="0000005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Ger v Marmanet Forest Co-operative and Credit Society</w:t>
      </w:r>
      <w:r w:rsidDel="00000000" w:rsidR="00000000" w:rsidRPr="00000000">
        <w:rPr>
          <w:rFonts w:ascii="Times New Roman" w:cs="Times New Roman" w:eastAsia="Times New Roman" w:hAnsi="Times New Roman"/>
          <w:sz w:val="24"/>
          <w:szCs w:val="24"/>
          <w:rtl w:val="0"/>
        </w:rPr>
        <w:t xml:space="preserve"> [1987] KLR 543</w:t>
      </w:r>
    </w:p>
    <w:p w:rsidR="00000000" w:rsidDel="00000000" w:rsidP="00000000" w:rsidRDefault="00000000" w:rsidRPr="00000000" w14:paraId="00000060">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Ginnarelli v Wraith </w:t>
      </w:r>
      <w:r w:rsidDel="00000000" w:rsidR="00000000" w:rsidRPr="00000000">
        <w:rPr>
          <w:rFonts w:ascii="Times New Roman" w:cs="Times New Roman" w:eastAsia="Times New Roman" w:hAnsi="Times New Roman"/>
          <w:sz w:val="24"/>
          <w:szCs w:val="24"/>
          <w:rtl w:val="0"/>
        </w:rPr>
        <w:t xml:space="preserve">(1988)</w:t>
      </w:r>
      <w:r w:rsidDel="00000000" w:rsidR="00000000" w:rsidRPr="00000000">
        <w:rPr>
          <w:rtl w:val="0"/>
        </w:rPr>
      </w:r>
    </w:p>
    <w:p w:rsidR="00000000" w:rsidDel="00000000" w:rsidP="00000000" w:rsidRDefault="00000000" w:rsidRPr="00000000" w14:paraId="0000006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Kinyanjui v Republic</w:t>
      </w:r>
      <w:r w:rsidDel="00000000" w:rsidR="00000000" w:rsidRPr="00000000">
        <w:rPr>
          <w:rFonts w:ascii="Times New Roman" w:cs="Times New Roman" w:eastAsia="Times New Roman" w:hAnsi="Times New Roman"/>
          <w:sz w:val="24"/>
          <w:szCs w:val="24"/>
          <w:rtl w:val="0"/>
        </w:rPr>
        <w:t xml:space="preserve"> (2004) 2 KLR 364</w:t>
      </w:r>
    </w:p>
    <w:p w:rsidR="00000000" w:rsidDel="00000000" w:rsidP="00000000" w:rsidRDefault="00000000" w:rsidRPr="00000000" w14:paraId="00000062">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Legal Services Board v Foster </w:t>
      </w:r>
      <w:r w:rsidDel="00000000" w:rsidR="00000000" w:rsidRPr="00000000">
        <w:rPr>
          <w:rFonts w:ascii="Times New Roman" w:cs="Times New Roman" w:eastAsia="Times New Roman" w:hAnsi="Times New Roman"/>
          <w:sz w:val="24"/>
          <w:szCs w:val="24"/>
          <w:rtl w:val="0"/>
        </w:rPr>
        <w:t xml:space="preserve">(2012) 2 VSC 633</w:t>
      </w:r>
      <w:r w:rsidDel="00000000" w:rsidR="00000000" w:rsidRPr="00000000">
        <w:rPr>
          <w:rtl w:val="0"/>
        </w:rPr>
      </w:r>
    </w:p>
    <w:p w:rsidR="00000000" w:rsidDel="00000000" w:rsidP="00000000" w:rsidRDefault="00000000" w:rsidRPr="00000000" w14:paraId="0000006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Murai v Wainaina</w:t>
      </w:r>
      <w:r w:rsidDel="00000000" w:rsidR="00000000" w:rsidRPr="00000000">
        <w:rPr>
          <w:rFonts w:ascii="Times New Roman" w:cs="Times New Roman" w:eastAsia="Times New Roman" w:hAnsi="Times New Roman"/>
          <w:sz w:val="24"/>
          <w:szCs w:val="24"/>
          <w:rtl w:val="0"/>
        </w:rPr>
        <w:t xml:space="preserve"> [1982] KLR 38.</w:t>
      </w:r>
    </w:p>
    <w:p w:rsidR="00000000" w:rsidDel="00000000" w:rsidP="00000000" w:rsidRDefault="00000000" w:rsidRPr="00000000" w14:paraId="0000006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Mwangi Mbothu and others v Gachira Waitimu and others [1984] Court of Appeal, </w:t>
      </w:r>
      <w:r w:rsidDel="00000000" w:rsidR="00000000" w:rsidRPr="00000000">
        <w:rPr>
          <w:rFonts w:ascii="Times New Roman" w:cs="Times New Roman" w:eastAsia="Times New Roman" w:hAnsi="Times New Roman"/>
          <w:sz w:val="24"/>
          <w:szCs w:val="24"/>
          <w:rtl w:val="0"/>
        </w:rPr>
        <w:t xml:space="preserve">Civil Appeal no 22 (Court of Appeal)</w:t>
      </w:r>
    </w:p>
    <w:p w:rsidR="00000000" w:rsidDel="00000000" w:rsidP="00000000" w:rsidRDefault="00000000" w:rsidRPr="00000000" w14:paraId="0000006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 Eldridge</w:t>
      </w:r>
      <w:r w:rsidDel="00000000" w:rsidR="00000000" w:rsidRPr="00000000">
        <w:rPr>
          <w:rFonts w:ascii="Times New Roman" w:cs="Times New Roman" w:eastAsia="Times New Roman" w:hAnsi="Times New Roman"/>
          <w:sz w:val="24"/>
          <w:szCs w:val="24"/>
          <w:rtl w:val="0"/>
        </w:rPr>
        <w:t xml:space="preserve"> 82 NY 161 (1880)</w:t>
      </w:r>
    </w:p>
    <w:p w:rsidR="00000000" w:rsidDel="00000000" w:rsidP="00000000" w:rsidRDefault="00000000" w:rsidRPr="00000000" w14:paraId="0000006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 stratosphere Corp. Securities Litigation</w:t>
      </w:r>
      <w:r w:rsidDel="00000000" w:rsidR="00000000" w:rsidRPr="00000000">
        <w:rPr>
          <w:rFonts w:ascii="Times New Roman" w:cs="Times New Roman" w:eastAsia="Times New Roman" w:hAnsi="Times New Roman"/>
          <w:sz w:val="24"/>
          <w:szCs w:val="24"/>
          <w:rtl w:val="0"/>
        </w:rPr>
        <w:t xml:space="preserve">. (1998).  </w:t>
      </w:r>
    </w:p>
    <w:p w:rsidR="00000000" w:rsidDel="00000000" w:rsidP="00000000" w:rsidRDefault="00000000" w:rsidRPr="00000000" w14:paraId="0000006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Rinehart v Rinehart </w:t>
      </w:r>
      <w:r w:rsidDel="00000000" w:rsidR="00000000" w:rsidRPr="00000000">
        <w:rPr>
          <w:rFonts w:ascii="Times New Roman" w:cs="Times New Roman" w:eastAsia="Times New Roman" w:hAnsi="Times New Roman"/>
          <w:sz w:val="24"/>
          <w:szCs w:val="24"/>
          <w:rtl w:val="0"/>
        </w:rPr>
        <w:t xml:space="preserve">(2015) 2 FCA 339</w:t>
      </w:r>
    </w:p>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Rondell v Worsely</w:t>
      </w:r>
      <w:r w:rsidDel="00000000" w:rsidR="00000000" w:rsidRPr="00000000">
        <w:rPr>
          <w:rFonts w:ascii="Times New Roman" w:cs="Times New Roman" w:eastAsia="Times New Roman" w:hAnsi="Times New Roman"/>
          <w:sz w:val="24"/>
          <w:szCs w:val="24"/>
          <w:rtl w:val="0"/>
        </w:rPr>
        <w:t xml:space="preserve"> (1969) 3 WLR 1666</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 v Johnson</w:t>
      </w:r>
      <w:r w:rsidDel="00000000" w:rsidR="00000000" w:rsidRPr="00000000">
        <w:rPr>
          <w:rFonts w:ascii="Times New Roman" w:cs="Times New Roman" w:eastAsia="Times New Roman" w:hAnsi="Times New Roman"/>
          <w:sz w:val="24"/>
          <w:szCs w:val="24"/>
          <w:rtl w:val="0"/>
        </w:rPr>
        <w:t xml:space="preserve"> 487 2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135 5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CR</w:t>
      </w:r>
    </w:p>
    <w:p w:rsidR="00000000" w:rsidDel="00000000" w:rsidP="00000000" w:rsidRDefault="00000000" w:rsidRPr="00000000" w14:paraId="0000006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Bryan A Garner and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Rondell v Worsely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(1969) 3 WLR 1666.</w:t>
      </w:r>
    </w:p>
  </w:footnote>
  <w:footnote w:id="2">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55 , Advocates Act, CAP 16 </w:t>
      </w:r>
    </w:p>
  </w:footnote>
  <w:footnote w:id="3">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Kakendi J,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Ethical Duties Of Trial Advocates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w:t>
      </w:r>
    </w:p>
  </w:footnote>
  <w:footnote w:id="4">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Abraham v Justun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2 ALLER 401.</w:t>
      </w:r>
    </w:p>
  </w:footnote>
  <w:footnote w:id="5">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Mwangi Mbothu and others v Gachira Waitimu and others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[1984] Court of Appeal, Civil Appeal no 22 (Court of Appeal).</w:t>
      </w:r>
    </w:p>
  </w:footnote>
  <w:footnote w:id="6">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Legal Services Board v Foster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2 VSC 633.</w:t>
      </w:r>
    </w:p>
  </w:footnote>
  <w:footnote w:id="7">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Rinehart v Rinehart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2 FCA 339.</w:t>
      </w:r>
    </w:p>
  </w:footnote>
  <w:footnote w:id="8">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Ashmore v Corp of Lloyd’s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2 All ER 486.</w:t>
      </w:r>
    </w:p>
  </w:footnote>
  <w:footnote w:id="9">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Ginnarelli v Wraith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(1988).</w:t>
      </w:r>
    </w:p>
  </w:footnote>
  <w:footnote w:id="10">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Ex parte Bread Manufactures Ltd; Re Truth &amp; Sportsman Ltd [1937] SR NWS 242. </w:t>
      </w:r>
    </w:p>
  </w:footnote>
  <w:footnote w:id="11">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48, Constitution of Kenya, 2010.</w:t>
      </w:r>
    </w:p>
  </w:footnote>
  <w:footnote w:id="12">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Section 134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Act, Cap 80 of the Laws of Kenya.</w:t>
      </w:r>
    </w:p>
  </w:footnote>
  <w:footnote w:id="13">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at s. 136.</w:t>
      </w:r>
    </w:p>
  </w:footnote>
  <w:footnote w:id="14">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Kinyanjui v Republic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2 KLR 364.</w:t>
      </w:r>
    </w:p>
  </w:footnote>
  <w:footnote w:id="15">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 Ojienda and Juma Katarina,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Professional Ethics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 Kenyan Perspective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(Law Africa Publishers 2011).</w:t>
      </w:r>
    </w:p>
  </w:footnote>
  <w:footnote w:id="16">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Sanjay K. Chhablani,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Chronically Stricken: A Continuing Legacy Ineffective Assistance of Counsel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(Saint Louis University Public Law Review 2018).</w:t>
      </w:r>
    </w:p>
  </w:footnote>
  <w:footnote w:id="17">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Ger v Marmanet Forest Co-operative and Credit Society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KLR 543.</w:t>
      </w:r>
    </w:p>
  </w:footnote>
  <w:footnote w:id="18">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Murai v Wainaina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[1982] KLR 38.</w:t>
      </w:r>
    </w:p>
  </w:footnote>
  <w:footnote w:id="19">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Gichiri v Republic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KLR 1.</w:t>
      </w:r>
    </w:p>
  </w:footnote>
  <w:footnote w:id="20">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Halsbury’s Laws of England, 3rd ed. 649 par 1181.</w:t>
      </w:r>
    </w:p>
  </w:footnote>
  <w:footnote w:id="21">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Sir. William Boulton, A guide to conduct and etiquette at the bar, (1975) 69.</w:t>
      </w:r>
    </w:p>
  </w:footnote>
  <w:footnote w:id="22">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 Ojienda and Juma Katarina,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Professional Ethics, A Kenyan Perspective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(Law Africa Publishers 2011) 85.</w:t>
      </w:r>
    </w:p>
  </w:footnote>
  <w:footnote w:id="23">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Bryan A Garner and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w:t>
      </w:r>
      <w:r w:rsidDel="00000000" w:rsidR="00000000" w:rsidRPr="00000000">
        <w:rPr>
          <w:rtl w:val="0"/>
        </w:rPr>
      </w:r>
    </w:p>
  </w:footnote>
  <w:footnote w:id="24">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Bliss v Shuman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[1947].</w:t>
      </w:r>
    </w:p>
  </w:footnote>
  <w:footnote w:id="25">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Skinner v Bible Soc, 92 Wis. 209, Oo. N. W. 1037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6">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Greenough v Eccles 5 O.B. (N.S.) 801.</w:t>
      </w:r>
      <w:r w:rsidDel="00000000" w:rsidR="00000000" w:rsidRPr="00000000">
        <w:rPr>
          <w:rtl w:val="0"/>
        </w:rPr>
      </w:r>
    </w:p>
  </w:footnote>
  <w:footnote w:id="27">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 Containing Definitions of the Terms and Phrases of American and English Jurisprudence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(West Pub Co 1933).</w:t>
      </w:r>
    </w:p>
  </w:footnote>
  <w:footnote w:id="28">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 125(1 &amp;2) CAP 80 Laws of Kenya.</w:t>
      </w:r>
    </w:p>
  </w:footnote>
  <w:footnote w:id="29">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Maugham v Hubbard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[1828] 8 B&amp;C 14.</w:t>
      </w:r>
    </w:p>
  </w:footnote>
  <w:footnote w:id="30">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Kyalo Mbobu,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Law And Practice Of Evidence In Kenya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(Law Africa Publishing (K) Ltd 2011).</w:t>
      </w:r>
    </w:p>
  </w:footnote>
  <w:footnote w:id="31">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 stratosphere Corp. Securities Litigation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(1998).  </w:t>
      </w:r>
    </w:p>
  </w:footnote>
  <w:footnote w:id="32">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 v Johnson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487 2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135 5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w:t>
      </w:r>
    </w:p>
  </w:footnote>
  <w:footnote w:id="33">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 Eldridge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82 NY 161 (1880)</w:t>
      </w:r>
    </w:p>
  </w:footnote>
  <w:footnote w:id="34">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Evidence Act Kenya</w:t>
      </w:r>
    </w:p>
  </w:footnote>
  <w:footnote w:id="35">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Bar Standards Board - Bar Standards Board'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Barstandardsboard.org.uk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http://www.barstandardsboard.org.uk</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14 February 2018.</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3579B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442F1"/>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D1FB2"/>
    <w:pPr>
      <w:ind w:left="720"/>
      <w:contextualSpacing w:val="1"/>
    </w:pPr>
  </w:style>
  <w:style w:type="paragraph" w:styleId="EndnoteText">
    <w:name w:val="endnote text"/>
    <w:basedOn w:val="Normal"/>
    <w:link w:val="EndnoteTextChar"/>
    <w:uiPriority w:val="99"/>
    <w:semiHidden w:val="1"/>
    <w:unhideWhenUsed w:val="1"/>
    <w:rsid w:val="00C57790"/>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C57790"/>
    <w:rPr>
      <w:sz w:val="20"/>
      <w:szCs w:val="20"/>
    </w:rPr>
  </w:style>
  <w:style w:type="character" w:styleId="EndnoteReference">
    <w:name w:val="endnote reference"/>
    <w:basedOn w:val="DefaultParagraphFont"/>
    <w:uiPriority w:val="99"/>
    <w:semiHidden w:val="1"/>
    <w:unhideWhenUsed w:val="1"/>
    <w:rsid w:val="00C57790"/>
    <w:rPr>
      <w:vertAlign w:val="superscript"/>
    </w:rPr>
  </w:style>
  <w:style w:type="paragraph" w:styleId="FootnoteText">
    <w:name w:val="footnote text"/>
    <w:basedOn w:val="Normal"/>
    <w:link w:val="FootnoteTextChar"/>
    <w:uiPriority w:val="99"/>
    <w:unhideWhenUsed w:val="1"/>
    <w:rsid w:val="00891507"/>
    <w:pPr>
      <w:spacing w:after="0" w:line="240" w:lineRule="auto"/>
    </w:pPr>
    <w:rPr>
      <w:sz w:val="20"/>
      <w:szCs w:val="20"/>
    </w:rPr>
  </w:style>
  <w:style w:type="character" w:styleId="FootnoteTextChar" w:customStyle="1">
    <w:name w:val="Footnote Text Char"/>
    <w:basedOn w:val="DefaultParagraphFont"/>
    <w:link w:val="FootnoteText"/>
    <w:uiPriority w:val="99"/>
    <w:rsid w:val="00891507"/>
    <w:rPr>
      <w:sz w:val="20"/>
      <w:szCs w:val="20"/>
    </w:rPr>
  </w:style>
  <w:style w:type="character" w:styleId="FootnoteReference">
    <w:name w:val="footnote reference"/>
    <w:basedOn w:val="DefaultParagraphFont"/>
    <w:uiPriority w:val="99"/>
    <w:unhideWhenUsed w:val="1"/>
    <w:rsid w:val="00891507"/>
    <w:rPr>
      <w:vertAlign w:val="superscript"/>
    </w:rPr>
  </w:style>
  <w:style w:type="character" w:styleId="Hyperlink">
    <w:name w:val="Hyperlink"/>
    <w:basedOn w:val="DefaultParagraphFont"/>
    <w:uiPriority w:val="99"/>
    <w:unhideWhenUsed w:val="1"/>
    <w:rsid w:val="00E30014"/>
    <w:rPr>
      <w:color w:val="0000ff" w:themeColor="hyperlink"/>
      <w:u w:val="single"/>
    </w:rPr>
  </w:style>
  <w:style w:type="character" w:styleId="Heading1Char" w:customStyle="1">
    <w:name w:val="Heading 1 Char"/>
    <w:basedOn w:val="DefaultParagraphFont"/>
    <w:link w:val="Heading1"/>
    <w:uiPriority w:val="9"/>
    <w:rsid w:val="003579B9"/>
    <w:rPr>
      <w:rFonts w:asciiTheme="majorHAnsi" w:cstheme="majorBidi" w:eastAsiaTheme="majorEastAsia" w:hAnsiTheme="majorHAnsi"/>
      <w:b w:val="1"/>
      <w:bCs w:val="1"/>
      <w:color w:val="365f91" w:themeColor="accent1" w:themeShade="0000BF"/>
      <w:sz w:val="28"/>
      <w:szCs w:val="28"/>
    </w:rPr>
  </w:style>
  <w:style w:type="paragraph" w:styleId="Title">
    <w:name w:val="Title"/>
    <w:basedOn w:val="Normal"/>
    <w:next w:val="Normal"/>
    <w:link w:val="TitleChar"/>
    <w:uiPriority w:val="10"/>
    <w:qFormat w:val="1"/>
    <w:rsid w:val="0039319B"/>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39319B"/>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8A548A"/>
    <w:pPr>
      <w:tabs>
        <w:tab w:val="center" w:pos="4513"/>
        <w:tab w:val="right" w:pos="9026"/>
      </w:tabs>
      <w:spacing w:after="0" w:line="240" w:lineRule="auto"/>
    </w:pPr>
  </w:style>
  <w:style w:type="character" w:styleId="HeaderChar" w:customStyle="1">
    <w:name w:val="Header Char"/>
    <w:basedOn w:val="DefaultParagraphFont"/>
    <w:link w:val="Header"/>
    <w:uiPriority w:val="99"/>
    <w:rsid w:val="008A548A"/>
  </w:style>
  <w:style w:type="paragraph" w:styleId="Footer">
    <w:name w:val="footer"/>
    <w:basedOn w:val="Normal"/>
    <w:link w:val="FooterChar"/>
    <w:uiPriority w:val="99"/>
    <w:unhideWhenUsed w:val="1"/>
    <w:rsid w:val="008A548A"/>
    <w:pPr>
      <w:tabs>
        <w:tab w:val="center" w:pos="4513"/>
        <w:tab w:val="right" w:pos="9026"/>
      </w:tabs>
      <w:spacing w:after="0" w:line="240" w:lineRule="auto"/>
    </w:pPr>
  </w:style>
  <w:style w:type="character" w:styleId="FooterChar" w:customStyle="1">
    <w:name w:val="Footer Char"/>
    <w:basedOn w:val="DefaultParagraphFont"/>
    <w:link w:val="Footer"/>
    <w:uiPriority w:val="99"/>
    <w:rsid w:val="008A548A"/>
  </w:style>
  <w:style w:type="character" w:styleId="Heading2Char" w:customStyle="1">
    <w:name w:val="Heading 2 Char"/>
    <w:basedOn w:val="DefaultParagraphFont"/>
    <w:link w:val="Heading2"/>
    <w:uiPriority w:val="9"/>
    <w:rsid w:val="00F442F1"/>
    <w:rPr>
      <w:rFonts w:asciiTheme="majorHAnsi" w:cstheme="majorBidi" w:eastAsiaTheme="majorEastAsia" w:hAnsiTheme="majorHAnsi"/>
      <w:b w:val="1"/>
      <w:bCs w:val="1"/>
      <w:color w:val="4f81bd" w:themeColor="accent1"/>
      <w:sz w:val="26"/>
      <w:szCs w:val="26"/>
    </w:rPr>
  </w:style>
  <w:style w:type="paragraph" w:styleId="TOCHeading">
    <w:name w:val="TOC Heading"/>
    <w:basedOn w:val="Heading1"/>
    <w:next w:val="Normal"/>
    <w:uiPriority w:val="39"/>
    <w:semiHidden w:val="1"/>
    <w:unhideWhenUsed w:val="1"/>
    <w:qFormat w:val="1"/>
    <w:rsid w:val="00F442F1"/>
    <w:pPr>
      <w:outlineLvl w:val="9"/>
    </w:pPr>
    <w:rPr>
      <w:lang w:eastAsia="ja-JP" w:val="en-US"/>
    </w:rPr>
  </w:style>
  <w:style w:type="paragraph" w:styleId="TOC1">
    <w:name w:val="toc 1"/>
    <w:basedOn w:val="Normal"/>
    <w:next w:val="Normal"/>
    <w:autoRedefine w:val="1"/>
    <w:uiPriority w:val="39"/>
    <w:unhideWhenUsed w:val="1"/>
    <w:rsid w:val="00F442F1"/>
    <w:pPr>
      <w:spacing w:after="100"/>
    </w:pPr>
  </w:style>
  <w:style w:type="paragraph" w:styleId="TOC2">
    <w:name w:val="toc 2"/>
    <w:basedOn w:val="Normal"/>
    <w:next w:val="Normal"/>
    <w:autoRedefine w:val="1"/>
    <w:uiPriority w:val="39"/>
    <w:unhideWhenUsed w:val="1"/>
    <w:rsid w:val="00F442F1"/>
    <w:pPr>
      <w:spacing w:after="100"/>
      <w:ind w:left="220"/>
    </w:pPr>
  </w:style>
  <w:style w:type="paragraph" w:styleId="BalloonText">
    <w:name w:val="Balloon Text"/>
    <w:basedOn w:val="Normal"/>
    <w:link w:val="BalloonTextChar"/>
    <w:uiPriority w:val="99"/>
    <w:semiHidden w:val="1"/>
    <w:unhideWhenUsed w:val="1"/>
    <w:rsid w:val="00F442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42F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barstandardsboard.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k0kjSECVfwOLqPIftpar95SF2Q==">AMUW2mXgIbi2zabLdunfGX5NF26E/bE+rx66cHJFHzC2MxAf9yzI9jbrzQlpg3KALeZ4QbaCdDwJopTUL8WQmIcWe4VbPkf2mmZHCT5erQZ0HFRHTwX/ODHOmY0TNDJfvnSdOC5EvH4BJ43v6ZLzbcxXkTNrsTyRZc22sBRKR8BayjyfuPxRfYwZ4so+S4k74NdRQyVPRyAN1E7PzsJV7Rw6VSD5J8Pit4dqGjCRg/OPdSohK2XdpFYgE+6042r/QkBjnTI6nOrdRmnu4ZtwD80SdFJuGPQOCfv3ejnn7Gj3xTbk9T937yn2O7wH3ZklKFmrhu6c0f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2018-02-22T16:37:00Z</dcterms:created>
  <dc:creator>hp</dc:creator>
</cp:coreProperties>
</file>