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THE PLACE OF INTERNATIONAL LAW IN TRIAL ADVOCACY</w:t>
      </w:r>
    </w:p>
    <w:p w:rsidR="00000000" w:rsidDel="00000000" w:rsidP="00000000" w:rsidRDefault="00000000" w:rsidRPr="00000000" w14:paraId="0000000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 to the promulgation of the 2010 Constitution of Kenya, international law had no direct application in the Kenyan legal system.  At that point in time, the country had in place the dualist approach where the doctrine of transformation played a critical role in determination of matters before courts of law</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As such, international law could only be invoked if it had been domesticated through an act of parliament. Hierarchically speaking, this meant that once the country had ratified a treaty and domesticated the said treaty, it held the same level of importance as domestic legislation as such would be amended the same way local legislation did. Due to this, trial advocates avoided invoking international law in courts of law.</w:t>
      </w:r>
    </w:p>
    <w:p w:rsidR="00000000" w:rsidDel="00000000" w:rsidP="00000000" w:rsidRDefault="00000000" w:rsidRPr="00000000" w14:paraId="0000000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such was in the matter of </w:t>
      </w:r>
      <w:r w:rsidDel="00000000" w:rsidR="00000000" w:rsidRPr="00000000">
        <w:rPr>
          <w:rFonts w:ascii="Times New Roman" w:cs="Times New Roman" w:eastAsia="Times New Roman" w:hAnsi="Times New Roman"/>
          <w:b w:val="1"/>
          <w:i w:val="1"/>
          <w:sz w:val="24"/>
          <w:szCs w:val="24"/>
          <w:highlight w:val="yellow"/>
          <w:rtl w:val="0"/>
        </w:rPr>
        <w:t xml:space="preserve">Okunda V The Republic</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The court was of the opinion that the Constitution of Kenya was the only legal instrument that created the Republic of Kenya and founded all machinery of government. Further, in </w:t>
      </w:r>
      <w:r w:rsidDel="00000000" w:rsidR="00000000" w:rsidRPr="00000000">
        <w:rPr>
          <w:rFonts w:ascii="Times New Roman" w:cs="Times New Roman" w:eastAsia="Times New Roman" w:hAnsi="Times New Roman"/>
          <w:b w:val="1"/>
          <w:i w:val="1"/>
          <w:sz w:val="24"/>
          <w:szCs w:val="24"/>
          <w:highlight w:val="yellow"/>
          <w:rtl w:val="0"/>
        </w:rPr>
        <w:t xml:space="preserve">Pattni and another V The Republic</w:t>
      </w:r>
      <w:r w:rsidDel="00000000" w:rsidR="00000000" w:rsidRPr="00000000">
        <w:rPr>
          <w:rFonts w:ascii="Times New Roman" w:cs="Times New Roman" w:eastAsia="Times New Roman" w:hAnsi="Times New Roman"/>
          <w:sz w:val="24"/>
          <w:szCs w:val="24"/>
          <w:rtl w:val="0"/>
        </w:rPr>
        <w:t xml:space="preserve">, the Applicants alleged infringement of various fundamental rights and freedoms under section 65(2) 84(1) of the 1963 Kenyan Constitution as read together with other provisions, including the Universal Declaration of Human Rights and the African Charter of Human and People’s Rights. The court held that the international law norms were of persuasive value and not binding until their incorporation into written laws of Kenya.</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MONIST APPROACH</w:t>
      </w:r>
    </w:p>
    <w:p w:rsidR="00000000" w:rsidDel="00000000" w:rsidP="00000000" w:rsidRDefault="00000000" w:rsidRPr="00000000" w14:paraId="0000000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2010 Constitution of Kenya Article 2(5) states that ‘</w:t>
      </w:r>
      <w:r w:rsidDel="00000000" w:rsidR="00000000" w:rsidRPr="00000000">
        <w:rPr>
          <w:rFonts w:ascii="Times New Roman" w:cs="Times New Roman" w:eastAsia="Times New Roman" w:hAnsi="Times New Roman"/>
          <w:i w:val="1"/>
          <w:sz w:val="24"/>
          <w:szCs w:val="24"/>
          <w:rtl w:val="0"/>
        </w:rPr>
        <w:t xml:space="preserve">general rules of International law shall form part of the laws of Kenya</w:t>
      </w:r>
      <w:r w:rsidDel="00000000" w:rsidR="00000000" w:rsidRPr="00000000">
        <w:rPr>
          <w:rFonts w:ascii="Times New Roman" w:cs="Times New Roman" w:eastAsia="Times New Roman" w:hAnsi="Times New Roman"/>
          <w:sz w:val="24"/>
          <w:szCs w:val="24"/>
          <w:rtl w:val="0"/>
        </w:rPr>
        <w:t xml:space="preserve">’. On the face of it one may state that Kenya is a Monist state in that international law may apply without any domestication. </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this theory which was propagated by Hans Kelsen, it is stated that both international law and domestic law form part of a single universal legal system. He further suggested that international law is superior to domestic law and therefore prevails in case of conflict between the two.</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example of relationship between the two is encompassed in </w:t>
      </w:r>
      <w:r w:rsidDel="00000000" w:rsidR="00000000" w:rsidRPr="00000000">
        <w:rPr>
          <w:rFonts w:ascii="Times New Roman" w:cs="Times New Roman" w:eastAsia="Times New Roman" w:hAnsi="Times New Roman"/>
          <w:b w:val="1"/>
          <w:i w:val="1"/>
          <w:sz w:val="24"/>
          <w:szCs w:val="24"/>
          <w:rtl w:val="0"/>
        </w:rPr>
        <w:t xml:space="preserve">Re: The Matter of Zipporah Wambui Mathara</w:t>
      </w:r>
      <w:r w:rsidDel="00000000" w:rsidR="00000000" w:rsidRPr="00000000">
        <w:rPr>
          <w:rFonts w:ascii="Times New Roman" w:cs="Times New Roman" w:eastAsia="Times New Roman" w:hAnsi="Times New Roman"/>
          <w:b w:val="1"/>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 where the petitioner was jailed due to failure to pay civil debt and it was held that an order of imprisonment in civil jail is meant to punish, humiliate and subject the debtor to shame and indignity due to failure to pay a civil debt and goes against the ICCPR which promotes freedom of movement and pursuing economic, social and cultural development.</w:t>
      </w:r>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This shows that the court took into consideration this international instrument and recognized that if forms part of the laws of Kenya. </w:t>
      </w:r>
    </w:p>
    <w:p w:rsidR="00000000" w:rsidDel="00000000" w:rsidP="00000000" w:rsidRDefault="00000000" w:rsidRPr="00000000" w14:paraId="00000009">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DUALIST APPROACH</w:t>
      </w:r>
    </w:p>
    <w:p w:rsidR="00000000" w:rsidDel="00000000" w:rsidP="00000000" w:rsidRDefault="00000000" w:rsidRPr="00000000" w14:paraId="0000000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2(6) reiterates that treaties and conventions ratified by the state shall form part of the laws of Kenya. This brings to question whether in fact Kenya is still a Dualist state.</w:t>
      </w:r>
    </w:p>
    <w:p w:rsidR="00000000" w:rsidDel="00000000" w:rsidP="00000000" w:rsidRDefault="00000000" w:rsidRPr="00000000" w14:paraId="0000000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Dualist theory presumes that international law and domestic law are separate legal systems</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neither legal system has the power to change rules of the other. There is no incorporation unless and until it is done by a specific act of the legislature. In case of a conflict between international law and national law, the dualist would assume that a national court would apply national law, or at least that it is for the national system to decide which rule is to prevail.</w:t>
      </w:r>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various critics regarding this theory. To begin with, the doctrine is viewed as an obstacle to application of international law as states can choose to ratify treaties that bestow benefits on them leaving the others. Secondly, that by necessitating the process of statutory incorporation treaties that would otherwise be of great help to citizens. </w:t>
      </w:r>
    </w:p>
    <w:p w:rsidR="00000000" w:rsidDel="00000000" w:rsidP="00000000" w:rsidRDefault="00000000" w:rsidRPr="00000000" w14:paraId="0000000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IS KENYA A MONIST OR DUALIST STATE</w:t>
      </w:r>
    </w:p>
    <w:p w:rsidR="00000000" w:rsidDel="00000000" w:rsidP="00000000" w:rsidRDefault="00000000" w:rsidRPr="00000000" w14:paraId="00000010">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promulgation of the new constitution brought an ease in invoking international law by trial advocates in courts of law</w:t>
      </w:r>
      <w:r w:rsidDel="00000000" w:rsidR="00000000" w:rsidRPr="00000000">
        <w:rPr>
          <w:rFonts w:ascii="Times New Roman" w:cs="Times New Roman" w:eastAsia="Times New Roman" w:hAnsi="Times New Roman"/>
          <w:sz w:val="24"/>
          <w:szCs w:val="24"/>
          <w:vertAlign w:val="superscript"/>
        </w:rPr>
        <w:footnoteReference w:customMarkFollows="0" w:id="8"/>
      </w:r>
      <w:r w:rsidDel="00000000" w:rsidR="00000000" w:rsidRPr="00000000">
        <w:rPr>
          <w:rFonts w:ascii="Times New Roman" w:cs="Times New Roman" w:eastAsia="Times New Roman" w:hAnsi="Times New Roman"/>
          <w:sz w:val="24"/>
          <w:szCs w:val="24"/>
          <w:rtl w:val="0"/>
        </w:rPr>
        <w:t xml:space="preserve">. This has since seen a shift from the doctrine of transformation to the doctrine of incorporation. Justice Koome J confirmed this in </w:t>
      </w:r>
      <w:r w:rsidDel="00000000" w:rsidR="00000000" w:rsidRPr="00000000">
        <w:rPr>
          <w:rFonts w:ascii="Times New Roman" w:cs="Times New Roman" w:eastAsia="Times New Roman" w:hAnsi="Times New Roman"/>
          <w:b w:val="1"/>
          <w:i w:val="1"/>
          <w:sz w:val="24"/>
          <w:szCs w:val="24"/>
          <w:rtl w:val="0"/>
        </w:rPr>
        <w:t xml:space="preserve">The matter of</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i w:val="1"/>
          <w:sz w:val="24"/>
          <w:szCs w:val="24"/>
          <w:rtl w:val="0"/>
        </w:rPr>
        <w:t xml:space="preserve">Zipporah Wambui Mathara</w:t>
      </w:r>
      <w:r w:rsidDel="00000000" w:rsidR="00000000" w:rsidRPr="00000000">
        <w:rPr>
          <w:rFonts w:ascii="Times New Roman" w:cs="Times New Roman" w:eastAsia="Times New Roman" w:hAnsi="Times New Roman"/>
          <w:b w:val="1"/>
          <w:i w:val="1"/>
          <w:sz w:val="24"/>
          <w:szCs w:val="24"/>
          <w:vertAlign w:val="superscript"/>
        </w:rPr>
        <w:footnoteReference w:customMarkFollows="0" w:id="9"/>
      </w:r>
      <w:r w:rsidDel="00000000" w:rsidR="00000000" w:rsidRPr="00000000">
        <w:rPr>
          <w:rFonts w:ascii="Times New Roman" w:cs="Times New Roman" w:eastAsia="Times New Roman" w:hAnsi="Times New Roman"/>
          <w:sz w:val="24"/>
          <w:szCs w:val="24"/>
          <w:rtl w:val="0"/>
        </w:rPr>
        <w:t xml:space="preserve"> where she held that article 2(6) imported the provisions of international treaties and conventions that Kenya has ratified into Kenyan law as part of the sources of Kenyan law. Further, in </w:t>
      </w:r>
      <w:r w:rsidDel="00000000" w:rsidR="00000000" w:rsidRPr="00000000">
        <w:rPr>
          <w:rFonts w:ascii="Times New Roman" w:cs="Times New Roman" w:eastAsia="Times New Roman" w:hAnsi="Times New Roman"/>
          <w:i w:val="1"/>
          <w:sz w:val="24"/>
          <w:szCs w:val="24"/>
          <w:rtl w:val="0"/>
        </w:rPr>
        <w:t xml:space="preserve">Beatrice Wanjiku &amp; Another v The Attorney-General &amp; Another</w:t>
      </w:r>
      <w:r w:rsidDel="00000000" w:rsidR="00000000" w:rsidRPr="00000000">
        <w:rPr>
          <w:rFonts w:ascii="Times New Roman" w:cs="Times New Roman" w:eastAsia="Times New Roman" w:hAnsi="Times New Roman"/>
          <w:i w:val="1"/>
          <w:sz w:val="24"/>
          <w:szCs w:val="24"/>
          <w:vertAlign w:val="superscript"/>
        </w:rPr>
        <w:footnoteReference w:customMarkFollows="0" w:id="10"/>
      </w:r>
      <w:r w:rsidDel="00000000" w:rsidR="00000000" w:rsidRPr="00000000">
        <w:rPr>
          <w:rFonts w:ascii="Times New Roman" w:cs="Times New Roman" w:eastAsia="Times New Roman" w:hAnsi="Times New Roman"/>
          <w:sz w:val="24"/>
          <w:szCs w:val="24"/>
          <w:rtl w:val="0"/>
        </w:rPr>
        <w:t xml:space="preserve">, the court stated as follows </w:t>
      </w:r>
    </w:p>
    <w:p w:rsidR="00000000" w:rsidDel="00000000" w:rsidP="00000000" w:rsidRDefault="00000000" w:rsidRPr="00000000" w14:paraId="00000011">
      <w:pPr>
        <w:spacing w:line="36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Before the promulgation of the Constitution, Kenya took a dualist approach to the application of international law. A treaty or international convention which Kenya had ratified would only apply nationally if parliament domesticated the particular treaty or convention by passing the relevant legislation. The Constitution and in particular articles 2(5) and 2(6) gave new colour to the relationship between international law and international instruments and national law. </w:t>
      </w:r>
    </w:p>
    <w:p w:rsidR="00000000" w:rsidDel="00000000" w:rsidP="00000000" w:rsidRDefault="00000000" w:rsidRPr="00000000" w14:paraId="0000001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case shows that Article 2(6) gives effect to Article 2(5) which communicates that Kenya is a monist state. Therefore when it comes to trial advocacy, advocates and judges alike are allowed to advance arguments and make decisions that are based on international law. Therefore one can conclude that international law is at legal par with municipal law when it comes to trial advocacy. </w:t>
      </w:r>
    </w:p>
    <w:p w:rsidR="00000000" w:rsidDel="00000000" w:rsidP="00000000" w:rsidRDefault="00000000" w:rsidRPr="00000000" w14:paraId="00000013">
      <w:pPr>
        <w:spacing w:line="360" w:lineRule="auto"/>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otnote w:id="0">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Nicholas Wasonga Orago, `</w:t>
      </w:r>
      <w:r w:rsidDel="00000000" w:rsidR="00000000" w:rsidRPr="00000000">
        <w:rPr>
          <w:rFonts w:ascii="Times New Roman" w:cs="Times New Roman" w:eastAsia="Times New Roman" w:hAnsi="Times New Roman"/>
          <w:b w:val="0"/>
          <w:i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The 2010 Kenyan Constitution and the hierarchical place of international law in the Kenyan domestic legal system: A comparative perspective` 12</w:t>
      </w:r>
    </w:p>
  </w:footnote>
  <w:footnote w:id="1">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[1970] KLR pg 457.</w:t>
      </w:r>
    </w:p>
  </w:footnote>
  <w:footnote w:id="2">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[2001] eKLR 262.</w:t>
      </w:r>
    </w:p>
  </w:footnote>
  <w:footnote w:id="3">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Madelaine Chiam, ’Monism and Dualism in International Law’ (Oxford University Press, 2018).</w:t>
      </w:r>
    </w:p>
  </w:footnote>
  <w:footnote w:id="4">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[2010] eKLR 4.</w:t>
      </w:r>
    </w:p>
  </w:footnote>
  <w:footnote w:id="5">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Article 11 of the International Covenant on Civil and Political Rights.</w:t>
      </w:r>
    </w:p>
  </w:footnote>
  <w:footnote w:id="6">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Giorgio Gaja  ‘Dualism- a review’ in Nijman and Nollkaemper (eds)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New Perspective on the Divide between National and International  law</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(2007) pg. 52</w:t>
      </w:r>
      <w:r w:rsidDel="00000000" w:rsidR="00000000" w:rsidRPr="00000000">
        <w:rPr>
          <w:rtl w:val="0"/>
        </w:rPr>
      </w:r>
    </w:p>
  </w:footnote>
  <w:footnote w:id="7">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James R Crawford, Brownlie's Principles of Public International Law (8th Edition), pg. 48.</w:t>
      </w:r>
    </w:p>
  </w:footnote>
  <w:footnote w:id="8">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Josphat Nthata Kaibiru, ` The Place of International Law in Kenya`, 46( unpublished)</w:t>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footnote>
  <w:footnote w:id="9">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David Ndungo Maina v Zipporah Wambui Mathara</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Bankruptcy Cause 19 of 2010,</w:t>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hyperlink r:id="rId1">
        <w:r w:rsidDel="00000000" w:rsidR="00000000" w:rsidRPr="00000000">
          <w:rPr>
            <w:rFonts w:ascii="Times New Roman" w:cs="Times New Roman" w:eastAsia="Times New Roman" w:hAnsi="Times New Roman"/>
            <w:b w:val="0"/>
            <w:i w:val="0"/>
            <w:smallCaps w:val="0"/>
            <w:strike w:val="0"/>
            <w:color w:val="0563c1"/>
            <w:sz w:val="20"/>
            <w:szCs w:val="20"/>
            <w:u w:val="single"/>
            <w:shd w:fill="auto" w:val="clear"/>
            <w:vertAlign w:val="baseline"/>
            <w:rtl w:val="0"/>
          </w:rPr>
          <w:t xml:space="preserve">http://kenyalaw.org/Downloads_FreeCases/77605.pdf</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(last accessed 7</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Feb 2020</w:t>
      </w:r>
    </w:p>
  </w:footnote>
  <w:footnote w:id="10">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High Court of Kenya at Nairobi, Petition 190 of 2011 para 17. </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1" w:customStyle="1">
    <w:name w:val="Footnote Text1"/>
    <w:basedOn w:val="Normal"/>
    <w:next w:val="FootnoteText"/>
    <w:link w:val="FootnoteTextChar"/>
    <w:uiPriority w:val="99"/>
    <w:semiHidden w:val="1"/>
    <w:unhideWhenUsed w:val="1"/>
    <w:rsid w:val="00541107"/>
    <w:pPr>
      <w:spacing w:after="0" w:line="240" w:lineRule="auto"/>
    </w:pPr>
    <w:rPr>
      <w:sz w:val="20"/>
      <w:szCs w:val="20"/>
    </w:rPr>
  </w:style>
  <w:style w:type="character" w:styleId="FootnoteTextChar" w:customStyle="1">
    <w:name w:val="Footnote Text Char"/>
    <w:basedOn w:val="DefaultParagraphFont"/>
    <w:link w:val="FootnoteText1"/>
    <w:uiPriority w:val="99"/>
    <w:semiHidden w:val="1"/>
    <w:rsid w:val="00541107"/>
    <w:rPr>
      <w:sz w:val="20"/>
      <w:szCs w:val="20"/>
    </w:rPr>
  </w:style>
  <w:style w:type="character" w:styleId="FootnoteReference">
    <w:name w:val="footnote reference"/>
    <w:basedOn w:val="DefaultParagraphFont"/>
    <w:uiPriority w:val="99"/>
    <w:unhideWhenUsed w:val="1"/>
    <w:rsid w:val="00541107"/>
    <w:rPr>
      <w:vertAlign w:val="superscript"/>
    </w:rPr>
  </w:style>
  <w:style w:type="paragraph" w:styleId="FootnoteText">
    <w:name w:val="footnote text"/>
    <w:basedOn w:val="Normal"/>
    <w:link w:val="FootnoteTextChar1"/>
    <w:uiPriority w:val="99"/>
    <w:semiHidden w:val="1"/>
    <w:unhideWhenUsed w:val="1"/>
    <w:rsid w:val="00541107"/>
    <w:pPr>
      <w:spacing w:after="0" w:line="240" w:lineRule="auto"/>
    </w:pPr>
    <w:rPr>
      <w:sz w:val="20"/>
      <w:szCs w:val="20"/>
    </w:rPr>
  </w:style>
  <w:style w:type="character" w:styleId="FootnoteTextChar1" w:customStyle="1">
    <w:name w:val="Footnote Text Char1"/>
    <w:basedOn w:val="DefaultParagraphFont"/>
    <w:link w:val="FootnoteText"/>
    <w:uiPriority w:val="99"/>
    <w:semiHidden w:val="1"/>
    <w:rsid w:val="00541107"/>
    <w:rPr>
      <w:sz w:val="20"/>
      <w:szCs w:val="20"/>
    </w:rPr>
  </w:style>
  <w:style w:type="character" w:styleId="Hyperlink">
    <w:name w:val="Hyperlink"/>
    <w:basedOn w:val="DefaultParagraphFont"/>
    <w:uiPriority w:val="99"/>
    <w:unhideWhenUsed w:val="1"/>
    <w:rsid w:val="006F1A4A"/>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_rels/footnotes.xml.rels><?xml version="1.0" encoding="UTF-8" standalone="yes"?><Relationships xmlns="http://schemas.openxmlformats.org/package/2006/relationships"><Relationship Id="rId1" Type="http://schemas.openxmlformats.org/officeDocument/2006/relationships/hyperlink" Target="http://kenyalaw.org/Downloads_FreeCases/7760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CHS4bnGuClMj01Qcn07LOyaTgdw==">AMUW2mWi2T9IzdzPedd/5Z2vjveu3Ju5ACR+cT5RLpXIfZfYNPYtBjNFwjSNus+f7kKFQucsSnYKDKtMVEcm13BxWxdTxJnlHjFUy7dTC/XwLWRPz4YzFcs=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2020-11-09T14:57:00Z</dcterms:created>
  <dc:creator>Maria Wangondu</dc:creator>
</cp:coreProperties>
</file>