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120D7" w:rsidRPr="007120D7" w:rsidRDefault="007120D7" w:rsidP="007120D7">
      <w:pPr>
        <w:spacing w:after="0" w:line="288" w:lineRule="auto"/>
        <w:jc w:val="both"/>
        <w:rPr>
          <w:rFonts w:ascii="Arial" w:eastAsia="Times New Roman" w:hAnsi="Arial" w:cs="Arial"/>
          <w:b/>
          <w:sz w:val="24"/>
          <w:szCs w:val="24"/>
          <w:lang w:val="en-GB"/>
        </w:rPr>
      </w:pPr>
      <w:r w:rsidRPr="007120D7">
        <w:rPr>
          <w:rFonts w:ascii="Arial" w:eastAsia="Times New Roman" w:hAnsi="Arial" w:cs="Arial"/>
          <w:b/>
          <w:sz w:val="24"/>
          <w:szCs w:val="24"/>
          <w:lang w:val="en-GB"/>
        </w:rPr>
        <w:t>ETHICS AND THE LEGAL PROFESSION – Mark Humphries</w:t>
      </w:r>
    </w:p>
    <w:p w:rsidR="007120D7" w:rsidRDefault="007120D7" w:rsidP="007120D7">
      <w:pPr>
        <w:spacing w:after="0" w:line="288" w:lineRule="auto"/>
        <w:jc w:val="both"/>
        <w:rPr>
          <w:rFonts w:ascii="Arial" w:eastAsia="Times New Roman" w:hAnsi="Arial" w:cs="Arial"/>
          <w:sz w:val="24"/>
          <w:szCs w:val="24"/>
          <w:lang w:val="en-GB"/>
        </w:rPr>
      </w:pPr>
    </w:p>
    <w:p w:rsidR="007120D7" w:rsidRDefault="007120D7" w:rsidP="007120D7">
      <w:pPr>
        <w:spacing w:after="0" w:line="288" w:lineRule="auto"/>
        <w:jc w:val="both"/>
        <w:rPr>
          <w:rFonts w:ascii="Arial" w:eastAsia="Times New Roman" w:hAnsi="Arial" w:cs="Arial"/>
          <w:i/>
          <w:iCs/>
          <w:sz w:val="24"/>
          <w:szCs w:val="24"/>
          <w:lang w:val="en-GB"/>
        </w:rPr>
      </w:pPr>
      <w:r>
        <w:rPr>
          <w:rFonts w:ascii="Arial" w:eastAsia="Times New Roman" w:hAnsi="Arial" w:cs="Arial"/>
          <w:sz w:val="24"/>
          <w:szCs w:val="24"/>
          <w:lang w:val="en-GB"/>
        </w:rPr>
        <w:t>(</w:t>
      </w:r>
      <w:r w:rsidRPr="00F63D8A">
        <w:rPr>
          <w:rFonts w:ascii="Arial" w:eastAsia="Times New Roman" w:hAnsi="Arial" w:cs="Arial"/>
          <w:b/>
          <w:bCs/>
          <w:sz w:val="24"/>
          <w:szCs w:val="24"/>
          <w:lang w:val="en-GB"/>
        </w:rPr>
        <w:t>Mark Humphries</w:t>
      </w:r>
      <w:r w:rsidRPr="00F63D8A">
        <w:rPr>
          <w:rFonts w:ascii="Arial" w:eastAsia="Times New Roman" w:hAnsi="Arial" w:cs="Arial"/>
          <w:sz w:val="24"/>
          <w:szCs w:val="24"/>
          <w:lang w:val="en-GB"/>
        </w:rPr>
        <w:t> </w:t>
      </w:r>
      <w:r w:rsidRPr="00F63D8A">
        <w:rPr>
          <w:rFonts w:ascii="Arial" w:eastAsia="Times New Roman" w:hAnsi="Arial" w:cs="Arial"/>
          <w:i/>
          <w:iCs/>
          <w:sz w:val="24"/>
          <w:szCs w:val="24"/>
          <w:lang w:val="en-GB"/>
        </w:rPr>
        <w:t>has 25 years’ experience of contentious legal practice. Until recently a litigation partner and head of advocacy at Linklaters in London, he is now the director of his own commercial disputes firm Mark Humphries Ltd. He is a past chairman of the Solicitors Association of Higher Court Advocates</w:t>
      </w:r>
      <w:r>
        <w:rPr>
          <w:rFonts w:ascii="Arial" w:eastAsia="Times New Roman" w:hAnsi="Arial" w:cs="Arial"/>
          <w:i/>
          <w:iCs/>
          <w:sz w:val="24"/>
          <w:szCs w:val="24"/>
          <w:lang w:val="en-GB"/>
        </w:rPr>
        <w:t>)</w:t>
      </w:r>
    </w:p>
    <w:p w:rsidR="007120D7" w:rsidRPr="00F63D8A" w:rsidRDefault="007120D7" w:rsidP="007120D7">
      <w:pPr>
        <w:spacing w:after="0" w:line="288" w:lineRule="auto"/>
        <w:jc w:val="both"/>
        <w:rPr>
          <w:rFonts w:ascii="Arial" w:eastAsia="Times New Roman" w:hAnsi="Arial" w:cs="Arial"/>
          <w:sz w:val="24"/>
          <w:szCs w:val="24"/>
          <w:lang w:val="en-GB"/>
        </w:rPr>
      </w:pPr>
    </w:p>
    <w:p w:rsidR="00F63D8A" w:rsidRPr="00F63D8A" w:rsidRDefault="005F6CDC" w:rsidP="00F63D8A">
      <w:pPr>
        <w:pStyle w:val="NormalWeb"/>
        <w:spacing w:before="0" w:beforeAutospacing="0" w:after="0" w:afterAutospacing="0" w:line="288" w:lineRule="auto"/>
        <w:jc w:val="both"/>
        <w:rPr>
          <w:rStyle w:val="Strong"/>
          <w:rFonts w:ascii="Arial" w:hAnsi="Arial" w:cs="Arial"/>
          <w:lang w:val="en-GB"/>
        </w:rPr>
      </w:pPr>
      <w:r w:rsidRPr="00F63D8A">
        <w:rPr>
          <w:rStyle w:val="Strong"/>
          <w:rFonts w:ascii="Arial" w:hAnsi="Arial" w:cs="Arial"/>
          <w:lang w:val="en-GB"/>
        </w:rPr>
        <w:t>The origins of legal ethics</w:t>
      </w:r>
    </w:p>
    <w:p w:rsidR="00F63D8A" w:rsidRPr="00F63D8A" w:rsidRDefault="00F63D8A" w:rsidP="00F63D8A">
      <w:pPr>
        <w:pStyle w:val="NormalWeb"/>
        <w:spacing w:before="0" w:beforeAutospacing="0" w:after="0" w:afterAutospacing="0" w:line="288" w:lineRule="auto"/>
        <w:jc w:val="both"/>
        <w:rPr>
          <w:rStyle w:val="Strong"/>
          <w:rFonts w:ascii="Arial" w:hAnsi="Arial" w:cs="Arial"/>
          <w:lang w:val="en-GB"/>
        </w:rPr>
      </w:pPr>
    </w:p>
    <w:p w:rsidR="005F6CDC" w:rsidRPr="00F63D8A"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An act of professional misconduct is committed by a lawyer who does something which is 'dishonourable to him as a man and dishonourable in his profession' –</w:t>
      </w:r>
      <w:r w:rsidRPr="00F63D8A">
        <w:rPr>
          <w:rStyle w:val="apple-converted-space"/>
          <w:rFonts w:ascii="Arial" w:hAnsi="Arial" w:cs="Arial"/>
          <w:lang w:val="en-GB"/>
        </w:rPr>
        <w:t> </w:t>
      </w:r>
      <w:r w:rsidRPr="00F63D8A">
        <w:rPr>
          <w:rStyle w:val="Emphasis"/>
          <w:rFonts w:ascii="Arial" w:hAnsi="Arial" w:cs="Arial"/>
          <w:lang w:val="en-GB"/>
        </w:rPr>
        <w:t>Re G Mayor Cooke</w:t>
      </w:r>
      <w:r w:rsidRPr="00F63D8A">
        <w:rPr>
          <w:rStyle w:val="apple-converted-space"/>
          <w:rFonts w:ascii="Arial" w:hAnsi="Arial" w:cs="Arial"/>
          <w:lang w:val="en-GB"/>
        </w:rPr>
        <w:t> </w:t>
      </w:r>
      <w:r w:rsidRPr="00F63D8A">
        <w:rPr>
          <w:rFonts w:ascii="Arial" w:hAnsi="Arial" w:cs="Arial"/>
          <w:lang w:val="en-GB"/>
        </w:rPr>
        <w:t>[1889] 5 TLR 407.</w:t>
      </w:r>
    </w:p>
    <w:p w:rsidR="00F63D8A" w:rsidRPr="00F63D8A" w:rsidRDefault="00F63D8A" w:rsidP="00F63D8A">
      <w:pPr>
        <w:pStyle w:val="NormalWeb"/>
        <w:spacing w:before="0" w:beforeAutospacing="0" w:after="0" w:afterAutospacing="0" w:line="288" w:lineRule="auto"/>
        <w:jc w:val="both"/>
        <w:rPr>
          <w:rFonts w:ascii="Arial" w:hAnsi="Arial" w:cs="Arial"/>
          <w:lang w:val="en-GB"/>
        </w:rPr>
      </w:pPr>
    </w:p>
    <w:p w:rsidR="00F63D8A"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 xml:space="preserve">If the ethical principles to which a lawyer should adhere were capable of being encapsulated in this single notion, there would be little more to say about ethics and this </w:t>
      </w:r>
      <w:r w:rsidR="00F63D8A">
        <w:rPr>
          <w:rFonts w:ascii="Arial" w:hAnsi="Arial" w:cs="Arial"/>
          <w:lang w:val="en-GB"/>
        </w:rPr>
        <w:t>course may not be necessary to conduct</w:t>
      </w:r>
      <w:r w:rsidRPr="00F63D8A">
        <w:rPr>
          <w:rFonts w:ascii="Arial" w:hAnsi="Arial" w:cs="Arial"/>
          <w:lang w:val="en-GB"/>
        </w:rPr>
        <w:t>. Certain basic standards of professional behaviour do exist. These has been regarded as sacrosanct for so long that they may be as relevant in the 21</w:t>
      </w:r>
      <w:r w:rsidRPr="00F63D8A">
        <w:rPr>
          <w:rFonts w:ascii="Arial" w:hAnsi="Arial" w:cs="Arial"/>
          <w:vertAlign w:val="superscript"/>
          <w:lang w:val="en-GB"/>
        </w:rPr>
        <w:t>st</w:t>
      </w:r>
      <w:r w:rsidR="00F63D8A">
        <w:rPr>
          <w:rFonts w:ascii="Arial" w:hAnsi="Arial" w:cs="Arial"/>
          <w:lang w:val="en-GB"/>
        </w:rPr>
        <w:t xml:space="preserve"> </w:t>
      </w:r>
      <w:r w:rsidRPr="00F63D8A">
        <w:rPr>
          <w:rFonts w:ascii="Arial" w:hAnsi="Arial" w:cs="Arial"/>
          <w:lang w:val="en-GB"/>
        </w:rPr>
        <w:t xml:space="preserve">century as they were when they were first identified in medieval times. </w:t>
      </w:r>
    </w:p>
    <w:p w:rsidR="00F63D8A" w:rsidRDefault="00F63D8A"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When the legal profession first emerged during the reign of Edward I in the late 13</w:t>
      </w:r>
      <w:r w:rsidRPr="00F63D8A">
        <w:rPr>
          <w:rFonts w:ascii="Arial" w:hAnsi="Arial" w:cs="Arial"/>
          <w:vertAlign w:val="superscript"/>
          <w:lang w:val="en-GB"/>
        </w:rPr>
        <w:t>th</w:t>
      </w:r>
      <w:r w:rsidR="00F63D8A">
        <w:rPr>
          <w:rFonts w:ascii="Arial" w:hAnsi="Arial" w:cs="Arial"/>
          <w:lang w:val="en-GB"/>
        </w:rPr>
        <w:t xml:space="preserve"> </w:t>
      </w:r>
      <w:r w:rsidRPr="00F63D8A">
        <w:rPr>
          <w:rFonts w:ascii="Arial" w:hAnsi="Arial" w:cs="Arial"/>
          <w:lang w:val="en-GB"/>
        </w:rPr>
        <w:t>century it may perhaps have been clear enough to say merely that a lawyer must behave with 'honour'; it may even have been clear enough in the 19</w:t>
      </w:r>
      <w:r w:rsidRPr="00F63D8A">
        <w:rPr>
          <w:rFonts w:ascii="Arial" w:hAnsi="Arial" w:cs="Arial"/>
          <w:vertAlign w:val="superscript"/>
          <w:lang w:val="en-GB"/>
        </w:rPr>
        <w:t>th</w:t>
      </w:r>
      <w:r w:rsidR="00F63D8A">
        <w:rPr>
          <w:rFonts w:ascii="Arial" w:hAnsi="Arial" w:cs="Arial"/>
          <w:lang w:val="en-GB"/>
        </w:rPr>
        <w:t xml:space="preserve"> </w:t>
      </w:r>
      <w:r w:rsidRPr="00F63D8A">
        <w:rPr>
          <w:rFonts w:ascii="Arial" w:hAnsi="Arial" w:cs="Arial"/>
          <w:lang w:val="en-GB"/>
        </w:rPr>
        <w:t>century. But those were times when honourable conduct was, to a greater or lesser degree, perhaps easier to identify than is the case when dealing with the complexities of the practice of law today. Such are the intricacies of the modern world that it can no longer simply be said that, if it seems right, it probably is right, but if it feels wrong, it is probably unethical – although for a modern example of this simple approach see</w:t>
      </w:r>
      <w:r w:rsidRPr="00F63D8A">
        <w:rPr>
          <w:rStyle w:val="apple-converted-space"/>
          <w:rFonts w:ascii="Arial" w:hAnsi="Arial" w:cs="Arial"/>
          <w:lang w:val="en-GB"/>
        </w:rPr>
        <w:t> </w:t>
      </w:r>
      <w:r w:rsidRPr="00F63D8A">
        <w:rPr>
          <w:rStyle w:val="Emphasis"/>
          <w:rFonts w:ascii="Arial" w:hAnsi="Arial" w:cs="Arial"/>
          <w:lang w:val="en-GB"/>
        </w:rPr>
        <w:t>Vernon v Bosley</w:t>
      </w:r>
      <w:r w:rsidRPr="00F63D8A">
        <w:rPr>
          <w:rStyle w:val="apple-converted-space"/>
          <w:rFonts w:ascii="Arial" w:hAnsi="Arial" w:cs="Arial"/>
          <w:lang w:val="en-GB"/>
        </w:rPr>
        <w:t> </w:t>
      </w:r>
      <w:r w:rsidRPr="00F63D8A">
        <w:rPr>
          <w:rFonts w:ascii="Arial" w:hAnsi="Arial" w:cs="Arial"/>
          <w:lang w:val="en-GB"/>
        </w:rPr>
        <w:t>(No 2) [1999] QB 18, 63-4 (CA), per Thorpe LJ.</w:t>
      </w:r>
    </w:p>
    <w:p w:rsidR="00F63D8A" w:rsidRPr="00F63D8A" w:rsidRDefault="00F63D8A"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 xml:space="preserve">It is not just changing times which may bring about differing perceptions of what is ethical, but also the environment in which a lawyer practises. Thus a lawyer practising advocacy or litigation in the essentially adversarial </w:t>
      </w:r>
      <w:r w:rsidR="00F63D8A">
        <w:rPr>
          <w:rFonts w:ascii="Arial" w:hAnsi="Arial" w:cs="Arial"/>
          <w:lang w:val="en-GB"/>
        </w:rPr>
        <w:t>common law</w:t>
      </w:r>
      <w:r w:rsidRPr="00F63D8A">
        <w:rPr>
          <w:rFonts w:ascii="Arial" w:hAnsi="Arial" w:cs="Arial"/>
          <w:lang w:val="en-GB"/>
        </w:rPr>
        <w:t xml:space="preserve"> court system may well have different views on ethics from those of colleagues who practise in different environments or different jurisdictions. To understand how principles of ethics develop it is necessary first to examine their historical emergence.</w:t>
      </w:r>
    </w:p>
    <w:p w:rsidR="00F63D8A" w:rsidRPr="00F63D8A" w:rsidRDefault="00F63D8A" w:rsidP="00F63D8A">
      <w:pPr>
        <w:pStyle w:val="NormalWeb"/>
        <w:spacing w:before="0" w:beforeAutospacing="0" w:after="0" w:afterAutospacing="0" w:line="288" w:lineRule="auto"/>
        <w:jc w:val="both"/>
        <w:rPr>
          <w:rFonts w:ascii="Arial" w:hAnsi="Arial" w:cs="Arial"/>
          <w:lang w:val="en-GB"/>
        </w:rPr>
      </w:pPr>
    </w:p>
    <w:p w:rsidR="00AC3B3D" w:rsidRDefault="00AC3B3D" w:rsidP="00F63D8A">
      <w:pPr>
        <w:pStyle w:val="NormalWeb"/>
        <w:spacing w:before="0" w:beforeAutospacing="0" w:after="0" w:afterAutospacing="0" w:line="288" w:lineRule="auto"/>
        <w:jc w:val="both"/>
        <w:rPr>
          <w:rStyle w:val="Strong"/>
          <w:rFonts w:ascii="Arial" w:hAnsi="Arial" w:cs="Arial"/>
          <w:lang w:val="en-GB"/>
        </w:rPr>
      </w:pPr>
    </w:p>
    <w:p w:rsidR="00AC3B3D" w:rsidRDefault="00AC3B3D" w:rsidP="00F63D8A">
      <w:pPr>
        <w:pStyle w:val="NormalWeb"/>
        <w:spacing w:before="0" w:beforeAutospacing="0" w:after="0" w:afterAutospacing="0" w:line="288" w:lineRule="auto"/>
        <w:jc w:val="both"/>
        <w:rPr>
          <w:rStyle w:val="Strong"/>
          <w:rFonts w:ascii="Arial" w:hAnsi="Arial" w:cs="Arial"/>
          <w:lang w:val="en-GB"/>
        </w:rPr>
      </w:pPr>
    </w:p>
    <w:p w:rsidR="00F63D8A" w:rsidRDefault="005F6CDC" w:rsidP="00F63D8A">
      <w:pPr>
        <w:pStyle w:val="NormalWeb"/>
        <w:spacing w:before="0" w:beforeAutospacing="0" w:after="0" w:afterAutospacing="0" w:line="288" w:lineRule="auto"/>
        <w:jc w:val="both"/>
        <w:rPr>
          <w:rStyle w:val="Strong"/>
          <w:rFonts w:ascii="Arial" w:hAnsi="Arial" w:cs="Arial"/>
          <w:lang w:val="en-GB"/>
        </w:rPr>
      </w:pPr>
      <w:r w:rsidRPr="00F63D8A">
        <w:rPr>
          <w:rStyle w:val="Strong"/>
          <w:rFonts w:ascii="Arial" w:hAnsi="Arial" w:cs="Arial"/>
          <w:lang w:val="en-GB"/>
        </w:rPr>
        <w:lastRenderedPageBreak/>
        <w:t>Medieval ethics</w:t>
      </w:r>
    </w:p>
    <w:p w:rsidR="00F63D8A" w:rsidRDefault="00F63D8A" w:rsidP="00F63D8A">
      <w:pPr>
        <w:pStyle w:val="NormalWeb"/>
        <w:spacing w:before="0" w:beforeAutospacing="0" w:after="0" w:afterAutospacing="0" w:line="288" w:lineRule="auto"/>
        <w:jc w:val="both"/>
        <w:rPr>
          <w:rStyle w:val="Strong"/>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i/>
          <w:lang w:val="en-GB"/>
        </w:rPr>
      </w:pPr>
      <w:r w:rsidRPr="00F63D8A">
        <w:rPr>
          <w:rFonts w:ascii="Arial" w:hAnsi="Arial" w:cs="Arial"/>
          <w:lang w:val="en-GB"/>
        </w:rPr>
        <w:t xml:space="preserve">The earliest surviving records of medieval principles of ethical conduct for lawyers concern the advocates and proctors who appeared before the church courts. One very early record is a book written in 1239 by William of Drogheda, an Oxford priest and lawyer, advising the reader how to be a successful advocate. The text reveals something of an ironic disconnect between the ethical standards of these two professions on the important subject of remuneration: the author recommends that advocates should ensure payment in advance – </w:t>
      </w:r>
      <w:r w:rsidR="00F63D8A">
        <w:rPr>
          <w:rFonts w:ascii="Arial" w:hAnsi="Arial" w:cs="Arial"/>
          <w:lang w:val="en-GB"/>
        </w:rPr>
        <w:t>“</w:t>
      </w:r>
      <w:r w:rsidRPr="00F63D8A">
        <w:rPr>
          <w:rFonts w:ascii="Arial" w:hAnsi="Arial" w:cs="Arial"/>
          <w:i/>
          <w:lang w:val="en-GB"/>
        </w:rPr>
        <w:t xml:space="preserve">Get your </w:t>
      </w:r>
      <w:r w:rsidR="00D343BF">
        <w:rPr>
          <w:rFonts w:ascii="Arial" w:hAnsi="Arial" w:cs="Arial"/>
          <w:i/>
          <w:lang w:val="en-GB"/>
        </w:rPr>
        <w:t>money while the patient is ill.”</w:t>
      </w:r>
    </w:p>
    <w:p w:rsidR="007120D7" w:rsidRPr="00F63D8A" w:rsidRDefault="007120D7"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A number of other records date back to the late 14</w:t>
      </w:r>
      <w:r w:rsidRPr="00D343BF">
        <w:rPr>
          <w:rFonts w:ascii="Arial" w:hAnsi="Arial" w:cs="Arial"/>
          <w:vertAlign w:val="superscript"/>
          <w:lang w:val="en-GB"/>
        </w:rPr>
        <w:t>th</w:t>
      </w:r>
      <w:r w:rsidR="00D343BF">
        <w:rPr>
          <w:rFonts w:ascii="Arial" w:hAnsi="Arial" w:cs="Arial"/>
          <w:lang w:val="en-GB"/>
        </w:rPr>
        <w:t xml:space="preserve"> </w:t>
      </w:r>
      <w:r w:rsidRPr="00F63D8A">
        <w:rPr>
          <w:rFonts w:ascii="Arial" w:hAnsi="Arial" w:cs="Arial"/>
          <w:lang w:val="en-GB"/>
        </w:rPr>
        <w:t>and early 15</w:t>
      </w:r>
      <w:r w:rsidRPr="00D343BF">
        <w:rPr>
          <w:rFonts w:ascii="Arial" w:hAnsi="Arial" w:cs="Arial"/>
          <w:vertAlign w:val="superscript"/>
          <w:lang w:val="en-GB"/>
        </w:rPr>
        <w:t>th</w:t>
      </w:r>
      <w:r w:rsidR="00D343BF">
        <w:rPr>
          <w:rFonts w:ascii="Arial" w:hAnsi="Arial" w:cs="Arial"/>
          <w:lang w:val="en-GB"/>
        </w:rPr>
        <w:t xml:space="preserve"> </w:t>
      </w:r>
      <w:r w:rsidRPr="00F63D8A">
        <w:rPr>
          <w:rFonts w:ascii="Arial" w:hAnsi="Arial" w:cs="Arial"/>
          <w:lang w:val="en-GB"/>
        </w:rPr>
        <w:t>centuries and, while not comprehensive, contain further examples both of the observance of the ethical standards of the time and, indeed, of their breach.</w:t>
      </w:r>
    </w:p>
    <w:p w:rsidR="00D343BF" w:rsidRPr="00F63D8A" w:rsidRDefault="00D343BF"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 xml:space="preserve">High ethical standards were imposed by the canon law. Lawyers who practised before the church courts were usually clerics who were literate, conversant in Norman French – the language of the secular courts – and adequately trained in the law. They had to be free from </w:t>
      </w:r>
      <w:r w:rsidRPr="00D343BF">
        <w:rPr>
          <w:rFonts w:ascii="Arial" w:hAnsi="Arial" w:cs="Arial"/>
          <w:i/>
          <w:lang w:val="en-GB"/>
        </w:rPr>
        <w:t>'infamia'</w:t>
      </w:r>
      <w:r w:rsidRPr="00F63D8A">
        <w:rPr>
          <w:rFonts w:ascii="Arial" w:hAnsi="Arial" w:cs="Arial"/>
          <w:lang w:val="en-GB"/>
        </w:rPr>
        <w:t xml:space="preserve">. They were obliged to take an annual oath requiring them to charge only moderate fees, to act without charge for poor litigants and to deal honestly with all matters relating to their clients. They were entitled only to accept cases which they believed were properly brought and they were not to make pleas which they did not believe in their conscience to be right. Further, they were obliged to drop cases even during their prosecution if they subsequently discovered them to be without foundation. They were not to engage in conflicts of interest, or </w:t>
      </w:r>
      <w:r w:rsidRPr="00D343BF">
        <w:rPr>
          <w:rFonts w:ascii="Arial" w:hAnsi="Arial" w:cs="Arial"/>
          <w:i/>
          <w:lang w:val="en-GB"/>
        </w:rPr>
        <w:t>'ambidexterity'</w:t>
      </w:r>
      <w:r w:rsidRPr="00F63D8A">
        <w:rPr>
          <w:rFonts w:ascii="Arial" w:hAnsi="Arial" w:cs="Arial"/>
          <w:lang w:val="en-GB"/>
        </w:rPr>
        <w:t xml:space="preserve">, sometimes described as </w:t>
      </w:r>
      <w:r w:rsidRPr="00D343BF">
        <w:rPr>
          <w:rFonts w:ascii="Arial" w:hAnsi="Arial" w:cs="Arial"/>
          <w:i/>
          <w:lang w:val="en-GB"/>
        </w:rPr>
        <w:t>'playing on both hands'</w:t>
      </w:r>
      <w:r w:rsidRPr="00F63D8A">
        <w:rPr>
          <w:rFonts w:ascii="Arial" w:hAnsi="Arial" w:cs="Arial"/>
          <w:lang w:val="en-GB"/>
        </w:rPr>
        <w:t xml:space="preserve">. They were not to suborn witnesses unnecessarily to delay litigation or to make frivolous appeals. Proctors were even required frequently to swear the oath of </w:t>
      </w:r>
      <w:r w:rsidRPr="00D343BF">
        <w:rPr>
          <w:rFonts w:ascii="Arial" w:hAnsi="Arial" w:cs="Arial"/>
          <w:i/>
          <w:lang w:val="en-GB"/>
        </w:rPr>
        <w:t>'calumny'</w:t>
      </w:r>
      <w:r w:rsidRPr="00F63D8A">
        <w:rPr>
          <w:rFonts w:ascii="Arial" w:hAnsi="Arial" w:cs="Arial"/>
          <w:lang w:val="en-GB"/>
        </w:rPr>
        <w:t xml:space="preserve"> during the course of the proceedings, vouching that their client was acting in good faith.</w:t>
      </w:r>
    </w:p>
    <w:p w:rsidR="00D343BF" w:rsidRPr="00F63D8A" w:rsidRDefault="00D343BF"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In practice, however, these early professional lawyers often charged substantial fees based on the amount of work they were required to do and they regulated entry into their professions to ensure that their practices remained sufficiently busy for their desired fee income to be achieved. There is also evidence of judicial corruption, with lawyers acting as intermediaries between litigants and judges, a practice which seems to have been fairly common until the 17</w:t>
      </w:r>
      <w:r w:rsidRPr="00D343BF">
        <w:rPr>
          <w:rFonts w:ascii="Arial" w:hAnsi="Arial" w:cs="Arial"/>
          <w:vertAlign w:val="superscript"/>
          <w:lang w:val="en-GB"/>
        </w:rPr>
        <w:t>th</w:t>
      </w:r>
      <w:r w:rsidR="00D343BF">
        <w:rPr>
          <w:rFonts w:ascii="Arial" w:hAnsi="Arial" w:cs="Arial"/>
          <w:lang w:val="en-GB"/>
        </w:rPr>
        <w:t xml:space="preserve"> </w:t>
      </w:r>
      <w:r w:rsidRPr="00F63D8A">
        <w:rPr>
          <w:rFonts w:ascii="Arial" w:hAnsi="Arial" w:cs="Arial"/>
          <w:lang w:val="en-GB"/>
        </w:rPr>
        <w:t>century.</w:t>
      </w:r>
    </w:p>
    <w:p w:rsidR="00D343BF" w:rsidRPr="00F63D8A" w:rsidRDefault="00D343BF"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 xml:space="preserve">There is surviving evidence, on the other hand, that the early lawyers occasionally acted for poor litigants without taking any fee at all and that, in general, they did not seek to prolong litigation for their own gain but frequently compromised claims rather than </w:t>
      </w:r>
      <w:r w:rsidRPr="00F63D8A">
        <w:rPr>
          <w:rFonts w:ascii="Arial" w:hAnsi="Arial" w:cs="Arial"/>
          <w:lang w:val="en-GB"/>
        </w:rPr>
        <w:lastRenderedPageBreak/>
        <w:t xml:space="preserve">pursuing them in the church courts. There is also surviving evidence which shows that medieval lawyers took seriously their duty to the court not to take on unjust claims and were prepared to drop a </w:t>
      </w:r>
      <w:r w:rsidRPr="00D343BF">
        <w:rPr>
          <w:rFonts w:ascii="Arial" w:hAnsi="Arial" w:cs="Arial"/>
          <w:i/>
          <w:lang w:val="en-GB"/>
        </w:rPr>
        <w:t>'causa desperate'</w:t>
      </w:r>
      <w:r w:rsidRPr="00F63D8A">
        <w:rPr>
          <w:rFonts w:ascii="Arial" w:hAnsi="Arial" w:cs="Arial"/>
          <w:lang w:val="en-GB"/>
        </w:rPr>
        <w:t xml:space="preserve"> if the injustice of a case emerged during its prosecution. If a lawyer was uncertain as to the good faith of his client he might refuse to swear the oath of calumny, effectively bringing the claim to an abrupt halt. </w:t>
      </w:r>
      <w:r w:rsidR="00D343BF">
        <w:rPr>
          <w:rFonts w:ascii="Arial" w:hAnsi="Arial" w:cs="Arial"/>
          <w:lang w:val="en-GB"/>
        </w:rPr>
        <w:t>Order 4 Rule 1</w:t>
      </w:r>
      <w:r w:rsidRPr="00F63D8A">
        <w:rPr>
          <w:rFonts w:ascii="Arial" w:hAnsi="Arial" w:cs="Arial"/>
          <w:lang w:val="en-GB"/>
        </w:rPr>
        <w:t xml:space="preserve"> of the modern Civil Procedure Rules, which requires statements of case to be verified by a statement of truth</w:t>
      </w:r>
      <w:r w:rsidR="000D5EA1">
        <w:rPr>
          <w:rFonts w:ascii="Arial" w:hAnsi="Arial" w:cs="Arial"/>
          <w:lang w:val="en-GB"/>
        </w:rPr>
        <w:t xml:space="preserve"> (verifying affidavit)</w:t>
      </w:r>
      <w:r w:rsidRPr="00F63D8A">
        <w:rPr>
          <w:rFonts w:ascii="Arial" w:hAnsi="Arial" w:cs="Arial"/>
          <w:lang w:val="en-GB"/>
        </w:rPr>
        <w:t>, can be seen in some ways as a 21</w:t>
      </w:r>
      <w:r w:rsidRPr="000D5EA1">
        <w:rPr>
          <w:rFonts w:ascii="Arial" w:hAnsi="Arial" w:cs="Arial"/>
          <w:vertAlign w:val="superscript"/>
          <w:lang w:val="en-GB"/>
        </w:rPr>
        <w:t>st</w:t>
      </w:r>
      <w:r w:rsidR="000D5EA1">
        <w:rPr>
          <w:rFonts w:ascii="Arial" w:hAnsi="Arial" w:cs="Arial"/>
          <w:lang w:val="en-GB"/>
        </w:rPr>
        <w:t xml:space="preserve"> </w:t>
      </w:r>
      <w:r w:rsidRPr="00F63D8A">
        <w:rPr>
          <w:rFonts w:ascii="Arial" w:hAnsi="Arial" w:cs="Arial"/>
          <w:lang w:val="en-GB"/>
        </w:rPr>
        <w:t>century equivalent of the oath of calumny.</w:t>
      </w:r>
    </w:p>
    <w:p w:rsidR="000D5EA1" w:rsidRPr="00F63D8A" w:rsidRDefault="000D5EA1" w:rsidP="00F63D8A">
      <w:pPr>
        <w:pStyle w:val="NormalWeb"/>
        <w:spacing w:before="0" w:beforeAutospacing="0" w:after="0" w:afterAutospacing="0" w:line="288" w:lineRule="auto"/>
        <w:jc w:val="both"/>
        <w:rPr>
          <w:rFonts w:ascii="Arial" w:hAnsi="Arial" w:cs="Arial"/>
          <w:lang w:val="en-GB"/>
        </w:rPr>
      </w:pPr>
    </w:p>
    <w:p w:rsidR="000D5EA1" w:rsidRDefault="005F6CDC" w:rsidP="00F63D8A">
      <w:pPr>
        <w:pStyle w:val="NormalWeb"/>
        <w:spacing w:before="0" w:beforeAutospacing="0" w:after="0" w:afterAutospacing="0" w:line="288" w:lineRule="auto"/>
        <w:jc w:val="both"/>
        <w:rPr>
          <w:rStyle w:val="Strong"/>
          <w:rFonts w:ascii="Arial" w:hAnsi="Arial" w:cs="Arial"/>
          <w:lang w:val="en-GB"/>
        </w:rPr>
      </w:pPr>
      <w:r w:rsidRPr="00F63D8A">
        <w:rPr>
          <w:rStyle w:val="Strong"/>
          <w:rFonts w:ascii="Arial" w:hAnsi="Arial" w:cs="Arial"/>
          <w:lang w:val="en-GB"/>
        </w:rPr>
        <w:t>Statutory regulation</w:t>
      </w:r>
    </w:p>
    <w:p w:rsidR="00AC3B3D" w:rsidRDefault="00AC3B3D"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The earliest example of statutory regulation of the English legal profession, emerging at the same time as the profession itself, is</w:t>
      </w:r>
      <w:r w:rsidR="000D5EA1">
        <w:rPr>
          <w:rFonts w:ascii="Arial" w:hAnsi="Arial" w:cs="Arial"/>
          <w:lang w:val="en-GB"/>
        </w:rPr>
        <w:t xml:space="preserve"> C</w:t>
      </w:r>
      <w:r w:rsidRPr="00F63D8A">
        <w:rPr>
          <w:rFonts w:ascii="Arial" w:hAnsi="Arial" w:cs="Arial"/>
          <w:lang w:val="en-GB"/>
        </w:rPr>
        <w:t xml:space="preserve">hapter 29 of the Statute of Westminster I (1275), in which 'deceit or collusion' by early lawyers was forbidden in the </w:t>
      </w:r>
      <w:r w:rsidR="000D5EA1">
        <w:rPr>
          <w:rFonts w:ascii="Arial" w:hAnsi="Arial" w:cs="Arial"/>
          <w:lang w:val="en-GB"/>
        </w:rPr>
        <w:t>K</w:t>
      </w:r>
      <w:r w:rsidRPr="00F63D8A">
        <w:rPr>
          <w:rFonts w:ascii="Arial" w:hAnsi="Arial" w:cs="Arial"/>
          <w:lang w:val="en-GB"/>
        </w:rPr>
        <w:t>ing’s court. This statute was introduced shortly after an inquest by Edward I had found substantial evidence of, among other things, abusive litigation practices by court and royal officials, lawyers and litigants which were having an adverse impact upon the judicial system.</w:t>
      </w:r>
    </w:p>
    <w:p w:rsidR="000D5EA1" w:rsidRPr="00F63D8A" w:rsidRDefault="000D5EA1" w:rsidP="00F63D8A">
      <w:pPr>
        <w:pStyle w:val="NormalWeb"/>
        <w:spacing w:before="0" w:beforeAutospacing="0" w:after="0" w:afterAutospacing="0" w:line="288" w:lineRule="auto"/>
        <w:jc w:val="both"/>
        <w:rPr>
          <w:rFonts w:ascii="Arial" w:hAnsi="Arial" w:cs="Arial"/>
          <w:lang w:val="en-GB"/>
        </w:rPr>
      </w:pPr>
    </w:p>
    <w:p w:rsidR="000D5EA1"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 xml:space="preserve">Chapter 29 of the statute provided that </w:t>
      </w:r>
      <w:r w:rsidRPr="000D5EA1">
        <w:rPr>
          <w:rFonts w:ascii="Arial" w:hAnsi="Arial" w:cs="Arial"/>
          <w:i/>
          <w:lang w:val="en-GB"/>
        </w:rPr>
        <w:t>'…if any Serjeant, Pleader or other, do any manner of Deceit or Collusion in any King’s Court or consent in deceit of the Court or beguile the Court or the Party and thereof be attainted, he shall be imprisoned for a year and a day from thenceforth shall not be heard to plead in Court for any Man'.</w:t>
      </w:r>
      <w:r w:rsidRPr="00F63D8A">
        <w:rPr>
          <w:rFonts w:ascii="Arial" w:hAnsi="Arial" w:cs="Arial"/>
          <w:lang w:val="en-GB"/>
        </w:rPr>
        <w:t xml:space="preserve"> </w:t>
      </w:r>
    </w:p>
    <w:p w:rsidR="000D5EA1" w:rsidRDefault="000D5EA1"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Prohibited behaviour included deception of the court or a party and ranged from extortion, bribery and abuse of power to abusive litigation tactics such as champerty, maintenance and barratry (habitually initiating, maintaining or vexatiously persisting in or inciting litigation) through false statements in pleadings and antagonising judges. Indeed, so wide was the discretion given to judges to regulate the conduct of lawyers that the statute was effectively a general prohibition on misconduct by lawyers (even in some cases extending to professional negligence) and breaches were punishable by imprisonment, fines and/or a prohibition upon further pleading.</w:t>
      </w:r>
    </w:p>
    <w:p w:rsidR="000D5EA1" w:rsidRPr="00F63D8A" w:rsidRDefault="000D5EA1"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The London Ordinance of 1280 reflects a continuation of concern over standards of conduct by lawyers, but also over controlling the number of lawyers in practice. The ordinance regulated the admission of lawyers to practise in the City of London courts such that the serjeants and attorneys probably had a monopoly on the right to practise in these courts. Although no doubt partially motivated by self-interest, these early attempts to restrict competition appear to have been aimed at assuring the competency of lawyers in the public interest.</w:t>
      </w:r>
    </w:p>
    <w:p w:rsidR="000D5EA1" w:rsidRPr="00F63D8A" w:rsidRDefault="000D5EA1"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The ordinance also prohibited lawyers from acting for both parties or acting for a party against a former client in the same matter and ensured that a lawyer could not withdraw from proceedings without the consent of the client. Breach of the ordinance was punishable mainly by temporary or permanent suspension from practice. Very few records have been discovered of cases in which the ordinance was applied, and those that exist relate to such diverse conduct as conflict of interests and professional negligence. The former case was settled and in the latter case the sanction was imprisonment.</w:t>
      </w:r>
    </w:p>
    <w:p w:rsidR="0002503D" w:rsidRPr="00F63D8A" w:rsidRDefault="0002503D"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 xml:space="preserve">A further ordinance, promulgated by Edward I in 1292, appears to have been introduced in response to a perception of extensive misconduct by both lawyers and the judiciary. The ordinance placed the supervision of lawyers practising in the </w:t>
      </w:r>
      <w:r w:rsidR="0002503D">
        <w:rPr>
          <w:rFonts w:ascii="Arial" w:hAnsi="Arial" w:cs="Arial"/>
          <w:lang w:val="en-GB"/>
        </w:rPr>
        <w:t>K</w:t>
      </w:r>
      <w:r w:rsidRPr="00F63D8A">
        <w:rPr>
          <w:rFonts w:ascii="Arial" w:hAnsi="Arial" w:cs="Arial"/>
          <w:lang w:val="en-GB"/>
        </w:rPr>
        <w:t xml:space="preserve">ing’s courts under the control of the king’s judges. The same ordinance further regulated the admission of lawyers to practise by reference to minimum standards of competence and was designed to reduce the number of practising lawyers to </w:t>
      </w:r>
      <w:r w:rsidRPr="0002503D">
        <w:rPr>
          <w:rFonts w:ascii="Arial" w:hAnsi="Arial" w:cs="Arial"/>
          <w:i/>
          <w:lang w:val="en-GB"/>
        </w:rPr>
        <w:t>'seven times twenty'</w:t>
      </w:r>
      <w:r w:rsidRPr="00F63D8A">
        <w:rPr>
          <w:rFonts w:ascii="Arial" w:hAnsi="Arial" w:cs="Arial"/>
          <w:lang w:val="en-GB"/>
        </w:rPr>
        <w:t>, although ultimately the number of appointments was left to the discretion of the justices and the number of 140 was quickly surpassed. The thinking behind this, as confirmed by Edward I himself following the adoption of the ordinance, appears to have been that too many lawyers would mean excessive litigation and that some lawyers could only survive through 'fraud and malice'. The ordinance of 1292 was also the first time that a requirement was formally set out in statute for lawyers to be able to prove their integrity.</w:t>
      </w:r>
    </w:p>
    <w:p w:rsidR="0002503D" w:rsidRPr="00F63D8A" w:rsidRDefault="0002503D"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There were further statutes in 1402 and 1455 designed to limit the number of practising attorneys and to ensure that they were properly trained, competent and of good moral character. Again, these interventions were in response to public complaints about excessive litigation resulting from incitement to suit, incompetence and misconduct by lawyers.</w:t>
      </w:r>
    </w:p>
    <w:p w:rsidR="0002503D" w:rsidRPr="00F63D8A" w:rsidRDefault="0002503D"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A series of bills was presented to parliament during the 16</w:t>
      </w:r>
      <w:r w:rsidRPr="0002503D">
        <w:rPr>
          <w:rFonts w:ascii="Arial" w:hAnsi="Arial" w:cs="Arial"/>
          <w:vertAlign w:val="superscript"/>
          <w:lang w:val="en-GB"/>
        </w:rPr>
        <w:t>th</w:t>
      </w:r>
      <w:r w:rsidR="0002503D">
        <w:rPr>
          <w:rFonts w:ascii="Arial" w:hAnsi="Arial" w:cs="Arial"/>
          <w:lang w:val="en-GB"/>
        </w:rPr>
        <w:t xml:space="preserve"> </w:t>
      </w:r>
      <w:r w:rsidRPr="00F63D8A">
        <w:rPr>
          <w:rFonts w:ascii="Arial" w:hAnsi="Arial" w:cs="Arial"/>
          <w:lang w:val="en-GB"/>
        </w:rPr>
        <w:t xml:space="preserve">century intended to reduce the number of lawyers and, with it, the number of frivolous suits. In 1606 parliament passed one such bill entitled </w:t>
      </w:r>
      <w:r w:rsidRPr="0002503D">
        <w:rPr>
          <w:rFonts w:ascii="Arial" w:hAnsi="Arial" w:cs="Arial"/>
          <w:i/>
          <w:lang w:val="en-GB"/>
        </w:rPr>
        <w:t>'An Acte to reforme the Multitudes and Misdemeanours of Attorneys and Solicitors at Lawe'</w:t>
      </w:r>
      <w:r w:rsidRPr="00F63D8A">
        <w:rPr>
          <w:rFonts w:ascii="Arial" w:hAnsi="Arial" w:cs="Arial"/>
          <w:lang w:val="en-GB"/>
        </w:rPr>
        <w:t xml:space="preserve">. The preamble to the </w:t>
      </w:r>
      <w:r w:rsidR="0002503D">
        <w:rPr>
          <w:rFonts w:ascii="Arial" w:hAnsi="Arial" w:cs="Arial"/>
          <w:lang w:val="en-GB"/>
        </w:rPr>
        <w:t>A</w:t>
      </w:r>
      <w:r w:rsidRPr="00F63D8A">
        <w:rPr>
          <w:rFonts w:ascii="Arial" w:hAnsi="Arial" w:cs="Arial"/>
          <w:lang w:val="en-GB"/>
        </w:rPr>
        <w:t xml:space="preserve">ct related that excessive and/or fictitious fees had been demanded by lawyers, </w:t>
      </w:r>
      <w:r w:rsidRPr="0002503D">
        <w:rPr>
          <w:rFonts w:ascii="Arial" w:hAnsi="Arial" w:cs="Arial"/>
          <w:i/>
          <w:lang w:val="en-GB"/>
        </w:rPr>
        <w:t>'whereby the subjectes growe to be overmuch burthened, and the practise of the juste and honest sergeant and counsellor at lawe greatly slandered'</w:t>
      </w:r>
      <w:r w:rsidRPr="00F63D8A">
        <w:rPr>
          <w:rFonts w:ascii="Arial" w:hAnsi="Arial" w:cs="Arial"/>
          <w:lang w:val="en-GB"/>
        </w:rPr>
        <w:t xml:space="preserve">. The </w:t>
      </w:r>
      <w:r w:rsidR="0002503D">
        <w:rPr>
          <w:rFonts w:ascii="Arial" w:hAnsi="Arial" w:cs="Arial"/>
          <w:lang w:val="en-GB"/>
        </w:rPr>
        <w:t>A</w:t>
      </w:r>
      <w:r w:rsidRPr="00F63D8A">
        <w:rPr>
          <w:rFonts w:ascii="Arial" w:hAnsi="Arial" w:cs="Arial"/>
          <w:lang w:val="en-GB"/>
        </w:rPr>
        <w:t xml:space="preserve">ct further provided that if any attorney or solicitor should </w:t>
      </w:r>
      <w:r w:rsidRPr="0002503D">
        <w:rPr>
          <w:rFonts w:ascii="Arial" w:hAnsi="Arial" w:cs="Arial"/>
          <w:i/>
          <w:lang w:val="en-GB"/>
        </w:rPr>
        <w:t>'willingly delay his client’s suites to worke his own gaine'</w:t>
      </w:r>
      <w:r w:rsidRPr="00F63D8A">
        <w:rPr>
          <w:rFonts w:ascii="Arial" w:hAnsi="Arial" w:cs="Arial"/>
          <w:lang w:val="en-GB"/>
        </w:rPr>
        <w:t xml:space="preserve">, or if they were to demand more in fees than had been initially indicated, he would be liable to an action for damages of </w:t>
      </w:r>
      <w:r w:rsidRPr="00F63D8A">
        <w:rPr>
          <w:rFonts w:ascii="Arial" w:hAnsi="Arial" w:cs="Arial"/>
          <w:lang w:val="en-GB"/>
        </w:rPr>
        <w:lastRenderedPageBreak/>
        <w:t xml:space="preserve">up to three times that value and could be discharged from practice. It also included provisions relating to avoiding </w:t>
      </w:r>
      <w:r w:rsidRPr="0002503D">
        <w:rPr>
          <w:rFonts w:ascii="Arial" w:hAnsi="Arial" w:cs="Arial"/>
          <w:i/>
          <w:lang w:val="en-GB"/>
        </w:rPr>
        <w:t>'the infinite number'</w:t>
      </w:r>
      <w:r w:rsidRPr="00F63D8A">
        <w:rPr>
          <w:rFonts w:ascii="Arial" w:hAnsi="Arial" w:cs="Arial"/>
          <w:lang w:val="en-GB"/>
        </w:rPr>
        <w:t xml:space="preserve"> of solicitors and attorneys.</w:t>
      </w:r>
    </w:p>
    <w:p w:rsidR="0002503D" w:rsidRPr="00F63D8A" w:rsidRDefault="0002503D" w:rsidP="00F63D8A">
      <w:pPr>
        <w:pStyle w:val="NormalWeb"/>
        <w:spacing w:before="0" w:beforeAutospacing="0" w:after="0" w:afterAutospacing="0" w:line="288" w:lineRule="auto"/>
        <w:jc w:val="both"/>
        <w:rPr>
          <w:rFonts w:ascii="Arial" w:hAnsi="Arial" w:cs="Arial"/>
          <w:lang w:val="en-GB"/>
        </w:rPr>
      </w:pPr>
    </w:p>
    <w:p w:rsidR="005F6CDC" w:rsidRPr="00F63D8A"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It is striking that these medieval examples of regulation of lawyers are concerned with the same issues as arise in modern legal practice today: the extent to which restrictions on the right to practise as a lawyer can be justified in the public interest (see, in particular, the director general of fair trading’s report</w:t>
      </w:r>
      <w:r w:rsidRPr="00F63D8A">
        <w:rPr>
          <w:rStyle w:val="apple-converted-space"/>
          <w:rFonts w:ascii="Arial" w:hAnsi="Arial" w:cs="Arial"/>
          <w:lang w:val="en-GB"/>
        </w:rPr>
        <w:t> </w:t>
      </w:r>
      <w:r w:rsidRPr="00F63D8A">
        <w:rPr>
          <w:rStyle w:val="Emphasis"/>
          <w:rFonts w:ascii="Arial" w:hAnsi="Arial" w:cs="Arial"/>
          <w:lang w:val="en-GB"/>
        </w:rPr>
        <w:t>Competition in professions</w:t>
      </w:r>
      <w:r w:rsidRPr="00F63D8A">
        <w:rPr>
          <w:rFonts w:ascii="Arial" w:hAnsi="Arial" w:cs="Arial"/>
          <w:lang w:val="en-GB"/>
        </w:rPr>
        <w:t>, March 2001); the maintenance of an acceptable level of competence for lawyers; and the prevention of misconduct. They also seem to support the conclusion that public attitudes to lawyers were to some extent hostile from the very earliest days of the profession.</w:t>
      </w: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In the period 1483–1558, principles of professional conduct above and beyond mere honesty began to be formulated for the bar by the Court of Common Pleas, the main common law courts of the time.</w:t>
      </w:r>
    </w:p>
    <w:p w:rsidR="0002503D" w:rsidRPr="00F63D8A" w:rsidRDefault="0002503D"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The principal evidence of this formulation consists of three speeches to the new serjeants at law during the reign of Henry VIII in which the lord chief justice would explain the ethics of the profession and the high standards of conduct expected of practitioners. A number of specific requirements can be identified from these speeches:</w:t>
      </w:r>
    </w:p>
    <w:p w:rsidR="0002503D" w:rsidRDefault="0002503D" w:rsidP="0002503D">
      <w:pPr>
        <w:spacing w:after="0" w:line="288" w:lineRule="auto"/>
        <w:jc w:val="both"/>
        <w:rPr>
          <w:rFonts w:ascii="Arial" w:eastAsia="Times New Roman" w:hAnsi="Arial" w:cs="Arial"/>
          <w:sz w:val="24"/>
          <w:szCs w:val="24"/>
          <w:lang w:val="en-GB"/>
        </w:rPr>
      </w:pP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assist the poor and oppressed without reward;</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give counsel to anyone who should seek it – one of the earliest statements of what is now called the ‘cab rank rule’ comes from the Scottish Court of Session in 1532: ‘No advocate without very good cause shall refuse to act for any person tendering a reasonable fee, under pain of deprivation of his office of advocate’;</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dissuade clients from pursuing unjust causes and to advise them to abandon causes if it appeared that they were in the wrong;</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deal with business expeditiously and not to prolong it for gain;</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keep clients’ business secret (by 1647, the allegation that an attorney ‘revealed the secrets of my cause’ was considered so shocking that it was actionable for slander);</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avoid corruption by money or favour, not merely in deceiving clients but also for instance in pretending to be ‘blind’ – unable to assist in a worthy cause;</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‘stick with hand, foot and nail’ to the truth, never pretending that a wrong is right; and</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do nothing contrary to good conscience.</w:t>
      </w:r>
    </w:p>
    <w:p w:rsidR="0002503D" w:rsidRDefault="0002503D"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In spite of the wealth of legal training offered by the </w:t>
      </w:r>
      <w:r w:rsidR="0002503D">
        <w:rPr>
          <w:rFonts w:ascii="Arial" w:eastAsia="Times New Roman" w:hAnsi="Arial" w:cs="Arial"/>
          <w:sz w:val="24"/>
          <w:szCs w:val="24"/>
          <w:lang w:val="en-GB"/>
        </w:rPr>
        <w:t>Inns of C</w:t>
      </w:r>
      <w:r w:rsidRPr="00F63D8A">
        <w:rPr>
          <w:rFonts w:ascii="Arial" w:eastAsia="Times New Roman" w:hAnsi="Arial" w:cs="Arial"/>
          <w:sz w:val="24"/>
          <w:szCs w:val="24"/>
          <w:lang w:val="en-GB"/>
        </w:rPr>
        <w:t xml:space="preserve">ourt, whose principal function was the education of students and practitioners of the law, it seems that no specific instruction on professional ethics was provided. Formal instruction on ethics may have been considered unnecessary, not least because lawyers no doubt discussed </w:t>
      </w:r>
      <w:r w:rsidRPr="00F63D8A">
        <w:rPr>
          <w:rFonts w:ascii="Arial" w:eastAsia="Times New Roman" w:hAnsi="Arial" w:cs="Arial"/>
          <w:sz w:val="24"/>
          <w:szCs w:val="24"/>
          <w:lang w:val="en-GB"/>
        </w:rPr>
        <w:lastRenderedPageBreak/>
        <w:t>professional conduct matters and specific recent examples of misconduct among themselves.</w:t>
      </w:r>
    </w:p>
    <w:p w:rsidR="0002503D" w:rsidRPr="00F63D8A" w:rsidRDefault="0002503D"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Concepts such as the importance of loyalty and confidentiality would no doubt have evolved and developed from those discussions, influenced both by Christian religious education as well as developing humanist learning, such as the lawyer’s duty to justice. The academic Jonathan Rose suggests that senior lawyers, as role models, may well have influenced the development of ethical sensitivities.</w:t>
      </w:r>
    </w:p>
    <w:p w:rsidR="0002503D" w:rsidRPr="00F63D8A" w:rsidRDefault="0002503D"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similarities between the ethics of the lawyers practising before the church courts and those of the lawyers practising at the common law bar are no doubt explained partly by the fact that principles of ethics, in common with substantive legal principles, were originally based on biblical precepts. By way of example, the medieval ethical principle that it was wrong knowingly to defend an unjust cause can be traced to the writings of the theologian St Thomas Aquinas. St Thomas taught that </w:t>
      </w:r>
      <w:r w:rsidRPr="00F63D8A">
        <w:rPr>
          <w:rFonts w:ascii="Arial" w:eastAsia="Times New Roman" w:hAnsi="Arial" w:cs="Arial"/>
          <w:i/>
          <w:iCs/>
          <w:sz w:val="24"/>
          <w:szCs w:val="24"/>
          <w:lang w:val="en-GB"/>
        </w:rPr>
        <w:t>lex humana</w:t>
      </w:r>
      <w:r w:rsidRPr="00F63D8A">
        <w:rPr>
          <w:rFonts w:ascii="Arial" w:eastAsia="Times New Roman" w:hAnsi="Arial" w:cs="Arial"/>
          <w:sz w:val="24"/>
          <w:szCs w:val="24"/>
          <w:lang w:val="en-GB"/>
        </w:rPr>
        <w:t> was subordinate to the eternal law of God. Additionally, it appears that early lawyers practised in both the ecclesiastical and common law courts and that, although the two legal professions developed separately, there would no doubt have been some cross-fertilisation between them.</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king’s serjeants, who were appointed from the ranks of the serjeants at law and represented the Crown in important criminal and civil cases, were not allowed to appear or advise against the Crown except in certain limited circumstances; and then, if the verdict went the other way, they could change sides and ‘pray judgment for the king’.</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Conflicts of interest remained a very serious matter. There are a number of reported defamation cases in the 16th century containing judicial pronouncements suggesting that accusing a lawyer of being an </w:t>
      </w:r>
      <w:r w:rsidRPr="001B0918">
        <w:rPr>
          <w:rFonts w:ascii="Arial" w:eastAsia="Times New Roman" w:hAnsi="Arial" w:cs="Arial"/>
          <w:i/>
          <w:sz w:val="24"/>
          <w:szCs w:val="24"/>
          <w:lang w:val="en-GB"/>
        </w:rPr>
        <w:t>‘ambidexter’</w:t>
      </w:r>
      <w:r w:rsidRPr="00F63D8A">
        <w:rPr>
          <w:rFonts w:ascii="Arial" w:eastAsia="Times New Roman" w:hAnsi="Arial" w:cs="Arial"/>
          <w:sz w:val="24"/>
          <w:szCs w:val="24"/>
          <w:lang w:val="en-GB"/>
        </w:rPr>
        <w:t xml:space="preserve"> or, colloquially, a </w:t>
      </w:r>
      <w:r w:rsidRPr="001B0918">
        <w:rPr>
          <w:rFonts w:ascii="Arial" w:eastAsia="Times New Roman" w:hAnsi="Arial" w:cs="Arial"/>
          <w:i/>
          <w:sz w:val="24"/>
          <w:szCs w:val="24"/>
          <w:lang w:val="en-GB"/>
        </w:rPr>
        <w:t>‘daffy-down-dilly’</w:t>
      </w:r>
      <w:r w:rsidRPr="00F63D8A">
        <w:rPr>
          <w:rFonts w:ascii="Arial" w:eastAsia="Times New Roman" w:hAnsi="Arial" w:cs="Arial"/>
          <w:sz w:val="24"/>
          <w:szCs w:val="24"/>
          <w:lang w:val="en-GB"/>
        </w:rPr>
        <w:t xml:space="preserve"> was reckoned to be as serious a charge as to accuse a doctor of killing a patient.</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Sir Nicholas Bacon, the Lord Keeper of the Great Seal in the reign of Elizabeth I, suggested in 1559 that it was improper to </w:t>
      </w:r>
      <w:r w:rsidRPr="001B0918">
        <w:rPr>
          <w:rFonts w:ascii="Arial" w:eastAsia="Times New Roman" w:hAnsi="Arial" w:cs="Arial"/>
          <w:i/>
          <w:sz w:val="24"/>
          <w:szCs w:val="24"/>
          <w:lang w:val="en-GB"/>
        </w:rPr>
        <w:t>‘offer jeofail or error’</w:t>
      </w:r>
      <w:r w:rsidRPr="00F63D8A">
        <w:rPr>
          <w:rFonts w:ascii="Arial" w:eastAsia="Times New Roman" w:hAnsi="Arial" w:cs="Arial"/>
          <w:sz w:val="24"/>
          <w:szCs w:val="24"/>
          <w:lang w:val="en-GB"/>
        </w:rPr>
        <w:t xml:space="preserve"> – to take technical points after a hearing – although this may not have been a universally held opinion.</w:t>
      </w:r>
    </w:p>
    <w:p w:rsidR="001B0918" w:rsidRPr="00F63D8A" w:rsidRDefault="001B0918" w:rsidP="00F63D8A">
      <w:pPr>
        <w:spacing w:after="0" w:line="288" w:lineRule="auto"/>
        <w:jc w:val="both"/>
        <w:rPr>
          <w:rFonts w:ascii="Arial" w:eastAsia="Times New Roman" w:hAnsi="Arial" w:cs="Arial"/>
          <w:sz w:val="24"/>
          <w:szCs w:val="24"/>
          <w:lang w:val="en-GB"/>
        </w:rPr>
      </w:pPr>
    </w:p>
    <w:p w:rsidR="001B0918"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1 Attorneys and solicitors</w:t>
      </w:r>
    </w:p>
    <w:p w:rsidR="00AC3B3D" w:rsidRDefault="00AC3B3D"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On the other side of the profession was the attorney at law who was in some ways the forerunner of the present day solicitor, although the office of attorney was abolished in 1875 as a result of the Judicature Acts. The Ordinance of 1292 had recognised attorneys </w:t>
      </w:r>
      <w:r w:rsidRPr="00F63D8A">
        <w:rPr>
          <w:rFonts w:ascii="Arial" w:eastAsia="Times New Roman" w:hAnsi="Arial" w:cs="Arial"/>
          <w:sz w:val="24"/>
          <w:szCs w:val="24"/>
          <w:lang w:val="en-GB"/>
        </w:rPr>
        <w:lastRenderedPageBreak/>
        <w:t>as a separate part of the legal profession, confirming their monopoly on the right to practise in the courts of the Common Bench, and may well be the origin of solicitors being officers of the court. Attorneys dealt with procedural matters and managed litigation on behalf of their clients. They began to develop similar professional standards to those adopted by the serjeants under the supervision (in their capacity as officers of the court) of the judges of the Common Pleas.</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There were in fact also ‘solicitors’, practising in Tudor England, who were not necessarily trained lawyers of any description, although some of them were members of one of the inns of court. It was not until the 19th century that the expression ‘attorney’ was dropped in favour of the term ‘solicitor’.</w:t>
      </w:r>
    </w:p>
    <w:p w:rsidR="001B0918"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The earliest surviving form of the attorney’s oath dates from the </w:t>
      </w:r>
      <w:r w:rsidR="001B0918" w:rsidRPr="00F63D8A">
        <w:rPr>
          <w:rFonts w:ascii="Arial" w:eastAsia="Times New Roman" w:hAnsi="Arial" w:cs="Arial"/>
          <w:sz w:val="24"/>
          <w:szCs w:val="24"/>
          <w:lang w:val="en-GB"/>
        </w:rPr>
        <w:t>mid-1550s</w:t>
      </w:r>
      <w:r w:rsidRPr="00F63D8A">
        <w:rPr>
          <w:rFonts w:ascii="Arial" w:eastAsia="Times New Roman" w:hAnsi="Arial" w:cs="Arial"/>
          <w:sz w:val="24"/>
          <w:szCs w:val="24"/>
          <w:lang w:val="en-GB"/>
        </w:rPr>
        <w:t xml:space="preserve">, although it is known that the oath was in use as early as the 1520s and possibly even before that. The oath contained the following requirements: </w:t>
      </w:r>
    </w:p>
    <w:p w:rsidR="001B0918"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‘You shall do no falsehood nor consent to any to be done in this court; and if you know of any to be done you shall give knowledge thereof to my lord chief justice and other my masters his brethren, that it may be reformed. You shall delay no man for lucre or for malice. You shall increase no fees, but be content with the fees accustomed. You shall plead no foreign pleas nor sue any foreign suits unlawfully to hurt any man, but such as shall stand with the order of the law and your conscience. You shall seal all such process as you shall sue out of this court with the seal thereof or see the king’s majesty or my lord chief justice satisfied for the same. Also, you shall not wittingly sue or procure any false suit, nor give aid or counsel to the same, on pain to be expelled from this court for ever. And further use yourself in the office of an attorney within this court according to your learning and discretion. So help you God etc.’</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An oath was also taken as early as the 15th century by court officers in which they were required to use every effort to hinder falsehoods and reveal them to the court.</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In the attorney’s oath can be seen an early reference to the disciplinary consequences of falling short of the required standards of ethical behaviour. The penalty for deliberately making or assisting in making false claims was permanent expulsion from the court and, thereby, legal practice. An attorney expelled from the court after formal investigation on oath was said to be ‘forejudged’ and it was customary for the penalty to be physically enforced by throwing the attorney over the bar of the court. This gave rise to the colloquial expression ‘to turn up one’s heels’.</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lastRenderedPageBreak/>
        <w:t>Some form of suspension from practice was imposed while a complaint of professional misconduct against an attorney was investigated and in serious cases the investigation could be by a grand jury of attorneys. It is believed that less serious offences such as continuing with a matter without good cause were punished by a fine or a term of imprisonment.</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As with all lawyers, the court regulated the professional conduct of attorneys. Up to the 13</w:t>
      </w:r>
      <w:r w:rsidRPr="001B0918">
        <w:rPr>
          <w:rFonts w:ascii="Arial" w:eastAsia="Times New Roman" w:hAnsi="Arial" w:cs="Arial"/>
          <w:sz w:val="24"/>
          <w:szCs w:val="24"/>
          <w:vertAlign w:val="superscript"/>
          <w:lang w:val="en-GB"/>
        </w:rPr>
        <w:t>th</w:t>
      </w:r>
      <w:r w:rsidR="001B0918">
        <w:rPr>
          <w:rFonts w:ascii="Arial" w:eastAsia="Times New Roman" w:hAnsi="Arial" w:cs="Arial"/>
          <w:sz w:val="24"/>
          <w:szCs w:val="24"/>
          <w:lang w:val="en-GB"/>
        </w:rPr>
        <w:t xml:space="preserve"> </w:t>
      </w:r>
      <w:r w:rsidRPr="00F63D8A">
        <w:rPr>
          <w:rFonts w:ascii="Arial" w:eastAsia="Times New Roman" w:hAnsi="Arial" w:cs="Arial"/>
          <w:sz w:val="24"/>
          <w:szCs w:val="24"/>
          <w:lang w:val="en-GB"/>
        </w:rPr>
        <w:t>century a litigant was required to appear in person and to plead his case. Practising attorneys became more commonplace during the 13</w:t>
      </w:r>
      <w:r w:rsidRPr="001B0918">
        <w:rPr>
          <w:rFonts w:ascii="Arial" w:eastAsia="Times New Roman" w:hAnsi="Arial" w:cs="Arial"/>
          <w:sz w:val="24"/>
          <w:szCs w:val="24"/>
          <w:vertAlign w:val="superscript"/>
          <w:lang w:val="en-GB"/>
        </w:rPr>
        <w:t>th</w:t>
      </w:r>
      <w:r w:rsidR="001B0918">
        <w:rPr>
          <w:rFonts w:ascii="Arial" w:eastAsia="Times New Roman" w:hAnsi="Arial" w:cs="Arial"/>
          <w:sz w:val="24"/>
          <w:szCs w:val="24"/>
          <w:lang w:val="en-GB"/>
        </w:rPr>
        <w:t xml:space="preserve"> </w:t>
      </w:r>
      <w:r w:rsidRPr="00F63D8A">
        <w:rPr>
          <w:rFonts w:ascii="Arial" w:eastAsia="Times New Roman" w:hAnsi="Arial" w:cs="Arial"/>
          <w:sz w:val="24"/>
          <w:szCs w:val="24"/>
          <w:lang w:val="en-GB"/>
        </w:rPr>
        <w:t>to 15</w:t>
      </w:r>
      <w:r w:rsidRPr="001B0918">
        <w:rPr>
          <w:rFonts w:ascii="Arial" w:eastAsia="Times New Roman" w:hAnsi="Arial" w:cs="Arial"/>
          <w:sz w:val="24"/>
          <w:szCs w:val="24"/>
          <w:vertAlign w:val="superscript"/>
          <w:lang w:val="en-GB"/>
        </w:rPr>
        <w:t>th</w:t>
      </w:r>
      <w:r w:rsidR="001B0918">
        <w:rPr>
          <w:rFonts w:ascii="Arial" w:eastAsia="Times New Roman" w:hAnsi="Arial" w:cs="Arial"/>
          <w:sz w:val="24"/>
          <w:szCs w:val="24"/>
          <w:lang w:val="en-GB"/>
        </w:rPr>
        <w:t xml:space="preserve"> </w:t>
      </w:r>
      <w:r w:rsidRPr="00F63D8A">
        <w:rPr>
          <w:rFonts w:ascii="Arial" w:eastAsia="Times New Roman" w:hAnsi="Arial" w:cs="Arial"/>
          <w:sz w:val="24"/>
          <w:szCs w:val="24"/>
          <w:lang w:val="en-GB"/>
        </w:rPr>
        <w:t xml:space="preserve">centuries. </w:t>
      </w:r>
      <w:r w:rsidR="001B0918" w:rsidRPr="00F63D8A">
        <w:rPr>
          <w:rFonts w:ascii="Arial" w:eastAsia="Times New Roman" w:hAnsi="Arial" w:cs="Arial"/>
          <w:sz w:val="24"/>
          <w:szCs w:val="24"/>
          <w:lang w:val="en-GB"/>
        </w:rPr>
        <w:t>However,</w:t>
      </w:r>
      <w:r w:rsidRPr="00F63D8A">
        <w:rPr>
          <w:rFonts w:ascii="Arial" w:eastAsia="Times New Roman" w:hAnsi="Arial" w:cs="Arial"/>
          <w:sz w:val="24"/>
          <w:szCs w:val="24"/>
          <w:lang w:val="en-GB"/>
        </w:rPr>
        <w:t xml:space="preserve"> judges appear always to have exercised an inherent power to control the admission of lawyers to practise in their courts and to sanction them when they misbehaved. (Indeed, the overriding power to refuse to hear a particular advocate has recently been placed on a statutory footing in </w:t>
      </w:r>
      <w:r w:rsidR="001B0918">
        <w:rPr>
          <w:rFonts w:ascii="Arial" w:eastAsia="Times New Roman" w:hAnsi="Arial" w:cs="Arial"/>
          <w:sz w:val="24"/>
          <w:szCs w:val="24"/>
          <w:lang w:val="en-GB"/>
        </w:rPr>
        <w:t xml:space="preserve">England - </w:t>
      </w:r>
      <w:r w:rsidRPr="00F63D8A">
        <w:rPr>
          <w:rFonts w:ascii="Arial" w:eastAsia="Times New Roman" w:hAnsi="Arial" w:cs="Arial"/>
          <w:sz w:val="24"/>
          <w:szCs w:val="24"/>
          <w:lang w:val="en-GB"/>
        </w:rPr>
        <w:t>sections 27(4) and (5) of the Courts and Legal Services Act 1990, subject to the requirement to give reasons for exercising the power.) It appears that the disciplinary function was carried out publicly, at least in serious cases.</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In 1558, the court summoned all the attorneys and court officers to hear the sentence of forejudging passed on a senior attorney of 40 years’ standing ‘to the terror of other offenders’.</w:t>
      </w:r>
    </w:p>
    <w:p w:rsidR="001B0918" w:rsidRPr="00F63D8A" w:rsidRDefault="001B0918" w:rsidP="00F63D8A">
      <w:pPr>
        <w:spacing w:after="0" w:line="288" w:lineRule="auto"/>
        <w:jc w:val="both"/>
        <w:rPr>
          <w:rFonts w:ascii="Arial" w:eastAsia="Times New Roman" w:hAnsi="Arial" w:cs="Arial"/>
          <w:sz w:val="24"/>
          <w:szCs w:val="24"/>
          <w:lang w:val="en-GB"/>
        </w:rPr>
      </w:pPr>
    </w:p>
    <w:p w:rsidR="001B0918"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2 The litigation and advocacy divide</w:t>
      </w:r>
    </w:p>
    <w:p w:rsidR="00AC3B3D" w:rsidRDefault="00AC3B3D"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Historically, barristers had exclusive rights of audience in the higher courts including the Crown courts, High Court and Court of Appeal, although solicitors have always had rights of audience in the lower courts, including the magistrates’ courts and the county courts and, in interim matters, in the higher courts. Barristers could not generally appear in court, except on dock briefs, unless instructed by an attorney (or, later, a solicitor). They had to be attended in court by a member of the solicitor’s practice.</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Barristers expected their ‘professional clients’ (solicitors) to visit them for ‘consultations’ at their chambers, in the manner of a consultant doctor, and negotiations over fees were conducted by barristers’ clerks and not by barristers themselves who regarded such matters as unprofessional. In the early 18th century, the notion developed that barristers received an ‘honorarium’ rather than ‘merces’.</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In recent times many of these traditions of the bar have been swept away. The legal profession, spilt into two branches for several centuries by historical accident, is now in a period of uneasy transition.</w:t>
      </w:r>
      <w:r w:rsidR="001B0918">
        <w:rPr>
          <w:rFonts w:ascii="Arial" w:eastAsia="Times New Roman" w:hAnsi="Arial" w:cs="Arial"/>
          <w:sz w:val="24"/>
          <w:szCs w:val="24"/>
          <w:lang w:val="en-GB"/>
        </w:rPr>
        <w:t xml:space="preserve"> </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lastRenderedPageBreak/>
        <w:t>In 1990, all solicitors were given full rights of audience in all courts upon qualification, albeit with restrictions on the exercise of some of those rights until the grant of a higher courts qualification following training and monitored experience. Solicitors began to appear in the higher courts in 1994.</w:t>
      </w:r>
      <w:r w:rsidR="001B0918">
        <w:rPr>
          <w:rFonts w:ascii="Arial" w:eastAsia="Times New Roman" w:hAnsi="Arial" w:cs="Arial"/>
          <w:sz w:val="24"/>
          <w:szCs w:val="24"/>
          <w:lang w:val="en-GB"/>
        </w:rPr>
        <w:t xml:space="preserve"> </w:t>
      </w:r>
      <w:r w:rsidRPr="00F63D8A">
        <w:rPr>
          <w:rFonts w:ascii="Arial" w:eastAsia="Times New Roman" w:hAnsi="Arial" w:cs="Arial"/>
          <w:sz w:val="24"/>
          <w:szCs w:val="24"/>
          <w:lang w:val="en-GB"/>
        </w:rPr>
        <w:t>Barristers are no longer prevented from visiting solicitors at their offices and may freely accept instructions from professional persons other than solicitors who have been approved to instruct barristers directly, or even, subject to certain restrictions, directly from a lay client.</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profession of barrister is undergoing a transformation to accommodate modern legal practice while continuing to provide a service to the public specialising in advisory work and advocacy. At the same time, solicitors are beginning to take advantage of the increased work opportunities made available by the relaxation of restrictions on their rights of audience.</w:t>
      </w: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principles of ethics followed by lawyers since medieval times have often been the subject of judicial comment but were not committed to any written or permanent form until the 20</w:t>
      </w:r>
      <w:r w:rsidRPr="001B0918">
        <w:rPr>
          <w:rFonts w:ascii="Arial" w:eastAsia="Times New Roman" w:hAnsi="Arial" w:cs="Arial"/>
          <w:sz w:val="24"/>
          <w:szCs w:val="24"/>
          <w:vertAlign w:val="superscript"/>
          <w:lang w:val="en-GB"/>
        </w:rPr>
        <w:t>th</w:t>
      </w:r>
      <w:r w:rsidR="001B0918">
        <w:rPr>
          <w:rFonts w:ascii="Arial" w:eastAsia="Times New Roman" w:hAnsi="Arial" w:cs="Arial"/>
          <w:sz w:val="24"/>
          <w:szCs w:val="24"/>
          <w:lang w:val="en-GB"/>
        </w:rPr>
        <w:t xml:space="preserve"> </w:t>
      </w:r>
      <w:r w:rsidRPr="00F63D8A">
        <w:rPr>
          <w:rFonts w:ascii="Arial" w:eastAsia="Times New Roman" w:hAnsi="Arial" w:cs="Arial"/>
          <w:sz w:val="24"/>
          <w:szCs w:val="24"/>
          <w:lang w:val="en-GB"/>
        </w:rPr>
        <w:t>century. The Law Society’s </w:t>
      </w:r>
      <w:r w:rsidRPr="00F63D8A">
        <w:rPr>
          <w:rFonts w:ascii="Arial" w:eastAsia="Times New Roman" w:hAnsi="Arial" w:cs="Arial"/>
          <w:i/>
          <w:iCs/>
          <w:sz w:val="24"/>
          <w:szCs w:val="24"/>
          <w:lang w:val="en-GB"/>
        </w:rPr>
        <w:t>A Guide to the Professional Conduct and Etiquette of Solicitors</w:t>
      </w:r>
      <w:r w:rsidRPr="00F63D8A">
        <w:rPr>
          <w:rFonts w:ascii="Arial" w:eastAsia="Times New Roman" w:hAnsi="Arial" w:cs="Arial"/>
          <w:sz w:val="24"/>
          <w:szCs w:val="24"/>
          <w:lang w:val="en-GB"/>
        </w:rPr>
        <w:t> was first published in 1960 and ran to eight editions before being superseded in large part by the coming into force of the Law Society’s Code of Conduct in 2007. The bar’s Code of Conduct, first published in 1981 and now in its eighth edition, was equally a creature of the 20th century.</w:t>
      </w:r>
    </w:p>
    <w:p w:rsidR="001B0918" w:rsidRPr="00F63D8A" w:rsidRDefault="001B0918" w:rsidP="00F63D8A">
      <w:pPr>
        <w:spacing w:after="0" w:line="288" w:lineRule="auto"/>
        <w:jc w:val="both"/>
        <w:rPr>
          <w:rFonts w:ascii="Arial" w:eastAsia="Times New Roman" w:hAnsi="Arial" w:cs="Arial"/>
          <w:sz w:val="24"/>
          <w:szCs w:val="24"/>
          <w:lang w:val="en-GB"/>
        </w:rPr>
      </w:pPr>
    </w:p>
    <w:p w:rsidR="001B0918"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In earlier times it was said that no absolute code could be laid down but that (in the words of Lord Macmillan) the solutions to the daily problems arising from the duties of the advocate ‘… are left to the advocate’s honour …’ Yet a number of attempts were made to define the advocate’s ethical obligations. Lord Macmillan identified five core duties of an advocate: ‘… a duty to his client, a duty to his opponent, a duty to the court, a duty to the state and a duty to himself’. </w:t>
      </w:r>
    </w:p>
    <w:p w:rsidR="001B0918"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Sir Malcolm Hilbery regarded the advocate’s code of honour as being found in ‘the traditions of the profession’, to be learnt at ‘the schools of the profession … the Inns of Court’. Du Cann observed that the proper observance of these duties ‘may prevent [the advocate] ever rising to his feet at all, whilst a failure to follow them may result in an appearance before a disciplinary committee … and the striking of his name from the list of those qualified to practise in the courts’. He identified the essential characteristics of an advocate as honesty, judgment, courage, sincerity, humanity and industry.</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In the later part of the 20th century the ethical principles, particularly those governing solicitors, became more detailed and consequently more complicated. But an attempt was made to separate matters of principle, recorded in ‘practice rules’, from matters of </w:t>
      </w:r>
      <w:r w:rsidRPr="00F63D8A">
        <w:rPr>
          <w:rFonts w:ascii="Arial" w:eastAsia="Times New Roman" w:hAnsi="Arial" w:cs="Arial"/>
          <w:sz w:val="24"/>
          <w:szCs w:val="24"/>
          <w:lang w:val="en-GB"/>
        </w:rPr>
        <w:lastRenderedPageBreak/>
        <w:t>detail and interpretation, recorded in notes to the practice rules. This trend continued with the publication of the Law Society’s Code of Conduct which states the core duties of solicitors and the rules of professional conduct but also contains a substantial volume of guidance notes interpreting and commenting on those rules.</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Inevitably, changes in practice have brought with them a re-evaluation of certain ethical principles. A good example is the recent developments in litigation funding.</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Historically, English law has refused on public policy grounds to recognise arrangements whereby litigation was funded by third parties (maintenance) or whereby a third party would maintain an action in return for a share of any award (champerty). A person is guilty of maintenance if he supports litigation in which he has no legitimate concern without just cause or excuse; champerty occurs when the person maintaining another stipulates for a share of the proceeds of the action or suit.</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In </w:t>
      </w:r>
      <w:r w:rsidRPr="00F63D8A">
        <w:rPr>
          <w:rFonts w:ascii="Arial" w:eastAsia="Times New Roman" w:hAnsi="Arial" w:cs="Arial"/>
          <w:i/>
          <w:iCs/>
          <w:sz w:val="24"/>
          <w:szCs w:val="24"/>
          <w:lang w:val="en-GB"/>
        </w:rPr>
        <w:t>Re Trepca Mines (No 2)</w:t>
      </w:r>
      <w:r w:rsidRPr="00F63D8A">
        <w:rPr>
          <w:rFonts w:ascii="Arial" w:eastAsia="Times New Roman" w:hAnsi="Arial" w:cs="Arial"/>
          <w:sz w:val="24"/>
          <w:szCs w:val="24"/>
          <w:lang w:val="en-GB"/>
        </w:rPr>
        <w:t> [1963] 1 Ch 199 Lord Denning MR said: ‘The reason why the common law condemns champerty is because of the abuses to which it may give rise. The common law fears that the champertous maintainer might be tempted, for his own personal gain, to inflame the damages, to suppress evidence, or even to suborn witnesses.’</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But public policy in this area dramatically changed during the 20th century. For example, the state often maintains litigation through legal aid funding. This is due to a general shift in emphasis away from the principles that justified a prohibition on maintenance and champerty towards an emphasis on access to justice for all. Despite the fact that some lawyers resisted the introduction of legal aid in the post-war era on the ground that the independence of lawyers to act in their clients’ best interests would be compromised by their responsibilities to the legal aid fund, the principles behind legal aid are now firmly embedded. Along with this development a new paralegal sector has grown since the 1970s, including Citizens Advice Bureaux and law centres which further assist litigants without means.</w:t>
      </w:r>
    </w:p>
    <w:p w:rsidR="007120D7" w:rsidRPr="00F63D8A" w:rsidRDefault="007120D7"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The courts will also now uphold certain funding arrangements provided by solicitors and third parties. For example, section 58 of the Courts and Legal Services Act 1990 (as amended by section 27 of the Administration of Justice Act 1999) has modified the common law rules on maintenance to permit solicitors to work under certain ‘no win, no fee’ arrangements known as conditional fee agreements. In addition, litigation may be funded by an entirely unconnected third party in certain circumstances, for example where the third party does not seek to exercise ‘excessive’ control over the course of the </w:t>
      </w:r>
      <w:r w:rsidRPr="00F63D8A">
        <w:rPr>
          <w:rFonts w:ascii="Arial" w:eastAsia="Times New Roman" w:hAnsi="Arial" w:cs="Arial"/>
          <w:sz w:val="24"/>
          <w:szCs w:val="24"/>
          <w:lang w:val="en-GB"/>
        </w:rPr>
        <w:lastRenderedPageBreak/>
        <w:t>litigation, or where the third party does not make such a profit that the funded party may not benefit from a successful outcome. The law surrounding such funding arrangements is in its infancy and this is very much a developing area in which ethical considerations are likely to be of huge importance.</w:t>
      </w:r>
    </w:p>
    <w:p w:rsidR="007120D7" w:rsidRPr="00F63D8A" w:rsidRDefault="007120D7"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Free representation for those who could not otherwise afford it, an ancient ethical stalwart, is very much encouraged by the SRA and the Bar Council and has been given new impetus in recent years. The Bar Pro Bono Unit was established in 1996 and the charitable provision of legal services is now a key component of professionalism and corporate social responsibility for many solicitors’ firms, barristers’ chambers and government bodies.</w:t>
      </w:r>
    </w:p>
    <w:p w:rsidR="00AC3B3D" w:rsidRDefault="00AC3B3D" w:rsidP="00F63D8A">
      <w:pPr>
        <w:spacing w:after="0" w:line="288" w:lineRule="auto"/>
        <w:jc w:val="both"/>
        <w:rPr>
          <w:rFonts w:ascii="Arial" w:eastAsia="Times New Roman" w:hAnsi="Arial" w:cs="Arial"/>
          <w:b/>
          <w:bCs/>
          <w:sz w:val="24"/>
          <w:szCs w:val="24"/>
          <w:lang w:val="en-GB"/>
        </w:rPr>
      </w:pPr>
    </w:p>
    <w:p w:rsidR="007120D7"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1 Professional regulation</w:t>
      </w:r>
    </w:p>
    <w:p w:rsidR="007120D7" w:rsidRDefault="007120D7" w:rsidP="00F63D8A">
      <w:pPr>
        <w:spacing w:after="0" w:line="288" w:lineRule="auto"/>
        <w:jc w:val="both"/>
        <w:rPr>
          <w:rFonts w:ascii="Arial" w:eastAsia="Times New Roman" w:hAnsi="Arial" w:cs="Arial"/>
          <w:b/>
          <w:bCs/>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With these recent changes has come an increased focus on the professional regulation of lawyers. Although the courts retain inherent rights to regulate the conduct of those whose profession it is to appear before them, the day-to-day business of regulation has in recent times been undertaken by the governing bodies of lawyers – the Solicitors Regulation Authority (SRA) and the Bar Standards Board.</w:t>
      </w:r>
    </w:p>
    <w:p w:rsidR="007120D7" w:rsidRPr="00F63D8A" w:rsidRDefault="007120D7"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autonomy of both the solicitors’ and the barristers’ professions to self-regulate has been recognised since the first committee was empowered to discipline solicitors under the Solicitors Act 1888, but it was severely curtailed in 1990 with the Courts and Legal Services Act and the setting up of the lord chancellor’s Advisory Committee on Legal Education and Conduct (ACLEC). ACLEC provided scrutiny and comment where changes were made to professional rules, but it had only an advisory role.</w:t>
      </w:r>
    </w:p>
    <w:p w:rsidR="007120D7" w:rsidRPr="00F63D8A" w:rsidRDefault="007120D7"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current regulatory framework was put in place following a report commissioned by the Department of Constitutional Affairs in July 2003. The report, entitled Competition and Regulation in the Legal Services Market concluded that the regulatory framework at that time was ‘outdated, inflexible, over-complex and insufficiently accountable or transparent’. As a result, Sir David Clementi was appointed by the secretary of state with broad terms of reference to consider reform. His report of the Review of the Regulatory Framework for Legal Services in England and Wales, published in December 2004, recommended a number of measures focused on promotion of the public and consumer interest.</w:t>
      </w:r>
    </w:p>
    <w:p w:rsidR="007120D7" w:rsidRPr="00F63D8A" w:rsidRDefault="007120D7"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Complaints of professional misconduct against solicitors are dealt with by adjudicators at the Legal Complaints Service of the SRA and, in more serious cases, by reference to the </w:t>
      </w:r>
      <w:r w:rsidRPr="00F63D8A">
        <w:rPr>
          <w:rFonts w:ascii="Arial" w:eastAsia="Times New Roman" w:hAnsi="Arial" w:cs="Arial"/>
          <w:sz w:val="24"/>
          <w:szCs w:val="24"/>
          <w:lang w:val="en-GB"/>
        </w:rPr>
        <w:lastRenderedPageBreak/>
        <w:t>Solicitors Disciplinary Tribunal (SDT), which acts independently of the SRA. Appeals from decisions of the SDT are to the High Court. Complaints of professional misconduct against barristers are overseen by a complaints commissioner who filters complaints before referral to the Conduct Committee of the Bar Council. More serious complaints are referred by the Conduct Committee either to a summary procedure panel or a disciplinary tribunal. Appeals from the decisions of those bodies are to the ‘visitors’ (the High Court judges). The courts have generally deferred to a finding of misconduct by the profession’s disciplinary bodies and have also been reluctant to interfere in the levels of penalties on the basis that the representatives of the profession itself are the best judges of misconduct and its seriousness. Dishonesty is regarded as the most serious lapse in professional standards, and the usual penalty is striking off the roll of solicitors or disbarment.</w:t>
      </w:r>
    </w:p>
    <w:p w:rsidR="00AC3B3D" w:rsidRDefault="00AC3B3D"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A passage from the judgment of Lord Bingham MR in </w:t>
      </w:r>
      <w:r w:rsidRPr="00F63D8A">
        <w:rPr>
          <w:rFonts w:ascii="Arial" w:eastAsia="Times New Roman" w:hAnsi="Arial" w:cs="Arial"/>
          <w:i/>
          <w:iCs/>
          <w:sz w:val="24"/>
          <w:szCs w:val="24"/>
          <w:lang w:val="en-GB"/>
        </w:rPr>
        <w:t>Bolton v The Law Society</w:t>
      </w:r>
      <w:r w:rsidRPr="00F63D8A">
        <w:rPr>
          <w:rFonts w:ascii="Arial" w:eastAsia="Times New Roman" w:hAnsi="Arial" w:cs="Arial"/>
          <w:sz w:val="24"/>
          <w:szCs w:val="24"/>
          <w:lang w:val="en-GB"/>
        </w:rPr>
        <w:t> [1993] EWCA Civ 32 gives a flavour of the considerations which will be taken into account where a solicitor (or barrister) faces a disciplinary tribunal: ‘Because orders [of disciplinary tribunals] are not primarily punitive, it follows that considerations which would ordinarily weigh in mitigation of punishment have less effect on the exercise of this jurisdiction than on the ordinary run of sentences imposed in criminal cases. It often happens that a solicitor appearing before the tribunal can adduce a wealth of glowing tributes from his professional brethren. He can often show that for him and his family the consequences of striking off or suspension would be little short of tragic. Often he will say, convincingly, that he has learned his lesson and will not offend again. On applying for restoration after striking off, all these points may be made, and the former solicitor may also be able to point to real efforts made to re-establish himself and redeem his reputation. All these matters are relevant and should be considered. But none of them touches the essential issue, which is the need to maintain among members of the public a well-founded confidence that any solicitor whom they instruct will be a person of unquestionable integrity, probity and trustworthiness. Thus it can never be an objection to an order of suspension in an appropriate case that the solicitor may be unable to re-establish his practice when the period of suspension is past. If that proves, or appears likely to be, so the consequence for the individual and his family may be deeply unfortunate and unintended. But it does not make suspension the wrong order if it is otherwise right. The reputation of the profession is more important than the fortunes of any individual member. Membership of a profession brings many benefits, but that is a part of the price'.</w:t>
      </w:r>
    </w:p>
    <w:p w:rsidR="007120D7" w:rsidRDefault="007120D7"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The Courts and Legal Services Act 1990 also established the office of the Legal Services Ombudsman which is charged with ensuring that the professional bodies for both parts of the modern profession conduct fair, thorough and efficient investigations of complaints from the public about their members. The ombudsman produces a public report in </w:t>
      </w:r>
      <w:r w:rsidRPr="00F63D8A">
        <w:rPr>
          <w:rFonts w:ascii="Arial" w:eastAsia="Times New Roman" w:hAnsi="Arial" w:cs="Arial"/>
          <w:sz w:val="24"/>
          <w:szCs w:val="24"/>
          <w:lang w:val="en-GB"/>
        </w:rPr>
        <w:lastRenderedPageBreak/>
        <w:t>response to a complaint, and although the ombudsman’s recommendations cannot be enforced, he can publicise any failure to comply with his orders. Perhaps unsurprisingly, given the history of complaints about lawyers set out above, the most common of all complaints received by the ombudsman relates to lawyers’ fees.</w:t>
      </w:r>
    </w:p>
    <w:p w:rsidR="007120D7" w:rsidRDefault="007120D7"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globalisation of legal services has brought with it the need to investigate whether today’s huge corporate law firms can continue to be regulated under a ‘one-size-fits-all’ approach. In 2009 the Hunt and Smedley reviews have confirmed the need for change. Essentially, the existing regulatory regime cannot fully accommodate the needs of the corporate firms, including addressing the global nature of their work and recognising the particular types of clients which employ their services. The interesting question has also been posed whether the same ethical standards should apply when a lawyer acts for a vulnerable client as compared with a large well-run corporate client, which will often employ its own in-house lawyers. One of the more interesting aspects of the changes in regulation which will be occasioned by the differentiation of corporate law firms and their clients will be the extent to which it remains possible to apply time honoured notions of legal ethics to lawyers and firms at opposite ends of a very wide spectrum.</w:t>
      </w:r>
    </w:p>
    <w:p w:rsidR="007120D7" w:rsidRDefault="007120D7" w:rsidP="00F63D8A">
      <w:pPr>
        <w:spacing w:after="0" w:line="288" w:lineRule="auto"/>
        <w:jc w:val="both"/>
        <w:rPr>
          <w:rFonts w:ascii="Arial" w:eastAsia="Times New Roman" w:hAnsi="Arial" w:cs="Arial"/>
          <w:b/>
          <w:bCs/>
          <w:sz w:val="24"/>
          <w:szCs w:val="24"/>
          <w:lang w:val="en-GB"/>
        </w:rPr>
      </w:pP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b/>
          <w:bCs/>
          <w:sz w:val="24"/>
          <w:szCs w:val="24"/>
          <w:lang w:val="en-GB"/>
        </w:rPr>
        <w:t>1 Future ethical challenges</w:t>
      </w:r>
      <w:r w:rsidRPr="00F63D8A">
        <w:rPr>
          <w:rFonts w:ascii="Arial" w:eastAsia="Times New Roman" w:hAnsi="Arial" w:cs="Arial"/>
          <w:sz w:val="24"/>
          <w:szCs w:val="24"/>
          <w:lang w:val="en-GB"/>
        </w:rPr>
        <w:t> </w:t>
      </w:r>
    </w:p>
    <w:p w:rsidR="007120D7" w:rsidRDefault="007120D7" w:rsidP="00F63D8A">
      <w:pPr>
        <w:spacing w:after="0" w:line="288" w:lineRule="auto"/>
        <w:jc w:val="both"/>
        <w:rPr>
          <w:rFonts w:ascii="Arial" w:eastAsia="Times New Roman" w:hAnsi="Arial" w:cs="Arial"/>
          <w:sz w:val="24"/>
          <w:szCs w:val="24"/>
          <w:lang w:val="en-GB"/>
        </w:rPr>
      </w:pPr>
    </w:p>
    <w:p w:rsidR="00AC3B3D" w:rsidRPr="00AC3B3D" w:rsidRDefault="00AC3B3D" w:rsidP="00AC3B3D">
      <w:pPr>
        <w:spacing w:after="0" w:line="288" w:lineRule="auto"/>
        <w:jc w:val="both"/>
        <w:rPr>
          <w:rFonts w:ascii="Arial" w:eastAsia="Times New Roman" w:hAnsi="Arial" w:cs="Arial"/>
          <w:b/>
          <w:bCs/>
          <w:sz w:val="24"/>
          <w:szCs w:val="24"/>
          <w:lang w:val="en-GB"/>
        </w:rPr>
      </w:pPr>
      <w:r w:rsidRPr="00AC3B3D">
        <w:rPr>
          <w:rFonts w:ascii="Arial" w:eastAsia="Times New Roman" w:hAnsi="Arial" w:cs="Arial"/>
          <w:b/>
          <w:bCs/>
          <w:sz w:val="24"/>
          <w:szCs w:val="24"/>
          <w:lang w:val="en-GB"/>
        </w:rPr>
        <w:t>1.</w:t>
      </w:r>
      <w:r>
        <w:rPr>
          <w:rFonts w:ascii="Arial" w:eastAsia="Times New Roman" w:hAnsi="Arial" w:cs="Arial"/>
          <w:b/>
          <w:bCs/>
          <w:sz w:val="24"/>
          <w:szCs w:val="24"/>
          <w:lang w:val="en-GB"/>
        </w:rPr>
        <w:t xml:space="preserve">1 </w:t>
      </w:r>
      <w:r w:rsidR="005F6CDC" w:rsidRPr="00AC3B3D">
        <w:rPr>
          <w:rFonts w:ascii="Arial" w:eastAsia="Times New Roman" w:hAnsi="Arial" w:cs="Arial"/>
          <w:b/>
          <w:bCs/>
          <w:sz w:val="24"/>
          <w:szCs w:val="24"/>
          <w:lang w:val="en-GB"/>
        </w:rPr>
        <w:t>Costs</w:t>
      </w:r>
    </w:p>
    <w:p w:rsidR="005F6CDC" w:rsidRPr="00AC3B3D" w:rsidRDefault="005F6CDC" w:rsidP="00AC3B3D">
      <w:pPr>
        <w:spacing w:after="0" w:line="288" w:lineRule="auto"/>
        <w:jc w:val="both"/>
        <w:rPr>
          <w:rFonts w:ascii="Arial" w:eastAsia="Times New Roman" w:hAnsi="Arial" w:cs="Arial"/>
          <w:sz w:val="24"/>
          <w:szCs w:val="24"/>
          <w:lang w:val="en-GB"/>
        </w:rPr>
      </w:pPr>
      <w:r w:rsidRPr="00AC3B3D">
        <w:rPr>
          <w:rFonts w:ascii="Arial" w:eastAsia="Times New Roman" w:hAnsi="Arial" w:cs="Arial"/>
          <w:sz w:val="24"/>
          <w:szCs w:val="24"/>
          <w:lang w:val="en-GB"/>
        </w:rPr>
        <w:t>The Statute of Westminster of 1275 introduced the entitlement of parties in litigation to recover costs. With the coming into force of the new Civil Procedure Rules the courts have been encouraged to adopt a flexible approach to awarding costs in litigation.</w:t>
      </w:r>
      <w:r w:rsidR="007120D7" w:rsidRPr="00AC3B3D">
        <w:rPr>
          <w:rFonts w:ascii="Arial" w:eastAsia="Times New Roman" w:hAnsi="Arial" w:cs="Arial"/>
          <w:sz w:val="24"/>
          <w:szCs w:val="24"/>
          <w:lang w:val="en-GB"/>
        </w:rPr>
        <w:t xml:space="preserve"> </w:t>
      </w:r>
      <w:r w:rsidRPr="00AC3B3D">
        <w:rPr>
          <w:rFonts w:ascii="Arial" w:eastAsia="Times New Roman" w:hAnsi="Arial" w:cs="Arial"/>
          <w:sz w:val="24"/>
          <w:szCs w:val="24"/>
          <w:lang w:val="en-GB"/>
        </w:rPr>
        <w:t>This movement was further developed by the Access to Justice Act 1999 which permitted, for the first time in England and Wales, the recovery of success fees and premiums paid for after the event insurance policies.</w:t>
      </w:r>
    </w:p>
    <w:p w:rsidR="00AC3B3D" w:rsidRDefault="00AC3B3D"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However, the new rules have become extremely complex and this area remains an ethical minefield. A complex fee system can lead to substantial satellite litigation but, on the other hand, a sophisticated fee recovery regime compensates the successful party, allows those without means to litigate, deters vexatious, frivolous and other unmeritorious litigation, reduces delay and misconduct in proceedings and encourages settlement. The contrasting position in the US, where provision of legal services on a contingency fee basis is common, has been blamed for an explosion in the level of litigation and for defensive practices by manufacturers and service providers. However, many English lawyers believe that it is only a matter of time before contingency fee arrangements are made lawful in UK litigation.</w:t>
      </w:r>
    </w:p>
    <w:p w:rsidR="007120D7" w:rsidRDefault="007120D7" w:rsidP="00F63D8A">
      <w:pPr>
        <w:spacing w:after="0" w:line="288" w:lineRule="auto"/>
        <w:jc w:val="both"/>
        <w:rPr>
          <w:rFonts w:ascii="Arial" w:eastAsia="Times New Roman" w:hAnsi="Arial" w:cs="Arial"/>
          <w:b/>
          <w:bCs/>
          <w:sz w:val="24"/>
          <w:szCs w:val="24"/>
          <w:lang w:val="en-GB"/>
        </w:rPr>
      </w:pPr>
    </w:p>
    <w:p w:rsidR="007120D7"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lastRenderedPageBreak/>
        <w:t>1.2 Money laundering</w:t>
      </w: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Compliance with </w:t>
      </w:r>
      <w:r w:rsidR="007120D7" w:rsidRPr="00F63D8A">
        <w:rPr>
          <w:rFonts w:ascii="Arial" w:eastAsia="Times New Roman" w:hAnsi="Arial" w:cs="Arial"/>
          <w:sz w:val="24"/>
          <w:szCs w:val="24"/>
          <w:lang w:val="en-GB"/>
        </w:rPr>
        <w:t>anti-money</w:t>
      </w:r>
      <w:r w:rsidRPr="00F63D8A">
        <w:rPr>
          <w:rFonts w:ascii="Arial" w:eastAsia="Times New Roman" w:hAnsi="Arial" w:cs="Arial"/>
          <w:sz w:val="24"/>
          <w:szCs w:val="24"/>
          <w:lang w:val="en-GB"/>
        </w:rPr>
        <w:t xml:space="preserve"> laundering legislation is regarded by the Law Society as one of the greatest challenges for solicitors today. During the past 10 years, the issue has been addressed in legislation at both national and European levels, with several different statutes imposing obligations affecting lawyers. These changes mark a necessary exception to the solicitor’s ethical obligation of client confidentiality.</w:t>
      </w:r>
    </w:p>
    <w:p w:rsidR="007120D7" w:rsidRPr="00F63D8A" w:rsidRDefault="007120D7" w:rsidP="00F63D8A">
      <w:pPr>
        <w:spacing w:after="0" w:line="288" w:lineRule="auto"/>
        <w:jc w:val="both"/>
        <w:rPr>
          <w:rFonts w:ascii="Arial" w:eastAsia="Times New Roman" w:hAnsi="Arial" w:cs="Arial"/>
          <w:sz w:val="24"/>
          <w:szCs w:val="24"/>
          <w:lang w:val="en-GB"/>
        </w:rPr>
      </w:pPr>
    </w:p>
    <w:p w:rsidR="007120D7"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1.3 Ethics training</w:t>
      </w: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Legal ethics have historically been neglected in the education of lawyers. Indeed, the amount of time which is spent on the teaching of legal ethics in the majority of institutions in England is minimal. It is also interesting to note that the teaching of legal ethics and professional responsibility in the US only became a required course in 1974 following revelations about the involvement of lawyers in the Watergate scandal. In the UK it is likely that there will be an increased focus on the importance of ethics training at university level and beyond.</w:t>
      </w:r>
    </w:p>
    <w:p w:rsidR="007120D7" w:rsidRPr="00F63D8A" w:rsidRDefault="007120D7" w:rsidP="00F63D8A">
      <w:pPr>
        <w:spacing w:after="0" w:line="288" w:lineRule="auto"/>
        <w:jc w:val="both"/>
        <w:rPr>
          <w:rFonts w:ascii="Arial" w:eastAsia="Times New Roman" w:hAnsi="Arial" w:cs="Arial"/>
          <w:sz w:val="24"/>
          <w:szCs w:val="24"/>
          <w:lang w:val="en-GB"/>
        </w:rPr>
      </w:pPr>
    </w:p>
    <w:p w:rsidR="007120D7"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1.4 Equal opportunities</w:t>
      </w: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issue of equal opportunities among solicitors, barristers and the judiciary also remains an ethical issue, with allegations of sexism, racism and other forms of discrimination continuing to be heard in some parts of the profession. The Lord Chancellor’s Department and the Bar Council commissioned a report in 1992 which found substantial evidence of unequal treatment at all levels of the profession in respect of gender, and it is a matter of fact that ethnic minorities are not proportionally represented in certain parts of the profession. Clearly there is much work to be done by the legal community before inequality of opportunities for lawyers can eventually be consigned to the annals of history.</w:t>
      </w:r>
    </w:p>
    <w:p w:rsidR="007120D7" w:rsidRPr="00F63D8A" w:rsidRDefault="007120D7" w:rsidP="00F63D8A">
      <w:pPr>
        <w:spacing w:after="0" w:line="288" w:lineRule="auto"/>
        <w:jc w:val="both"/>
        <w:rPr>
          <w:rFonts w:ascii="Arial" w:eastAsia="Times New Roman" w:hAnsi="Arial" w:cs="Arial"/>
          <w:sz w:val="24"/>
          <w:szCs w:val="24"/>
          <w:lang w:val="en-GB"/>
        </w:rPr>
      </w:pPr>
    </w:p>
    <w:p w:rsidR="007120D7"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2 Conclusion</w:t>
      </w:r>
    </w:p>
    <w:p w:rsidR="005F6CDC" w:rsidRPr="00F63D8A" w:rsidRDefault="00AC3B3D" w:rsidP="00F63D8A">
      <w:pPr>
        <w:spacing w:after="0" w:line="288" w:lineRule="auto"/>
        <w:jc w:val="both"/>
        <w:rPr>
          <w:rFonts w:ascii="Arial" w:eastAsia="Times New Roman" w:hAnsi="Arial" w:cs="Arial"/>
          <w:sz w:val="24"/>
          <w:szCs w:val="24"/>
          <w:lang w:val="en-GB"/>
        </w:rPr>
      </w:pPr>
      <w:r>
        <w:rPr>
          <w:rFonts w:ascii="Arial" w:eastAsia="Times New Roman" w:hAnsi="Arial" w:cs="Arial"/>
          <w:i/>
          <w:sz w:val="24"/>
          <w:szCs w:val="24"/>
          <w:lang w:val="en-GB"/>
        </w:rPr>
        <w:t>“</w:t>
      </w:r>
      <w:r w:rsidR="005F6CDC" w:rsidRPr="00AC3B3D">
        <w:rPr>
          <w:rFonts w:ascii="Arial" w:eastAsia="Times New Roman" w:hAnsi="Arial" w:cs="Arial"/>
          <w:i/>
          <w:sz w:val="24"/>
          <w:szCs w:val="24"/>
          <w:lang w:val="en-GB"/>
        </w:rPr>
        <w:t>The one great principle of English law is to make business for itself</w:t>
      </w:r>
      <w:r>
        <w:rPr>
          <w:rFonts w:ascii="Arial" w:eastAsia="Times New Roman" w:hAnsi="Arial" w:cs="Arial"/>
          <w:i/>
          <w:sz w:val="24"/>
          <w:szCs w:val="24"/>
          <w:lang w:val="en-GB"/>
        </w:rPr>
        <w:t>”</w:t>
      </w:r>
      <w:r w:rsidR="005F6CDC" w:rsidRPr="00F63D8A">
        <w:rPr>
          <w:rFonts w:ascii="Arial" w:eastAsia="Times New Roman" w:hAnsi="Arial" w:cs="Arial"/>
          <w:sz w:val="24"/>
          <w:szCs w:val="24"/>
          <w:lang w:val="en-GB"/>
        </w:rPr>
        <w:t>. The English legal profession has moved a long way from this public perception so vividly captured by Charles Dickens in </w:t>
      </w:r>
      <w:r w:rsidR="005F6CDC" w:rsidRPr="00F63D8A">
        <w:rPr>
          <w:rFonts w:ascii="Arial" w:eastAsia="Times New Roman" w:hAnsi="Arial" w:cs="Arial"/>
          <w:i/>
          <w:iCs/>
          <w:sz w:val="24"/>
          <w:szCs w:val="24"/>
          <w:lang w:val="en-GB"/>
        </w:rPr>
        <w:t>Bleak House</w:t>
      </w:r>
      <w:r w:rsidR="005F6CDC" w:rsidRPr="00F63D8A">
        <w:rPr>
          <w:rFonts w:ascii="Arial" w:eastAsia="Times New Roman" w:hAnsi="Arial" w:cs="Arial"/>
          <w:sz w:val="24"/>
          <w:szCs w:val="24"/>
          <w:lang w:val="en-GB"/>
        </w:rPr>
        <w:t>. However, until the late 20</w:t>
      </w:r>
      <w:r w:rsidR="005F6CDC" w:rsidRPr="007120D7">
        <w:rPr>
          <w:rFonts w:ascii="Arial" w:eastAsia="Times New Roman" w:hAnsi="Arial" w:cs="Arial"/>
          <w:sz w:val="24"/>
          <w:szCs w:val="24"/>
          <w:vertAlign w:val="superscript"/>
          <w:lang w:val="en-GB"/>
        </w:rPr>
        <w:t>th</w:t>
      </w:r>
      <w:r w:rsidR="007120D7">
        <w:rPr>
          <w:rFonts w:ascii="Arial" w:eastAsia="Times New Roman" w:hAnsi="Arial" w:cs="Arial"/>
          <w:sz w:val="24"/>
          <w:szCs w:val="24"/>
          <w:lang w:val="en-GB"/>
        </w:rPr>
        <w:t xml:space="preserve"> </w:t>
      </w:r>
      <w:r w:rsidR="005F6CDC" w:rsidRPr="00F63D8A">
        <w:rPr>
          <w:rFonts w:ascii="Arial" w:eastAsia="Times New Roman" w:hAnsi="Arial" w:cs="Arial"/>
          <w:sz w:val="24"/>
          <w:szCs w:val="24"/>
          <w:lang w:val="en-GB"/>
        </w:rPr>
        <w:t>century the pace of change has been slow.</w:t>
      </w:r>
    </w:p>
    <w:p w:rsidR="007120D7" w:rsidRDefault="007120D7"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The right to a fair trial, now enshrined in article 6 of the European Convention on Human Rights, includes the right to a trial conducted in accordance with the recognised principles of conduct of litigators and advocates. The parties to a dispute are entitled to rely on the lawyers – on all sides – conducting the proceedings according to recognised ethical principles. Although now embodied in professional codes and subject to continuous review and refinement, the basic principles of legal ethics have stood firm for many </w:t>
      </w:r>
      <w:r w:rsidRPr="00F63D8A">
        <w:rPr>
          <w:rFonts w:ascii="Arial" w:eastAsia="Times New Roman" w:hAnsi="Arial" w:cs="Arial"/>
          <w:sz w:val="24"/>
          <w:szCs w:val="24"/>
          <w:lang w:val="en-GB"/>
        </w:rPr>
        <w:lastRenderedPageBreak/>
        <w:t>centuries. They have been in existence at least since medieval times and probably from time immemorial. They have stood the test of time. These fundamental principles of ethics for litigators and advocates guarantee a legal system operating in the public interest and providing a fair and just trial for all who come before the English courts.</w:t>
      </w:r>
    </w:p>
    <w:p w:rsidR="007120D7" w:rsidRPr="00F63D8A" w:rsidRDefault="007120D7" w:rsidP="00F63D8A">
      <w:pPr>
        <w:spacing w:after="0" w:line="288" w:lineRule="auto"/>
        <w:jc w:val="both"/>
        <w:rPr>
          <w:rFonts w:ascii="Arial" w:eastAsia="Times New Roman" w:hAnsi="Arial" w:cs="Arial"/>
          <w:sz w:val="24"/>
          <w:szCs w:val="24"/>
          <w:lang w:val="en-GB"/>
        </w:rPr>
      </w:pPr>
    </w:p>
    <w:p w:rsidR="005F6CDC" w:rsidRPr="00F63D8A" w:rsidRDefault="005F6CDC" w:rsidP="00F63D8A">
      <w:pPr>
        <w:numPr>
          <w:ilvl w:val="0"/>
          <w:numId w:val="4"/>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b/>
          <w:bCs/>
          <w:sz w:val="24"/>
          <w:szCs w:val="24"/>
          <w:lang w:val="en-GB"/>
        </w:rPr>
        <w:t>Mark Humphries</w:t>
      </w:r>
      <w:r w:rsidRPr="00F63D8A">
        <w:rPr>
          <w:rFonts w:ascii="Arial" w:eastAsia="Times New Roman" w:hAnsi="Arial" w:cs="Arial"/>
          <w:sz w:val="24"/>
          <w:szCs w:val="24"/>
          <w:lang w:val="en-GB"/>
        </w:rPr>
        <w:t> </w:t>
      </w:r>
      <w:r w:rsidRPr="00F63D8A">
        <w:rPr>
          <w:rFonts w:ascii="Arial" w:eastAsia="Times New Roman" w:hAnsi="Arial" w:cs="Arial"/>
          <w:i/>
          <w:iCs/>
          <w:sz w:val="24"/>
          <w:szCs w:val="24"/>
          <w:lang w:val="en-GB"/>
        </w:rPr>
        <w:t>has 25 years’ experience of contentious legal practice. Until recently a litigation partner and head of advocacy at Linklaters in London, he is now the director of his own commercial disputes firm Mark Humphries Ltd. He is a past chairman of the Solicitors Association of Higher Court Advocates</w:t>
      </w:r>
    </w:p>
    <w:p w:rsidR="007120D7" w:rsidRDefault="007120D7" w:rsidP="00F63D8A">
      <w:pPr>
        <w:spacing w:after="0" w:line="288" w:lineRule="auto"/>
        <w:jc w:val="both"/>
        <w:rPr>
          <w:rFonts w:ascii="Arial" w:eastAsia="Times New Roman" w:hAnsi="Arial" w:cs="Arial"/>
          <w:b/>
          <w:bCs/>
          <w:sz w:val="24"/>
          <w:szCs w:val="24"/>
          <w:lang w:val="en-GB"/>
        </w:rPr>
      </w:pPr>
    </w:p>
    <w:p w:rsidR="007120D7" w:rsidRDefault="007120D7" w:rsidP="00F63D8A">
      <w:pPr>
        <w:spacing w:after="0" w:line="288" w:lineRule="auto"/>
        <w:jc w:val="both"/>
        <w:rPr>
          <w:rFonts w:ascii="Arial" w:eastAsia="Times New Roman" w:hAnsi="Arial" w:cs="Arial"/>
          <w:b/>
          <w:bCs/>
          <w:sz w:val="24"/>
          <w:szCs w:val="24"/>
          <w:lang w:val="en-GB"/>
        </w:rPr>
      </w:pPr>
    </w:p>
    <w:p w:rsidR="007120D7"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Sources</w:t>
      </w: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Baker, </w:t>
      </w:r>
      <w:r w:rsidRPr="00F63D8A">
        <w:rPr>
          <w:rFonts w:ascii="Arial" w:eastAsia="Times New Roman" w:hAnsi="Arial" w:cs="Arial"/>
          <w:i/>
          <w:iCs/>
          <w:sz w:val="24"/>
          <w:szCs w:val="24"/>
          <w:lang w:val="en-GB"/>
        </w:rPr>
        <w:t>The Legal Profession and the Common Law – Historical Essays</w:t>
      </w:r>
      <w:r w:rsidRPr="00F63D8A">
        <w:rPr>
          <w:rFonts w:ascii="Arial" w:eastAsia="Times New Roman" w:hAnsi="Arial" w:cs="Arial"/>
          <w:sz w:val="24"/>
          <w:szCs w:val="24"/>
          <w:lang w:val="en-GB"/>
        </w:rPr>
        <w:t> (Hambledon &amp; London 2003)</w:t>
      </w: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Baker, </w:t>
      </w:r>
      <w:r w:rsidRPr="00F63D8A">
        <w:rPr>
          <w:rFonts w:ascii="Arial" w:eastAsia="Times New Roman" w:hAnsi="Arial" w:cs="Arial"/>
          <w:i/>
          <w:iCs/>
          <w:sz w:val="24"/>
          <w:szCs w:val="24"/>
          <w:lang w:val="en-GB"/>
        </w:rPr>
        <w:t>The Oxford History of the Laws of England</w:t>
      </w:r>
      <w:r w:rsidRPr="00F63D8A">
        <w:rPr>
          <w:rFonts w:ascii="Arial" w:eastAsia="Times New Roman" w:hAnsi="Arial" w:cs="Arial"/>
          <w:sz w:val="24"/>
          <w:szCs w:val="24"/>
          <w:lang w:val="en-GB"/>
        </w:rPr>
        <w:t>, OUP 2003</w:t>
      </w: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Cranston, </w:t>
      </w:r>
      <w:r w:rsidRPr="00F63D8A">
        <w:rPr>
          <w:rFonts w:ascii="Arial" w:eastAsia="Times New Roman" w:hAnsi="Arial" w:cs="Arial"/>
          <w:i/>
          <w:iCs/>
          <w:sz w:val="24"/>
          <w:szCs w:val="24"/>
          <w:lang w:val="en-GB"/>
        </w:rPr>
        <w:t>Legal Ethics and Professional Responsibility</w:t>
      </w:r>
      <w:r w:rsidRPr="00F63D8A">
        <w:rPr>
          <w:rFonts w:ascii="Arial" w:eastAsia="Times New Roman" w:hAnsi="Arial" w:cs="Arial"/>
          <w:sz w:val="24"/>
          <w:szCs w:val="24"/>
          <w:lang w:val="en-GB"/>
        </w:rPr>
        <w:t>, OUP 1995</w:t>
      </w: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Drinker, </w:t>
      </w:r>
      <w:r w:rsidRPr="00F63D8A">
        <w:rPr>
          <w:rFonts w:ascii="Arial" w:eastAsia="Times New Roman" w:hAnsi="Arial" w:cs="Arial"/>
          <w:i/>
          <w:iCs/>
          <w:sz w:val="24"/>
          <w:szCs w:val="24"/>
          <w:lang w:val="en-GB"/>
        </w:rPr>
        <w:t>Legal Ethics</w:t>
      </w:r>
      <w:r w:rsidRPr="00F63D8A">
        <w:rPr>
          <w:rFonts w:ascii="Arial" w:eastAsia="Times New Roman" w:hAnsi="Arial" w:cs="Arial"/>
          <w:sz w:val="24"/>
          <w:szCs w:val="24"/>
          <w:lang w:val="en-GB"/>
        </w:rPr>
        <w:t>, Columbia University Press 1953</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Du Cann, </w:t>
      </w:r>
      <w:r w:rsidRPr="00F63D8A">
        <w:rPr>
          <w:rFonts w:ascii="Arial" w:eastAsia="Times New Roman" w:hAnsi="Arial" w:cs="Arial"/>
          <w:i/>
          <w:iCs/>
          <w:sz w:val="24"/>
          <w:szCs w:val="24"/>
          <w:lang w:val="en-GB"/>
        </w:rPr>
        <w:t>The Art of the Advocate</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Helmholz, </w:t>
      </w:r>
      <w:r w:rsidRPr="00F63D8A">
        <w:rPr>
          <w:rFonts w:ascii="Arial" w:eastAsia="Times New Roman" w:hAnsi="Arial" w:cs="Arial"/>
          <w:i/>
          <w:iCs/>
          <w:sz w:val="24"/>
          <w:szCs w:val="24"/>
          <w:lang w:val="en-GB"/>
        </w:rPr>
        <w:t>Ethical Standards for Advocates and Proctors in Theory and Practice</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Hilbery, </w:t>
      </w:r>
      <w:r w:rsidRPr="00F63D8A">
        <w:rPr>
          <w:rFonts w:ascii="Arial" w:eastAsia="Times New Roman" w:hAnsi="Arial" w:cs="Arial"/>
          <w:i/>
          <w:iCs/>
          <w:sz w:val="24"/>
          <w:szCs w:val="24"/>
          <w:lang w:val="en-GB"/>
        </w:rPr>
        <w:t>Duty and Art in Advocacy</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Lemmings, </w:t>
      </w:r>
      <w:r w:rsidRPr="00F63D8A">
        <w:rPr>
          <w:rFonts w:ascii="Arial" w:eastAsia="Times New Roman" w:hAnsi="Arial" w:cs="Arial"/>
          <w:i/>
          <w:iCs/>
          <w:sz w:val="24"/>
          <w:szCs w:val="24"/>
          <w:lang w:val="en-GB"/>
        </w:rPr>
        <w:t>Gentlemen and Barristers</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Rose, </w:t>
      </w:r>
      <w:r w:rsidRPr="00F63D8A">
        <w:rPr>
          <w:rFonts w:ascii="Arial" w:eastAsia="Times New Roman" w:hAnsi="Arial" w:cs="Arial"/>
          <w:i/>
          <w:iCs/>
          <w:sz w:val="24"/>
          <w:szCs w:val="24"/>
          <w:lang w:val="en-GB"/>
        </w:rPr>
        <w:t>Of Ambidexters and Daffidowndillies: Defamation of Lawyers, Legal Ethics and Professional Reputation</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Rose, </w:t>
      </w:r>
      <w:r w:rsidRPr="00F63D8A">
        <w:rPr>
          <w:rFonts w:ascii="Arial" w:eastAsia="Times New Roman" w:hAnsi="Arial" w:cs="Arial"/>
          <w:i/>
          <w:iCs/>
          <w:sz w:val="24"/>
          <w:szCs w:val="24"/>
          <w:lang w:val="en-GB"/>
        </w:rPr>
        <w:t>The Ambidextrous Lawyer: Conflict of Interest and the Medieval and Early Modern Legal Profession</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Rose, </w:t>
      </w:r>
      <w:r w:rsidRPr="00F63D8A">
        <w:rPr>
          <w:rFonts w:ascii="Arial" w:eastAsia="Times New Roman" w:hAnsi="Arial" w:cs="Arial"/>
          <w:i/>
          <w:iCs/>
          <w:sz w:val="24"/>
          <w:szCs w:val="24"/>
          <w:lang w:val="en-GB"/>
        </w:rPr>
        <w:t>The Legal Profession in Medieval England: A History of Regulation</w:t>
      </w: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Pannick, </w:t>
      </w:r>
      <w:r w:rsidRPr="00F63D8A">
        <w:rPr>
          <w:rFonts w:ascii="Arial" w:eastAsia="Times New Roman" w:hAnsi="Arial" w:cs="Arial"/>
          <w:i/>
          <w:iCs/>
          <w:sz w:val="24"/>
          <w:szCs w:val="24"/>
          <w:lang w:val="en-GB"/>
        </w:rPr>
        <w:t>Advocates</w:t>
      </w:r>
      <w:r w:rsidRPr="00F63D8A">
        <w:rPr>
          <w:rFonts w:ascii="Arial" w:eastAsia="Times New Roman" w:hAnsi="Arial" w:cs="Arial"/>
          <w:sz w:val="24"/>
          <w:szCs w:val="24"/>
          <w:lang w:val="en-GB"/>
        </w:rPr>
        <w:t>, OUP 1992</w:t>
      </w: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Phillips, </w:t>
      </w:r>
      <w:r w:rsidRPr="00F63D8A">
        <w:rPr>
          <w:rFonts w:ascii="Arial" w:eastAsia="Times New Roman" w:hAnsi="Arial" w:cs="Arial"/>
          <w:i/>
          <w:iCs/>
          <w:sz w:val="24"/>
          <w:szCs w:val="24"/>
          <w:lang w:val="en-GB"/>
        </w:rPr>
        <w:t>Ethics of the Legal Profession – A New Order</w:t>
      </w:r>
      <w:r w:rsidRPr="00F63D8A">
        <w:rPr>
          <w:rFonts w:ascii="Arial" w:eastAsia="Times New Roman" w:hAnsi="Arial" w:cs="Arial"/>
          <w:sz w:val="24"/>
          <w:szCs w:val="24"/>
          <w:lang w:val="en-GB"/>
        </w:rPr>
        <w:t>, Cavendish Publishing Limited, 2004</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Prest, </w:t>
      </w:r>
      <w:r w:rsidRPr="00F63D8A">
        <w:rPr>
          <w:rFonts w:ascii="Arial" w:eastAsia="Times New Roman" w:hAnsi="Arial" w:cs="Arial"/>
          <w:i/>
          <w:iCs/>
          <w:sz w:val="24"/>
          <w:szCs w:val="24"/>
          <w:lang w:val="en-GB"/>
        </w:rPr>
        <w:t>Canon Law and the Law of England</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Prest,</w:t>
      </w:r>
      <w:r w:rsidR="007120D7">
        <w:rPr>
          <w:rFonts w:ascii="Arial" w:eastAsia="Times New Roman" w:hAnsi="Arial" w:cs="Arial"/>
          <w:sz w:val="24"/>
          <w:szCs w:val="24"/>
          <w:lang w:val="en-GB"/>
        </w:rPr>
        <w:t xml:space="preserve"> </w:t>
      </w:r>
      <w:r w:rsidRPr="00F63D8A">
        <w:rPr>
          <w:rFonts w:ascii="Arial" w:eastAsia="Times New Roman" w:hAnsi="Arial" w:cs="Arial"/>
          <w:i/>
          <w:iCs/>
          <w:sz w:val="24"/>
          <w:szCs w:val="24"/>
          <w:lang w:val="en-GB"/>
        </w:rPr>
        <w:t>The Rise of the Barristers</w:t>
      </w: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Wilson, </w:t>
      </w:r>
      <w:r w:rsidRPr="00F63D8A">
        <w:rPr>
          <w:rFonts w:ascii="Arial" w:eastAsia="Times New Roman" w:hAnsi="Arial" w:cs="Arial"/>
          <w:i/>
          <w:iCs/>
          <w:sz w:val="24"/>
          <w:szCs w:val="24"/>
          <w:lang w:val="en-GB"/>
        </w:rPr>
        <w:t>Lectures on Advocacy and Ethics in the High Court</w:t>
      </w:r>
    </w:p>
    <w:p w:rsidR="005F6CDC" w:rsidRPr="00F63D8A" w:rsidRDefault="005F6CDC" w:rsidP="00F63D8A">
      <w:pPr>
        <w:pStyle w:val="NormalWeb"/>
        <w:spacing w:before="0" w:beforeAutospacing="0" w:after="0" w:afterAutospacing="0" w:line="288" w:lineRule="auto"/>
        <w:jc w:val="both"/>
        <w:rPr>
          <w:rFonts w:ascii="Arial" w:hAnsi="Arial" w:cs="Arial"/>
          <w:lang w:val="en-GB"/>
        </w:rPr>
      </w:pPr>
    </w:p>
    <w:p w:rsidR="001878F7" w:rsidRPr="00F63D8A" w:rsidRDefault="008A43C6" w:rsidP="00F63D8A">
      <w:pPr>
        <w:spacing w:after="0" w:line="288" w:lineRule="auto"/>
        <w:jc w:val="both"/>
        <w:rPr>
          <w:rFonts w:ascii="Arial" w:hAnsi="Arial" w:cs="Arial"/>
          <w:sz w:val="24"/>
          <w:szCs w:val="24"/>
          <w:lang w:val="en-GB"/>
        </w:rPr>
      </w:pPr>
    </w:p>
    <w:sectPr w:rsidR="001878F7" w:rsidRPr="00F63D8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71FEE" w:rsidRDefault="00A71FEE" w:rsidP="00284913">
      <w:pPr>
        <w:spacing w:after="0" w:line="240" w:lineRule="auto"/>
      </w:pPr>
      <w:r>
        <w:separator/>
      </w:r>
    </w:p>
  </w:endnote>
  <w:endnote w:type="continuationSeparator" w:id="0">
    <w:p w:rsidR="00A71FEE" w:rsidRDefault="00A71FEE" w:rsidP="0028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6883077"/>
      <w:docPartObj>
        <w:docPartGallery w:val="Page Numbers (Bottom of Page)"/>
        <w:docPartUnique/>
      </w:docPartObj>
    </w:sdtPr>
    <w:sdtEndPr>
      <w:rPr>
        <w:noProof/>
      </w:rPr>
    </w:sdtEndPr>
    <w:sdtContent>
      <w:p w:rsidR="00284913" w:rsidRDefault="00284913">
        <w:pPr>
          <w:pStyle w:val="Footer"/>
          <w:jc w:val="center"/>
        </w:pPr>
        <w:r>
          <w:fldChar w:fldCharType="begin"/>
        </w:r>
        <w:r>
          <w:instrText xml:space="preserve"> PAGE   \* MERGEFORMAT </w:instrText>
        </w:r>
        <w:r>
          <w:fldChar w:fldCharType="separate"/>
        </w:r>
        <w:r>
          <w:rPr>
            <w:noProof/>
          </w:rPr>
          <w:t>15</w:t>
        </w:r>
        <w:r>
          <w:rPr>
            <w:noProof/>
          </w:rPr>
          <w:fldChar w:fldCharType="end"/>
        </w:r>
      </w:p>
    </w:sdtContent>
  </w:sdt>
  <w:p w:rsidR="00284913" w:rsidRDefault="0028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71FEE" w:rsidRDefault="00A71FEE" w:rsidP="00284913">
      <w:pPr>
        <w:spacing w:after="0" w:line="240" w:lineRule="auto"/>
      </w:pPr>
      <w:r>
        <w:separator/>
      </w:r>
    </w:p>
  </w:footnote>
  <w:footnote w:type="continuationSeparator" w:id="0">
    <w:p w:rsidR="00A71FEE" w:rsidRDefault="00A71FEE" w:rsidP="0028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336294"/>
    <w:multiLevelType w:val="multilevel"/>
    <w:tmpl w:val="3B6A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F0598"/>
    <w:multiLevelType w:val="multilevel"/>
    <w:tmpl w:val="929ACC60"/>
    <w:lvl w:ilvl="0">
      <w:start w:val="1"/>
      <w:numFmt w:val="decimal"/>
      <w:lvlText w:val="%1"/>
      <w:lvlJc w:val="left"/>
      <w:pPr>
        <w:ind w:left="435" w:hanging="435"/>
      </w:pPr>
      <w:rPr>
        <w:rFonts w:hint="default"/>
        <w:b/>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24865E6E"/>
    <w:multiLevelType w:val="multilevel"/>
    <w:tmpl w:val="F6A2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C2F3E"/>
    <w:multiLevelType w:val="multilevel"/>
    <w:tmpl w:val="0ECC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62845"/>
    <w:multiLevelType w:val="multilevel"/>
    <w:tmpl w:val="55DAE25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E33383E"/>
    <w:multiLevelType w:val="multilevel"/>
    <w:tmpl w:val="C75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CDC"/>
    <w:rsid w:val="0002503D"/>
    <w:rsid w:val="000D5EA1"/>
    <w:rsid w:val="001B0918"/>
    <w:rsid w:val="00243AB0"/>
    <w:rsid w:val="00284913"/>
    <w:rsid w:val="00570823"/>
    <w:rsid w:val="005F6CDC"/>
    <w:rsid w:val="007120D7"/>
    <w:rsid w:val="008A43C6"/>
    <w:rsid w:val="00A71FEE"/>
    <w:rsid w:val="00AC3B3D"/>
    <w:rsid w:val="00D343BF"/>
    <w:rsid w:val="00F63D8A"/>
    <w:rsid w:val="00F81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445B85-CB58-475B-A47B-939F6780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F6CD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F6C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6C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F6CDC"/>
  </w:style>
  <w:style w:type="character" w:styleId="Strong">
    <w:name w:val="Strong"/>
    <w:basedOn w:val="DefaultParagraphFont"/>
    <w:uiPriority w:val="22"/>
    <w:qFormat/>
    <w:rsid w:val="005F6CDC"/>
    <w:rPr>
      <w:b/>
      <w:bCs/>
    </w:rPr>
  </w:style>
  <w:style w:type="character" w:styleId="Emphasis">
    <w:name w:val="Emphasis"/>
    <w:basedOn w:val="DefaultParagraphFont"/>
    <w:uiPriority w:val="20"/>
    <w:qFormat/>
    <w:rsid w:val="005F6CDC"/>
    <w:rPr>
      <w:i/>
      <w:iCs/>
    </w:rPr>
  </w:style>
  <w:style w:type="character" w:customStyle="1" w:styleId="Heading1Char">
    <w:name w:val="Heading 1 Char"/>
    <w:basedOn w:val="DefaultParagraphFont"/>
    <w:link w:val="Heading1"/>
    <w:uiPriority w:val="9"/>
    <w:rsid w:val="005F6CDC"/>
    <w:rPr>
      <w:rFonts w:ascii="Times New Roman" w:eastAsia="Times New Roman" w:hAnsi="Times New Roman" w:cs="Times New Roman"/>
      <w:b/>
      <w:bCs/>
      <w:kern w:val="36"/>
      <w:sz w:val="48"/>
      <w:szCs w:val="48"/>
    </w:rPr>
  </w:style>
  <w:style w:type="paragraph" w:customStyle="1" w:styleId="byline">
    <w:name w:val="byline"/>
    <w:basedOn w:val="Normal"/>
    <w:rsid w:val="005F6C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1">
    <w:name w:val="Date1"/>
    <w:basedOn w:val="DefaultParagraphFont"/>
    <w:rsid w:val="005F6CDC"/>
  </w:style>
  <w:style w:type="character" w:customStyle="1" w:styleId="author">
    <w:name w:val="author"/>
    <w:basedOn w:val="DefaultParagraphFont"/>
    <w:rsid w:val="005F6CDC"/>
  </w:style>
  <w:style w:type="character" w:styleId="Hyperlink">
    <w:name w:val="Hyperlink"/>
    <w:basedOn w:val="DefaultParagraphFont"/>
    <w:uiPriority w:val="99"/>
    <w:semiHidden/>
    <w:unhideWhenUsed/>
    <w:rsid w:val="005F6CDC"/>
    <w:rPr>
      <w:color w:val="0000FF"/>
      <w:u w:val="single"/>
    </w:rPr>
  </w:style>
  <w:style w:type="character" w:customStyle="1" w:styleId="in-widget">
    <w:name w:val="in-widget"/>
    <w:basedOn w:val="DefaultParagraphFont"/>
    <w:rsid w:val="005F6CDC"/>
  </w:style>
  <w:style w:type="character" w:customStyle="1" w:styleId="Heading2Char">
    <w:name w:val="Heading 2 Char"/>
    <w:basedOn w:val="DefaultParagraphFont"/>
    <w:link w:val="Heading2"/>
    <w:uiPriority w:val="9"/>
    <w:semiHidden/>
    <w:rsid w:val="005F6CD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120D7"/>
    <w:pPr>
      <w:ind w:left="720"/>
      <w:contextualSpacing/>
    </w:pPr>
  </w:style>
  <w:style w:type="paragraph" w:styleId="Header">
    <w:name w:val="header"/>
    <w:basedOn w:val="Normal"/>
    <w:link w:val="HeaderChar"/>
    <w:uiPriority w:val="99"/>
    <w:unhideWhenUsed/>
    <w:rsid w:val="002849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4913"/>
  </w:style>
  <w:style w:type="paragraph" w:styleId="Footer">
    <w:name w:val="footer"/>
    <w:basedOn w:val="Normal"/>
    <w:link w:val="FooterChar"/>
    <w:uiPriority w:val="99"/>
    <w:unhideWhenUsed/>
    <w:rsid w:val="002849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4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1695819">
      <w:bodyDiv w:val="1"/>
      <w:marLeft w:val="0"/>
      <w:marRight w:val="0"/>
      <w:marTop w:val="0"/>
      <w:marBottom w:val="0"/>
      <w:divBdr>
        <w:top w:val="none" w:sz="0" w:space="0" w:color="auto"/>
        <w:left w:val="none" w:sz="0" w:space="0" w:color="auto"/>
        <w:bottom w:val="none" w:sz="0" w:space="0" w:color="auto"/>
        <w:right w:val="none" w:sz="0" w:space="0" w:color="auto"/>
      </w:divBdr>
    </w:div>
    <w:div w:id="634218285">
      <w:bodyDiv w:val="1"/>
      <w:marLeft w:val="0"/>
      <w:marRight w:val="0"/>
      <w:marTop w:val="0"/>
      <w:marBottom w:val="0"/>
      <w:divBdr>
        <w:top w:val="none" w:sz="0" w:space="0" w:color="auto"/>
        <w:left w:val="none" w:sz="0" w:space="0" w:color="auto"/>
        <w:bottom w:val="none" w:sz="0" w:space="0" w:color="auto"/>
        <w:right w:val="none" w:sz="0" w:space="0" w:color="auto"/>
      </w:divBdr>
    </w:div>
    <w:div w:id="750584437">
      <w:bodyDiv w:val="1"/>
      <w:marLeft w:val="0"/>
      <w:marRight w:val="0"/>
      <w:marTop w:val="0"/>
      <w:marBottom w:val="0"/>
      <w:divBdr>
        <w:top w:val="none" w:sz="0" w:space="0" w:color="auto"/>
        <w:left w:val="none" w:sz="0" w:space="0" w:color="auto"/>
        <w:bottom w:val="none" w:sz="0" w:space="0" w:color="auto"/>
        <w:right w:val="none" w:sz="0" w:space="0" w:color="auto"/>
      </w:divBdr>
      <w:divsChild>
        <w:div w:id="567887941">
          <w:marLeft w:val="0"/>
          <w:marRight w:val="0"/>
          <w:marTop w:val="0"/>
          <w:marBottom w:val="0"/>
          <w:divBdr>
            <w:top w:val="none" w:sz="0" w:space="0" w:color="auto"/>
            <w:left w:val="none" w:sz="0" w:space="0" w:color="auto"/>
            <w:bottom w:val="none" w:sz="0" w:space="0" w:color="auto"/>
            <w:right w:val="none" w:sz="0" w:space="0" w:color="auto"/>
          </w:divBdr>
          <w:divsChild>
            <w:div w:id="169758856">
              <w:marLeft w:val="0"/>
              <w:marRight w:val="0"/>
              <w:marTop w:val="0"/>
              <w:marBottom w:val="0"/>
              <w:divBdr>
                <w:top w:val="none" w:sz="0" w:space="0" w:color="auto"/>
                <w:left w:val="none" w:sz="0" w:space="0" w:color="auto"/>
                <w:bottom w:val="none" w:sz="0" w:space="0" w:color="auto"/>
                <w:right w:val="none" w:sz="0" w:space="0" w:color="auto"/>
              </w:divBdr>
              <w:divsChild>
                <w:div w:id="813303402">
                  <w:marLeft w:val="0"/>
                  <w:marRight w:val="0"/>
                  <w:marTop w:val="405"/>
                  <w:marBottom w:val="405"/>
                  <w:divBdr>
                    <w:top w:val="none" w:sz="0" w:space="0" w:color="auto"/>
                    <w:left w:val="none" w:sz="0" w:space="0" w:color="auto"/>
                    <w:bottom w:val="none" w:sz="0" w:space="0" w:color="auto"/>
                    <w:right w:val="none" w:sz="0" w:space="0" w:color="auto"/>
                  </w:divBdr>
                  <w:divsChild>
                    <w:div w:id="1069383130">
                      <w:marLeft w:val="0"/>
                      <w:marRight w:val="0"/>
                      <w:marTop w:val="0"/>
                      <w:marBottom w:val="0"/>
                      <w:divBdr>
                        <w:top w:val="none" w:sz="0" w:space="0" w:color="auto"/>
                        <w:left w:val="none" w:sz="0" w:space="0" w:color="auto"/>
                        <w:bottom w:val="none" w:sz="0" w:space="0" w:color="auto"/>
                        <w:right w:val="none" w:sz="0" w:space="0" w:color="auto"/>
                      </w:divBdr>
                      <w:divsChild>
                        <w:div w:id="1693414748">
                          <w:marLeft w:val="0"/>
                          <w:marRight w:val="0"/>
                          <w:marTop w:val="0"/>
                          <w:marBottom w:val="0"/>
                          <w:divBdr>
                            <w:top w:val="none" w:sz="0" w:space="0" w:color="auto"/>
                            <w:left w:val="none" w:sz="0" w:space="0" w:color="auto"/>
                            <w:bottom w:val="none" w:sz="0" w:space="0" w:color="auto"/>
                            <w:right w:val="none" w:sz="0" w:space="0" w:color="auto"/>
                          </w:divBdr>
                          <w:divsChild>
                            <w:div w:id="87818299">
                              <w:marLeft w:val="0"/>
                              <w:marRight w:val="0"/>
                              <w:marTop w:val="0"/>
                              <w:marBottom w:val="0"/>
                              <w:divBdr>
                                <w:top w:val="none" w:sz="0" w:space="0" w:color="auto"/>
                                <w:left w:val="none" w:sz="0" w:space="0" w:color="auto"/>
                                <w:bottom w:val="none" w:sz="0" w:space="0" w:color="auto"/>
                                <w:right w:val="none" w:sz="0" w:space="0" w:color="auto"/>
                              </w:divBdr>
                              <w:divsChild>
                                <w:div w:id="1573850703">
                                  <w:marLeft w:val="0"/>
                                  <w:marRight w:val="0"/>
                                  <w:marTop w:val="0"/>
                                  <w:marBottom w:val="0"/>
                                  <w:divBdr>
                                    <w:top w:val="none" w:sz="0" w:space="0" w:color="auto"/>
                                    <w:left w:val="none" w:sz="0" w:space="0" w:color="auto"/>
                                    <w:bottom w:val="none" w:sz="0" w:space="0" w:color="auto"/>
                                    <w:right w:val="none" w:sz="0" w:space="0" w:color="auto"/>
                                  </w:divBdr>
                                  <w:divsChild>
                                    <w:div w:id="1737699868">
                                      <w:marLeft w:val="0"/>
                                      <w:marRight w:val="0"/>
                                      <w:marTop w:val="0"/>
                                      <w:marBottom w:val="0"/>
                                      <w:divBdr>
                                        <w:top w:val="none" w:sz="0" w:space="0" w:color="auto"/>
                                        <w:left w:val="none" w:sz="0" w:space="0" w:color="auto"/>
                                        <w:bottom w:val="none" w:sz="0" w:space="0" w:color="auto"/>
                                        <w:right w:val="none" w:sz="0" w:space="0" w:color="auto"/>
                                      </w:divBdr>
                                    </w:div>
                                    <w:div w:id="1547599699">
                                      <w:marLeft w:val="0"/>
                                      <w:marRight w:val="0"/>
                                      <w:marTop w:val="405"/>
                                      <w:marBottom w:val="405"/>
                                      <w:divBdr>
                                        <w:top w:val="single" w:sz="36" w:space="0" w:color="E0E0E0"/>
                                        <w:left w:val="none" w:sz="0" w:space="0" w:color="auto"/>
                                        <w:bottom w:val="dashed" w:sz="6" w:space="0" w:color="E0E0E0"/>
                                        <w:right w:val="none" w:sz="0" w:space="0" w:color="auto"/>
                                      </w:divBdr>
                                      <w:divsChild>
                                        <w:div w:id="1654286856">
                                          <w:marLeft w:val="0"/>
                                          <w:marRight w:val="0"/>
                                          <w:marTop w:val="0"/>
                                          <w:marBottom w:val="0"/>
                                          <w:divBdr>
                                            <w:top w:val="none" w:sz="0" w:space="0" w:color="auto"/>
                                            <w:left w:val="none" w:sz="0" w:space="0" w:color="auto"/>
                                            <w:bottom w:val="none" w:sz="0" w:space="0" w:color="auto"/>
                                            <w:right w:val="none" w:sz="0" w:space="0" w:color="auto"/>
                                          </w:divBdr>
                                        </w:div>
                                      </w:divsChild>
                                    </w:div>
                                    <w:div w:id="421684491">
                                      <w:marLeft w:val="0"/>
                                      <w:marRight w:val="0"/>
                                      <w:marTop w:val="0"/>
                                      <w:marBottom w:val="0"/>
                                      <w:divBdr>
                                        <w:top w:val="none" w:sz="0" w:space="0" w:color="auto"/>
                                        <w:left w:val="none" w:sz="0" w:space="0" w:color="auto"/>
                                        <w:bottom w:val="none" w:sz="0" w:space="0" w:color="auto"/>
                                        <w:right w:val="none" w:sz="0" w:space="0" w:color="auto"/>
                                      </w:divBdr>
                                      <w:divsChild>
                                        <w:div w:id="281807615">
                                          <w:marLeft w:val="0"/>
                                          <w:marRight w:val="0"/>
                                          <w:marTop w:val="0"/>
                                          <w:marBottom w:val="0"/>
                                          <w:divBdr>
                                            <w:top w:val="none" w:sz="0" w:space="0" w:color="auto"/>
                                            <w:left w:val="none" w:sz="0" w:space="0" w:color="auto"/>
                                            <w:bottom w:val="none" w:sz="0" w:space="0" w:color="auto"/>
                                            <w:right w:val="none" w:sz="0" w:space="0" w:color="auto"/>
                                          </w:divBdr>
                                          <w:divsChild>
                                            <w:div w:id="1772554354">
                                              <w:marLeft w:val="0"/>
                                              <w:marRight w:val="0"/>
                                              <w:marTop w:val="0"/>
                                              <w:marBottom w:val="0"/>
                                              <w:divBdr>
                                                <w:top w:val="none" w:sz="0" w:space="0" w:color="auto"/>
                                                <w:left w:val="single" w:sz="48" w:space="0" w:color="FFFFFF"/>
                                                <w:bottom w:val="none" w:sz="0" w:space="0" w:color="auto"/>
                                                <w:right w:val="none" w:sz="0" w:space="0" w:color="auto"/>
                                              </w:divBdr>
                                              <w:divsChild>
                                                <w:div w:id="104931423">
                                                  <w:marLeft w:val="0"/>
                                                  <w:marRight w:val="0"/>
                                                  <w:marTop w:val="0"/>
                                                  <w:marBottom w:val="0"/>
                                                  <w:divBdr>
                                                    <w:top w:val="none" w:sz="0" w:space="0" w:color="auto"/>
                                                    <w:left w:val="none" w:sz="0" w:space="0" w:color="auto"/>
                                                    <w:bottom w:val="none" w:sz="0" w:space="0" w:color="auto"/>
                                                    <w:right w:val="none" w:sz="0" w:space="0" w:color="auto"/>
                                                  </w:divBdr>
                                                  <w:divsChild>
                                                    <w:div w:id="1072702610">
                                                      <w:marLeft w:val="0"/>
                                                      <w:marRight w:val="0"/>
                                                      <w:marTop w:val="0"/>
                                                      <w:marBottom w:val="405"/>
                                                      <w:divBdr>
                                                        <w:top w:val="none" w:sz="0" w:space="0" w:color="auto"/>
                                                        <w:left w:val="none" w:sz="0" w:space="0" w:color="auto"/>
                                                        <w:bottom w:val="none" w:sz="0" w:space="0" w:color="auto"/>
                                                        <w:right w:val="none" w:sz="0" w:space="0" w:color="auto"/>
                                                      </w:divBdr>
                                                      <w:divsChild>
                                                        <w:div w:id="110881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832639">
                                          <w:marLeft w:val="0"/>
                                          <w:marRight w:val="0"/>
                                          <w:marTop w:val="0"/>
                                          <w:marBottom w:val="0"/>
                                          <w:divBdr>
                                            <w:top w:val="none" w:sz="0" w:space="0" w:color="auto"/>
                                            <w:left w:val="none" w:sz="0" w:space="0" w:color="auto"/>
                                            <w:bottom w:val="none" w:sz="0" w:space="0" w:color="auto"/>
                                            <w:right w:val="none" w:sz="0" w:space="0" w:color="auto"/>
                                          </w:divBdr>
                                          <w:divsChild>
                                            <w:div w:id="1665082818">
                                              <w:marLeft w:val="0"/>
                                              <w:marRight w:val="0"/>
                                              <w:marTop w:val="0"/>
                                              <w:marBottom w:val="0"/>
                                              <w:divBdr>
                                                <w:top w:val="none" w:sz="0" w:space="0" w:color="auto"/>
                                                <w:left w:val="none" w:sz="0" w:space="0" w:color="auto"/>
                                                <w:bottom w:val="none" w:sz="0" w:space="0" w:color="auto"/>
                                                <w:right w:val="none" w:sz="0" w:space="0" w:color="auto"/>
                                              </w:divBdr>
                                              <w:divsChild>
                                                <w:div w:id="1776246283">
                                                  <w:marLeft w:val="0"/>
                                                  <w:marRight w:val="0"/>
                                                  <w:marTop w:val="0"/>
                                                  <w:marBottom w:val="225"/>
                                                  <w:divBdr>
                                                    <w:top w:val="dashed" w:sz="6" w:space="22" w:color="E0E0E0"/>
                                                    <w:left w:val="dashed" w:sz="2" w:space="0" w:color="E0E0E0"/>
                                                    <w:bottom w:val="dashed" w:sz="6" w:space="22" w:color="E0E0E0"/>
                                                    <w:right w:val="dashed" w:sz="2" w:space="0" w:color="E0E0E0"/>
                                                  </w:divBdr>
                                                </w:div>
                                              </w:divsChild>
                                            </w:div>
                                            <w:div w:id="1574196348">
                                              <w:marLeft w:val="0"/>
                                              <w:marRight w:val="0"/>
                                              <w:marTop w:val="0"/>
                                              <w:marBottom w:val="405"/>
                                              <w:divBdr>
                                                <w:top w:val="single" w:sz="36" w:space="11" w:color="E0E0E0"/>
                                                <w:left w:val="none" w:sz="0" w:space="0" w:color="auto"/>
                                                <w:bottom w:val="none" w:sz="0" w:space="0" w:color="auto"/>
                                                <w:right w:val="none" w:sz="0" w:space="0" w:color="auto"/>
                                              </w:divBdr>
                                              <w:divsChild>
                                                <w:div w:id="186405209">
                                                  <w:marLeft w:val="0"/>
                                                  <w:marRight w:val="0"/>
                                                  <w:marTop w:val="0"/>
                                                  <w:marBottom w:val="0"/>
                                                  <w:divBdr>
                                                    <w:top w:val="none" w:sz="0" w:space="0" w:color="auto"/>
                                                    <w:left w:val="none" w:sz="0" w:space="0" w:color="auto"/>
                                                    <w:bottom w:val="none" w:sz="0" w:space="0" w:color="auto"/>
                                                    <w:right w:val="none" w:sz="0" w:space="0" w:color="auto"/>
                                                  </w:divBdr>
                                                  <w:divsChild>
                                                    <w:div w:id="705986079">
                                                      <w:marLeft w:val="0"/>
                                                      <w:marRight w:val="0"/>
                                                      <w:marTop w:val="0"/>
                                                      <w:marBottom w:val="0"/>
                                                      <w:divBdr>
                                                        <w:top w:val="none" w:sz="0" w:space="0" w:color="auto"/>
                                                        <w:left w:val="none" w:sz="0" w:space="0" w:color="auto"/>
                                                        <w:bottom w:val="none" w:sz="0" w:space="0" w:color="auto"/>
                                                        <w:right w:val="none" w:sz="0" w:space="0" w:color="auto"/>
                                                      </w:divBdr>
                                                      <w:divsChild>
                                                        <w:div w:id="62878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574643">
                                      <w:marLeft w:val="0"/>
                                      <w:marRight w:val="0"/>
                                      <w:marTop w:val="405"/>
                                      <w:marBottom w:val="405"/>
                                      <w:divBdr>
                                        <w:top w:val="single" w:sz="36" w:space="0" w:color="E0E0E0"/>
                                        <w:left w:val="none" w:sz="0" w:space="0" w:color="auto"/>
                                        <w:bottom w:val="dashed" w:sz="6" w:space="0" w:color="E0E0E0"/>
                                        <w:right w:val="none" w:sz="0" w:space="0" w:color="auto"/>
                                      </w:divBdr>
                                      <w:divsChild>
                                        <w:div w:id="10557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844933">
                          <w:marLeft w:val="0"/>
                          <w:marRight w:val="0"/>
                          <w:marTop w:val="0"/>
                          <w:marBottom w:val="0"/>
                          <w:divBdr>
                            <w:top w:val="none" w:sz="0" w:space="0" w:color="auto"/>
                            <w:left w:val="none" w:sz="0" w:space="0" w:color="auto"/>
                            <w:bottom w:val="none" w:sz="0" w:space="0" w:color="auto"/>
                            <w:right w:val="none" w:sz="0" w:space="0" w:color="auto"/>
                          </w:divBdr>
                          <w:divsChild>
                            <w:div w:id="496265908">
                              <w:marLeft w:val="0"/>
                              <w:marRight w:val="0"/>
                              <w:marTop w:val="0"/>
                              <w:marBottom w:val="0"/>
                              <w:divBdr>
                                <w:top w:val="none" w:sz="0" w:space="0" w:color="auto"/>
                                <w:left w:val="none" w:sz="0" w:space="0" w:color="auto"/>
                                <w:bottom w:val="none" w:sz="0" w:space="0" w:color="auto"/>
                                <w:right w:val="none" w:sz="0" w:space="0" w:color="auto"/>
                              </w:divBdr>
                              <w:divsChild>
                                <w:div w:id="1992830396">
                                  <w:marLeft w:val="0"/>
                                  <w:marRight w:val="0"/>
                                  <w:marTop w:val="0"/>
                                  <w:marBottom w:val="360"/>
                                  <w:divBdr>
                                    <w:top w:val="none" w:sz="0" w:space="0" w:color="auto"/>
                                    <w:left w:val="none" w:sz="0" w:space="0" w:color="auto"/>
                                    <w:bottom w:val="none" w:sz="0" w:space="0" w:color="auto"/>
                                    <w:right w:val="none" w:sz="0" w:space="0" w:color="auto"/>
                                  </w:divBdr>
                                  <w:divsChild>
                                    <w:div w:id="102922758">
                                      <w:marLeft w:val="0"/>
                                      <w:marRight w:val="0"/>
                                      <w:marTop w:val="0"/>
                                      <w:marBottom w:val="405"/>
                                      <w:divBdr>
                                        <w:top w:val="single" w:sz="36" w:space="9" w:color="E0E0E0"/>
                                        <w:left w:val="none" w:sz="0" w:space="0" w:color="auto"/>
                                        <w:bottom w:val="none" w:sz="0" w:space="0" w:color="auto"/>
                                        <w:right w:val="none" w:sz="0" w:space="0" w:color="auto"/>
                                      </w:divBdr>
                                      <w:divsChild>
                                        <w:div w:id="1288664299">
                                          <w:marLeft w:val="0"/>
                                          <w:marRight w:val="0"/>
                                          <w:marTop w:val="0"/>
                                          <w:marBottom w:val="0"/>
                                          <w:divBdr>
                                            <w:top w:val="none" w:sz="0" w:space="0" w:color="auto"/>
                                            <w:left w:val="none" w:sz="0" w:space="0" w:color="auto"/>
                                            <w:bottom w:val="none" w:sz="0" w:space="0" w:color="auto"/>
                                            <w:right w:val="none" w:sz="0" w:space="0" w:color="auto"/>
                                          </w:divBdr>
                                          <w:divsChild>
                                            <w:div w:id="1660113493">
                                              <w:marLeft w:val="0"/>
                                              <w:marRight w:val="0"/>
                                              <w:marTop w:val="0"/>
                                              <w:marBottom w:val="0"/>
                                              <w:divBdr>
                                                <w:top w:val="none" w:sz="0" w:space="0" w:color="auto"/>
                                                <w:left w:val="none" w:sz="0" w:space="0" w:color="auto"/>
                                                <w:bottom w:val="none" w:sz="0" w:space="0" w:color="auto"/>
                                                <w:right w:val="none" w:sz="0" w:space="0" w:color="auto"/>
                                              </w:divBdr>
                                            </w:div>
                                            <w:div w:id="1169830734">
                                              <w:marLeft w:val="0"/>
                                              <w:marRight w:val="0"/>
                                              <w:marTop w:val="0"/>
                                              <w:marBottom w:val="0"/>
                                              <w:divBdr>
                                                <w:top w:val="none" w:sz="0" w:space="0" w:color="auto"/>
                                                <w:left w:val="none" w:sz="0" w:space="0" w:color="auto"/>
                                                <w:bottom w:val="none" w:sz="0" w:space="0" w:color="auto"/>
                                                <w:right w:val="none" w:sz="0" w:space="0" w:color="auto"/>
                                              </w:divBdr>
                                              <w:divsChild>
                                                <w:div w:id="769593138">
                                                  <w:marLeft w:val="0"/>
                                                  <w:marRight w:val="0"/>
                                                  <w:marTop w:val="0"/>
                                                  <w:marBottom w:val="0"/>
                                                  <w:divBdr>
                                                    <w:top w:val="none" w:sz="0" w:space="0" w:color="auto"/>
                                                    <w:left w:val="none" w:sz="0" w:space="0" w:color="auto"/>
                                                    <w:bottom w:val="none" w:sz="0" w:space="0" w:color="auto"/>
                                                    <w:right w:val="none" w:sz="0" w:space="0" w:color="auto"/>
                                                  </w:divBdr>
                                                </w:div>
                                                <w:div w:id="677847891">
                                                  <w:marLeft w:val="0"/>
                                                  <w:marRight w:val="0"/>
                                                  <w:marTop w:val="0"/>
                                                  <w:marBottom w:val="0"/>
                                                  <w:divBdr>
                                                    <w:top w:val="single" w:sz="36" w:space="11" w:color="FFFFFF"/>
                                                    <w:left w:val="none" w:sz="0" w:space="0" w:color="auto"/>
                                                    <w:bottom w:val="none" w:sz="0" w:space="0" w:color="auto"/>
                                                    <w:right w:val="none" w:sz="0" w:space="0" w:color="auto"/>
                                                  </w:divBdr>
                                                  <w:divsChild>
                                                    <w:div w:id="31537477">
                                                      <w:marLeft w:val="0"/>
                                                      <w:marRight w:val="0"/>
                                                      <w:marTop w:val="0"/>
                                                      <w:marBottom w:val="0"/>
                                                      <w:divBdr>
                                                        <w:top w:val="none" w:sz="0" w:space="0" w:color="auto"/>
                                                        <w:left w:val="none" w:sz="0" w:space="0" w:color="auto"/>
                                                        <w:bottom w:val="none" w:sz="0" w:space="0" w:color="auto"/>
                                                        <w:right w:val="none" w:sz="0" w:space="0" w:color="auto"/>
                                                      </w:divBdr>
                                                      <w:divsChild>
                                                        <w:div w:id="155537313">
                                                          <w:marLeft w:val="0"/>
                                                          <w:marRight w:val="0"/>
                                                          <w:marTop w:val="0"/>
                                                          <w:marBottom w:val="0"/>
                                                          <w:divBdr>
                                                            <w:top w:val="single" w:sz="6" w:space="0" w:color="E0E0E0"/>
                                                            <w:left w:val="single" w:sz="6" w:space="0" w:color="E0E0E0"/>
                                                            <w:bottom w:val="single" w:sz="6" w:space="0" w:color="E0E0E0"/>
                                                            <w:right w:val="single" w:sz="6" w:space="0" w:color="E0E0E0"/>
                                                          </w:divBdr>
                                                        </w:div>
                                                      </w:divsChild>
                                                    </w:div>
                                                  </w:divsChild>
                                                </w:div>
                                              </w:divsChild>
                                            </w:div>
                                          </w:divsChild>
                                        </w:div>
                                      </w:divsChild>
                                    </w:div>
                                  </w:divsChild>
                                </w:div>
                                <w:div w:id="384644796">
                                  <w:marLeft w:val="0"/>
                                  <w:marRight w:val="0"/>
                                  <w:marTop w:val="0"/>
                                  <w:marBottom w:val="360"/>
                                  <w:divBdr>
                                    <w:top w:val="single" w:sz="36" w:space="9" w:color="E0E0E0"/>
                                    <w:left w:val="none" w:sz="0" w:space="0" w:color="auto"/>
                                    <w:bottom w:val="none" w:sz="0" w:space="0" w:color="auto"/>
                                    <w:right w:val="none" w:sz="0" w:space="0" w:color="auto"/>
                                  </w:divBdr>
                                </w:div>
                                <w:div w:id="876162478">
                                  <w:marLeft w:val="0"/>
                                  <w:marRight w:val="0"/>
                                  <w:marTop w:val="0"/>
                                  <w:marBottom w:val="360"/>
                                  <w:divBdr>
                                    <w:top w:val="single" w:sz="36" w:space="9" w:color="E0E0E0"/>
                                    <w:left w:val="none" w:sz="0" w:space="0" w:color="auto"/>
                                    <w:bottom w:val="none" w:sz="0" w:space="0" w:color="auto"/>
                                    <w:right w:val="none" w:sz="0" w:space="0" w:color="auto"/>
                                  </w:divBdr>
                                  <w:divsChild>
                                    <w:div w:id="407921816">
                                      <w:marLeft w:val="0"/>
                                      <w:marRight w:val="0"/>
                                      <w:marTop w:val="0"/>
                                      <w:marBottom w:val="0"/>
                                      <w:divBdr>
                                        <w:top w:val="none" w:sz="0" w:space="0" w:color="auto"/>
                                        <w:left w:val="none" w:sz="0" w:space="0" w:color="auto"/>
                                        <w:bottom w:val="none" w:sz="0" w:space="0" w:color="auto"/>
                                        <w:right w:val="none" w:sz="0" w:space="0" w:color="auto"/>
                                      </w:divBdr>
                                      <w:divsChild>
                                        <w:div w:id="1740442859">
                                          <w:marLeft w:val="0"/>
                                          <w:marRight w:val="0"/>
                                          <w:marTop w:val="0"/>
                                          <w:marBottom w:val="0"/>
                                          <w:divBdr>
                                            <w:top w:val="none" w:sz="0" w:space="0" w:color="auto"/>
                                            <w:left w:val="none" w:sz="0" w:space="0" w:color="auto"/>
                                            <w:bottom w:val="none" w:sz="0" w:space="0" w:color="auto"/>
                                            <w:right w:val="none" w:sz="0" w:space="0" w:color="auto"/>
                                          </w:divBdr>
                                        </w:div>
                                        <w:div w:id="969359812">
                                          <w:marLeft w:val="0"/>
                                          <w:marRight w:val="0"/>
                                          <w:marTop w:val="0"/>
                                          <w:marBottom w:val="0"/>
                                          <w:divBdr>
                                            <w:top w:val="none" w:sz="0" w:space="0" w:color="auto"/>
                                            <w:left w:val="none" w:sz="0" w:space="0" w:color="auto"/>
                                            <w:bottom w:val="none" w:sz="0" w:space="0" w:color="auto"/>
                                            <w:right w:val="none" w:sz="0" w:space="0" w:color="auto"/>
                                          </w:divBdr>
                                          <w:divsChild>
                                            <w:div w:id="642932781">
                                              <w:marLeft w:val="0"/>
                                              <w:marRight w:val="0"/>
                                              <w:marTop w:val="0"/>
                                              <w:marBottom w:val="0"/>
                                              <w:divBdr>
                                                <w:top w:val="none" w:sz="0" w:space="0" w:color="auto"/>
                                                <w:left w:val="none" w:sz="0" w:space="0" w:color="auto"/>
                                                <w:bottom w:val="none" w:sz="0" w:space="0" w:color="auto"/>
                                                <w:right w:val="none" w:sz="0" w:space="0" w:color="auto"/>
                                              </w:divBdr>
                                              <w:divsChild>
                                                <w:div w:id="302778289">
                                                  <w:marLeft w:val="0"/>
                                                  <w:marRight w:val="0"/>
                                                  <w:marTop w:val="0"/>
                                                  <w:marBottom w:val="0"/>
                                                  <w:divBdr>
                                                    <w:top w:val="none" w:sz="0" w:space="0" w:color="auto"/>
                                                    <w:left w:val="none" w:sz="0" w:space="0" w:color="auto"/>
                                                    <w:bottom w:val="none" w:sz="0" w:space="0" w:color="auto"/>
                                                    <w:right w:val="none" w:sz="0" w:space="0" w:color="auto"/>
                                                  </w:divBdr>
                                                  <w:divsChild>
                                                    <w:div w:id="267128720">
                                                      <w:marLeft w:val="0"/>
                                                      <w:marRight w:val="0"/>
                                                      <w:marTop w:val="0"/>
                                                      <w:marBottom w:val="0"/>
                                                      <w:divBdr>
                                                        <w:top w:val="single" w:sz="6" w:space="0" w:color="E0E0E0"/>
                                                        <w:left w:val="single" w:sz="6" w:space="0" w:color="E0E0E0"/>
                                                        <w:bottom w:val="single" w:sz="6" w:space="0" w:color="E0E0E0"/>
                                                        <w:right w:val="single" w:sz="6" w:space="0" w:color="E0E0E0"/>
                                                      </w:divBdr>
                                                    </w:div>
                                                  </w:divsChild>
                                                </w:div>
                                              </w:divsChild>
                                            </w:div>
                                          </w:divsChild>
                                        </w:div>
                                      </w:divsChild>
                                    </w:div>
                                  </w:divsChild>
                                </w:div>
                                <w:div w:id="2006396367">
                                  <w:marLeft w:val="0"/>
                                  <w:marRight w:val="0"/>
                                  <w:marTop w:val="0"/>
                                  <w:marBottom w:val="360"/>
                                  <w:divBdr>
                                    <w:top w:val="single" w:sz="36" w:space="0" w:color="E0E0E0"/>
                                    <w:left w:val="none" w:sz="0" w:space="0" w:color="auto"/>
                                    <w:bottom w:val="none" w:sz="0" w:space="0" w:color="auto"/>
                                    <w:right w:val="none" w:sz="0" w:space="0" w:color="auto"/>
                                  </w:divBdr>
                                  <w:divsChild>
                                    <w:div w:id="519902682">
                                      <w:marLeft w:val="0"/>
                                      <w:marRight w:val="0"/>
                                      <w:marTop w:val="0"/>
                                      <w:marBottom w:val="0"/>
                                      <w:divBdr>
                                        <w:top w:val="none" w:sz="0" w:space="0" w:color="auto"/>
                                        <w:left w:val="none" w:sz="0" w:space="0" w:color="auto"/>
                                        <w:bottom w:val="none" w:sz="0" w:space="0" w:color="auto"/>
                                        <w:right w:val="none" w:sz="0" w:space="0" w:color="auto"/>
                                      </w:divBdr>
                                      <w:divsChild>
                                        <w:div w:id="277415991">
                                          <w:marLeft w:val="-4500"/>
                                          <w:marRight w:val="0"/>
                                          <w:marTop w:val="615"/>
                                          <w:marBottom w:val="0"/>
                                          <w:divBdr>
                                            <w:top w:val="none" w:sz="0" w:space="0" w:color="auto"/>
                                            <w:left w:val="none" w:sz="0" w:space="0" w:color="auto"/>
                                            <w:bottom w:val="none" w:sz="0" w:space="0" w:color="auto"/>
                                            <w:right w:val="none" w:sz="0" w:space="0" w:color="auto"/>
                                          </w:divBdr>
                                        </w:div>
                                      </w:divsChild>
                                    </w:div>
                                    <w:div w:id="1154443831">
                                      <w:marLeft w:val="0"/>
                                      <w:marRight w:val="0"/>
                                      <w:marTop w:val="0"/>
                                      <w:marBottom w:val="0"/>
                                      <w:divBdr>
                                        <w:top w:val="none" w:sz="0" w:space="0" w:color="auto"/>
                                        <w:left w:val="none" w:sz="0" w:space="0" w:color="auto"/>
                                        <w:bottom w:val="none" w:sz="0" w:space="0" w:color="auto"/>
                                        <w:right w:val="none" w:sz="0" w:space="0" w:color="auto"/>
                                      </w:divBdr>
                                      <w:divsChild>
                                        <w:div w:id="2033604632">
                                          <w:marLeft w:val="0"/>
                                          <w:marRight w:val="0"/>
                                          <w:marTop w:val="615"/>
                                          <w:marBottom w:val="0"/>
                                          <w:divBdr>
                                            <w:top w:val="none" w:sz="0" w:space="0" w:color="auto"/>
                                            <w:left w:val="none" w:sz="0" w:space="0" w:color="auto"/>
                                            <w:bottom w:val="none" w:sz="0" w:space="0" w:color="auto"/>
                                            <w:right w:val="none" w:sz="0" w:space="0" w:color="auto"/>
                                          </w:divBdr>
                                        </w:div>
                                      </w:divsChild>
                                    </w:div>
                                  </w:divsChild>
                                </w:div>
                                <w:div w:id="1417944016">
                                  <w:marLeft w:val="0"/>
                                  <w:marRight w:val="0"/>
                                  <w:marTop w:val="0"/>
                                  <w:marBottom w:val="360"/>
                                  <w:divBdr>
                                    <w:top w:val="single" w:sz="36" w:space="9" w:color="E0E0E0"/>
                                    <w:left w:val="none" w:sz="0" w:space="0" w:color="auto"/>
                                    <w:bottom w:val="single" w:sz="36" w:space="3" w:color="E0E0E0"/>
                                    <w:right w:val="none" w:sz="0" w:space="0" w:color="auto"/>
                                  </w:divBdr>
                                  <w:divsChild>
                                    <w:div w:id="19640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071234">
      <w:bodyDiv w:val="1"/>
      <w:marLeft w:val="0"/>
      <w:marRight w:val="0"/>
      <w:marTop w:val="0"/>
      <w:marBottom w:val="0"/>
      <w:divBdr>
        <w:top w:val="none" w:sz="0" w:space="0" w:color="auto"/>
        <w:left w:val="none" w:sz="0" w:space="0" w:color="auto"/>
        <w:bottom w:val="none" w:sz="0" w:space="0" w:color="auto"/>
        <w:right w:val="none" w:sz="0" w:space="0" w:color="auto"/>
      </w:divBdr>
    </w:div>
    <w:div w:id="1604142846">
      <w:bodyDiv w:val="1"/>
      <w:marLeft w:val="0"/>
      <w:marRight w:val="0"/>
      <w:marTop w:val="0"/>
      <w:marBottom w:val="0"/>
      <w:divBdr>
        <w:top w:val="none" w:sz="0" w:space="0" w:color="auto"/>
        <w:left w:val="none" w:sz="0" w:space="0" w:color="auto"/>
        <w:bottom w:val="none" w:sz="0" w:space="0" w:color="auto"/>
        <w:right w:val="none" w:sz="0" w:space="0" w:color="auto"/>
      </w:divBdr>
    </w:div>
    <w:div w:id="2090079339">
      <w:bodyDiv w:val="1"/>
      <w:marLeft w:val="0"/>
      <w:marRight w:val="0"/>
      <w:marTop w:val="0"/>
      <w:marBottom w:val="0"/>
      <w:divBdr>
        <w:top w:val="none" w:sz="0" w:space="0" w:color="auto"/>
        <w:left w:val="none" w:sz="0" w:space="0" w:color="auto"/>
        <w:bottom w:val="none" w:sz="0" w:space="0" w:color="auto"/>
        <w:right w:val="none" w:sz="0" w:space="0" w:color="auto"/>
      </w:divBdr>
      <w:divsChild>
        <w:div w:id="575751955">
          <w:marLeft w:val="0"/>
          <w:marRight w:val="0"/>
          <w:marTop w:val="0"/>
          <w:marBottom w:val="0"/>
          <w:divBdr>
            <w:top w:val="none" w:sz="0" w:space="0" w:color="auto"/>
            <w:left w:val="none" w:sz="0" w:space="0" w:color="auto"/>
            <w:bottom w:val="none" w:sz="0" w:space="0" w:color="auto"/>
            <w:right w:val="none" w:sz="0" w:space="0" w:color="auto"/>
          </w:divBdr>
        </w:div>
        <w:div w:id="165217208">
          <w:marLeft w:val="0"/>
          <w:marRight w:val="0"/>
          <w:marTop w:val="405"/>
          <w:marBottom w:val="405"/>
          <w:divBdr>
            <w:top w:val="single" w:sz="36" w:space="0" w:color="E0E0E0"/>
            <w:left w:val="none" w:sz="0" w:space="0" w:color="auto"/>
            <w:bottom w:val="dashed" w:sz="6" w:space="0" w:color="E0E0E0"/>
            <w:right w:val="none" w:sz="0" w:space="0" w:color="auto"/>
          </w:divBdr>
          <w:divsChild>
            <w:div w:id="1008866149">
              <w:marLeft w:val="0"/>
              <w:marRight w:val="0"/>
              <w:marTop w:val="0"/>
              <w:marBottom w:val="0"/>
              <w:divBdr>
                <w:top w:val="none" w:sz="0" w:space="0" w:color="auto"/>
                <w:left w:val="none" w:sz="0" w:space="0" w:color="auto"/>
                <w:bottom w:val="none" w:sz="0" w:space="0" w:color="auto"/>
                <w:right w:val="none" w:sz="0" w:space="0" w:color="auto"/>
              </w:divBdr>
            </w:div>
          </w:divsChild>
        </w:div>
        <w:div w:id="163447174">
          <w:marLeft w:val="0"/>
          <w:marRight w:val="0"/>
          <w:marTop w:val="0"/>
          <w:marBottom w:val="0"/>
          <w:divBdr>
            <w:top w:val="none" w:sz="0" w:space="0" w:color="auto"/>
            <w:left w:val="none" w:sz="0" w:space="0" w:color="auto"/>
            <w:bottom w:val="none" w:sz="0" w:space="0" w:color="auto"/>
            <w:right w:val="none" w:sz="0" w:space="0" w:color="auto"/>
          </w:divBdr>
          <w:divsChild>
            <w:div w:id="1789160675">
              <w:marLeft w:val="0"/>
              <w:marRight w:val="0"/>
              <w:marTop w:val="0"/>
              <w:marBottom w:val="0"/>
              <w:divBdr>
                <w:top w:val="none" w:sz="0" w:space="0" w:color="auto"/>
                <w:left w:val="none" w:sz="0" w:space="0" w:color="auto"/>
                <w:bottom w:val="none" w:sz="0" w:space="0" w:color="auto"/>
                <w:right w:val="none" w:sz="0" w:space="0" w:color="auto"/>
              </w:divBdr>
              <w:divsChild>
                <w:div w:id="754789478">
                  <w:marLeft w:val="0"/>
                  <w:marRight w:val="0"/>
                  <w:marTop w:val="0"/>
                  <w:marBottom w:val="0"/>
                  <w:divBdr>
                    <w:top w:val="none" w:sz="0" w:space="0" w:color="auto"/>
                    <w:left w:val="single" w:sz="48" w:space="0" w:color="FFFFFF"/>
                    <w:bottom w:val="none" w:sz="0" w:space="0" w:color="auto"/>
                    <w:right w:val="none" w:sz="0" w:space="0" w:color="auto"/>
                  </w:divBdr>
                  <w:divsChild>
                    <w:div w:id="1585648849">
                      <w:marLeft w:val="0"/>
                      <w:marRight w:val="0"/>
                      <w:marTop w:val="0"/>
                      <w:marBottom w:val="0"/>
                      <w:divBdr>
                        <w:top w:val="none" w:sz="0" w:space="0" w:color="auto"/>
                        <w:left w:val="none" w:sz="0" w:space="0" w:color="auto"/>
                        <w:bottom w:val="none" w:sz="0" w:space="0" w:color="auto"/>
                        <w:right w:val="none" w:sz="0" w:space="0" w:color="auto"/>
                      </w:divBdr>
                      <w:divsChild>
                        <w:div w:id="617756618">
                          <w:marLeft w:val="0"/>
                          <w:marRight w:val="0"/>
                          <w:marTop w:val="0"/>
                          <w:marBottom w:val="405"/>
                          <w:divBdr>
                            <w:top w:val="none" w:sz="0" w:space="0" w:color="auto"/>
                            <w:left w:val="none" w:sz="0" w:space="0" w:color="auto"/>
                            <w:bottom w:val="none" w:sz="0" w:space="0" w:color="auto"/>
                            <w:right w:val="none" w:sz="0" w:space="0" w:color="auto"/>
                          </w:divBdr>
                          <w:divsChild>
                            <w:div w:id="55859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753937">
              <w:marLeft w:val="0"/>
              <w:marRight w:val="0"/>
              <w:marTop w:val="0"/>
              <w:marBottom w:val="0"/>
              <w:divBdr>
                <w:top w:val="none" w:sz="0" w:space="0" w:color="auto"/>
                <w:left w:val="none" w:sz="0" w:space="0" w:color="auto"/>
                <w:bottom w:val="none" w:sz="0" w:space="0" w:color="auto"/>
                <w:right w:val="none" w:sz="0" w:space="0" w:color="auto"/>
              </w:divBdr>
              <w:divsChild>
                <w:div w:id="1015497362">
                  <w:marLeft w:val="0"/>
                  <w:marRight w:val="0"/>
                  <w:marTop w:val="0"/>
                  <w:marBottom w:val="0"/>
                  <w:divBdr>
                    <w:top w:val="none" w:sz="0" w:space="0" w:color="auto"/>
                    <w:left w:val="none" w:sz="0" w:space="0" w:color="auto"/>
                    <w:bottom w:val="none" w:sz="0" w:space="0" w:color="auto"/>
                    <w:right w:val="none" w:sz="0" w:space="0" w:color="auto"/>
                  </w:divBdr>
                  <w:divsChild>
                    <w:div w:id="1546529345">
                      <w:marLeft w:val="0"/>
                      <w:marRight w:val="0"/>
                      <w:marTop w:val="0"/>
                      <w:marBottom w:val="225"/>
                      <w:divBdr>
                        <w:top w:val="dashed" w:sz="6" w:space="22" w:color="E0E0E0"/>
                        <w:left w:val="dashed" w:sz="2" w:space="0" w:color="E0E0E0"/>
                        <w:bottom w:val="dashed" w:sz="6" w:space="22" w:color="E0E0E0"/>
                        <w:right w:val="dashed" w:sz="2" w:space="0" w:color="E0E0E0"/>
                      </w:divBdr>
                    </w:div>
                  </w:divsChild>
                </w:div>
              </w:divsChild>
            </w:div>
          </w:divsChild>
        </w:div>
      </w:divsChild>
    </w:div>
    <w:div w:id="211847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A0672-3AC9-4EB4-AA17-53CD89CABA4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5863</Words>
  <Characters>33424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mallowah</dc:creator>
  <cp:keywords/>
  <dc:description/>
  <cp:lastModifiedBy>sylvia.mathenge@outlook.com</cp:lastModifiedBy>
  <cp:revision>2</cp:revision>
  <cp:lastPrinted>2016-02-19T05:33:00Z</cp:lastPrinted>
  <dcterms:created xsi:type="dcterms:W3CDTF">2020-11-09T09:45:00Z</dcterms:created>
  <dcterms:modified xsi:type="dcterms:W3CDTF">2020-11-09T09:45:00Z</dcterms:modified>
</cp:coreProperties>
</file>