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61F4" w:rsidRDefault="001D77DD">
      <w:r w:rsidRPr="001D77DD">
        <w:rPr>
          <w:i/>
          <w:iCs/>
          <w:u w:val="single"/>
        </w:rPr>
        <w:t xml:space="preserve">Daimler Co Ltd v Continental </w:t>
      </w:r>
      <w:proofErr w:type="spellStart"/>
      <w:r w:rsidRPr="001D77DD">
        <w:rPr>
          <w:i/>
          <w:iCs/>
          <w:u w:val="single"/>
        </w:rPr>
        <w:t>Tyre</w:t>
      </w:r>
      <w:proofErr w:type="spellEnd"/>
      <w:r w:rsidRPr="001D77DD">
        <w:rPr>
          <w:i/>
          <w:iCs/>
          <w:u w:val="single"/>
        </w:rPr>
        <w:t xml:space="preserve"> and Rubber co (Great Britain)</w:t>
      </w:r>
      <w:r w:rsidRPr="001D77DD">
        <w:t xml:space="preserve"> (1916) 2 AC 307</w:t>
      </w:r>
    </w:p>
    <w:p w:rsidR="007E32B3" w:rsidRDefault="007E32B3" w:rsidP="007E32B3">
      <w:pPr>
        <w:pStyle w:val="NormalWeb"/>
      </w:pPr>
      <w:r>
        <w:t xml:space="preserve">All except one of </w:t>
      </w:r>
      <w:r w:rsidRPr="007E32B3">
        <w:t xml:space="preserve">Continental </w:t>
      </w:r>
      <w:proofErr w:type="spellStart"/>
      <w:r w:rsidRPr="007E32B3">
        <w:t>Tyre</w:t>
      </w:r>
      <w:proofErr w:type="spellEnd"/>
      <w:r w:rsidRPr="007E32B3">
        <w:t xml:space="preserve"> and Rubber Co Ltd’s</w:t>
      </w:r>
      <w:r>
        <w:t xml:space="preserve"> shares were held by German residents and all directors were German residents. The secretary was English. Continental </w:t>
      </w:r>
      <w:proofErr w:type="spellStart"/>
      <w:r>
        <w:t>Tyre</w:t>
      </w:r>
      <w:proofErr w:type="spellEnd"/>
      <w:r>
        <w:t xml:space="preserve"> and Rubber Co Ltd supplied tyres to </w:t>
      </w:r>
      <w:r w:rsidRPr="007E32B3">
        <w:t>Daimler</w:t>
      </w:r>
      <w:r>
        <w:t xml:space="preserve">, but Daimler was concerned that making payment might contravene a common law offence of trading with the enemy as well as a proclamation issued under s 1(2) Trading with the Enemy Act 1914. Continental sued Daimler for money due in respect of goods supplied. Daimler claimed that the Company was actually owned by German Nationals and paying them was illegal under the Trading with the Enemy Act. The Court lifted the </w:t>
      </w:r>
      <w:proofErr w:type="gramStart"/>
      <w:r>
        <w:t>Corporate</w:t>
      </w:r>
      <w:proofErr w:type="gramEnd"/>
      <w:r>
        <w:t xml:space="preserve"> veil to discover if this was so, and found as a fact that it was the Germans who were operating the business.</w:t>
      </w:r>
    </w:p>
    <w:p w:rsidR="007E32B3" w:rsidRPr="007E32B3" w:rsidRDefault="007E32B3" w:rsidP="007E32B3">
      <w:pPr>
        <w:pStyle w:val="NormalWeb"/>
      </w:pPr>
      <w:r>
        <w:t xml:space="preserve">Recognizing the acts of a company’s directors, the Court observed that the Secretary (solicitor) must show proof of instructions directing him to make payments. If such instructions are made without authority they are void </w:t>
      </w:r>
      <w:proofErr w:type="spellStart"/>
      <w:r>
        <w:t>ab</w:t>
      </w:r>
      <w:proofErr w:type="spellEnd"/>
      <w:r>
        <w:t xml:space="preserve"> initio, and can only be ratified if the director(s) approve the solicitor’s prior act of instituting proceedings without directions.</w:t>
      </w:r>
    </w:p>
    <w:p w:rsidR="007E32B3" w:rsidRDefault="007E32B3">
      <w:pPr>
        <w:rPr>
          <w:i/>
          <w:iCs/>
        </w:rPr>
      </w:pPr>
    </w:p>
    <w:p w:rsidR="001D77DD" w:rsidRDefault="001D77DD">
      <w:pPr>
        <w:rPr>
          <w:b/>
          <w:bCs/>
          <w:i/>
          <w:iCs/>
          <w:u w:val="single"/>
        </w:rPr>
      </w:pPr>
      <w:r w:rsidRPr="001D77DD">
        <w:rPr>
          <w:b/>
          <w:bCs/>
          <w:i/>
          <w:iCs/>
          <w:u w:val="single"/>
        </w:rPr>
        <w:t>Danish Mercantile Co Ltd v Beaumont [1951] 1 All ER 925</w:t>
      </w:r>
    </w:p>
    <w:p w:rsidR="003C21FC" w:rsidRDefault="003C21FC" w:rsidP="003C21FC">
      <w:pPr>
        <w:pStyle w:val="NormalWeb"/>
        <w:jc w:val="both"/>
      </w:pPr>
      <w:proofErr w:type="gramStart"/>
      <w:r>
        <w:t>In Danish</w:t>
      </w:r>
      <w:r>
        <w:rPr>
          <w:rStyle w:val="Strong"/>
          <w:u w:val="single"/>
        </w:rPr>
        <w:t xml:space="preserve"> Mercantile Co. Ltd v Beaumont &amp; </w:t>
      </w:r>
      <w:proofErr w:type="spellStart"/>
      <w:r>
        <w:rPr>
          <w:rStyle w:val="Strong"/>
          <w:u w:val="single"/>
        </w:rPr>
        <w:t>Ano</w:t>
      </w:r>
      <w:proofErr w:type="spellEnd"/>
      <w:r>
        <w:rPr>
          <w:rStyle w:val="Strong"/>
        </w:rPr>
        <w:t>.</w:t>
      </w:r>
      <w:proofErr w:type="gramEnd"/>
      <w:r>
        <w:rPr>
          <w:rStyle w:val="Strong"/>
        </w:rPr>
        <w:t xml:space="preserve"> [1951] 1 All ER 925</w:t>
      </w:r>
      <w:r>
        <w:t xml:space="preserve"> (supra) the Court of Appeal set out the principles to be considered in a situation where an action was commenced in the name of a company without authority. In this case the company went into liquidation and the liquidator adopted the proceedings on behalf of the company.  The Court held:</w:t>
      </w:r>
    </w:p>
    <w:p w:rsidR="003C21FC" w:rsidRDefault="003C21FC" w:rsidP="003C21FC">
      <w:pPr>
        <w:pStyle w:val="NormalWeb"/>
        <w:ind w:left="720"/>
        <w:jc w:val="both"/>
      </w:pPr>
      <w:r>
        <w:rPr>
          <w:rStyle w:val="Emphasis"/>
          <w:b/>
          <w:bCs/>
        </w:rPr>
        <w:t>“I find nothing in any of those cases to constrain me to hold that the issue of a writ and the commencing of an action without authority of the purported plaintiff is a matter which admits of no validation by subsequent ratification of the act of the solicitor concerned. So to hold would be to introduce, as I see it, an entirely novel doctrine into the ordinary law of principal and agent, and to make a new exception to the general rule that every ratification relates back, and is deemed equivalent, to an antecedent authority.’ </w:t>
      </w:r>
    </w:p>
    <w:p w:rsidR="003C21FC" w:rsidRDefault="003C21FC" w:rsidP="003C21FC">
      <w:pPr>
        <w:pStyle w:val="NormalWeb"/>
        <w:ind w:left="720"/>
        <w:jc w:val="both"/>
      </w:pPr>
      <w:r>
        <w:rPr>
          <w:rStyle w:val="Emphasis"/>
          <w:b/>
          <w:bCs/>
        </w:rPr>
        <w:t xml:space="preserve">‘It is common practice in such cases to adjourn any motion brought to strike out the company’s name with a view to a meeting being called to see whether the company desires the action to be brought or not.’ </w:t>
      </w:r>
    </w:p>
    <w:p w:rsidR="003C21FC" w:rsidRDefault="003C21FC" w:rsidP="003C21FC">
      <w:pPr>
        <w:pStyle w:val="NormalWeb"/>
        <w:ind w:left="720"/>
        <w:jc w:val="both"/>
      </w:pPr>
      <w:r>
        <w:rPr>
          <w:rStyle w:val="Emphasis"/>
          <w:b/>
          <w:bCs/>
        </w:rPr>
        <w:t>‘I think that the true position is simply that a solicitor who starts proceedings in the name of a company without verifying he had proper authority to do so, or under an erroneous assumption as to the authority, does so as at his own peril, and, so long as the matter rests there the action is not properly constituted. </w:t>
      </w:r>
      <w:r>
        <w:rPr>
          <w:rStyle w:val="Emphasis"/>
          <w:b/>
          <w:bCs/>
          <w:u w:val="single"/>
        </w:rPr>
        <w:t xml:space="preserve">In that sense it is a nullity and can be stayed at any time, provided the aggrieved party does not unduly delay his application, but it is open at any time to the purported plaintiff to ratify the act of the solicitor, who started the action, to adopt the proceedings, and say: ‘I approve of all that has been done in the past and instruct you to continue the action.’ When that has </w:t>
      </w:r>
      <w:r>
        <w:rPr>
          <w:rStyle w:val="Emphasis"/>
          <w:b/>
          <w:bCs/>
          <w:u w:val="single"/>
        </w:rPr>
        <w:lastRenderedPageBreak/>
        <w:t>been done then in accordance with the ordinary law of principal and agent and the ordinary doctrine of ratification, the defect in the proceedings as originally constituted is cured, and it is no longer open to the defendant to object on the ground that the proceedings thus ratified and adopted were in the first instance brought without proper authority.</w:t>
      </w:r>
      <w:r>
        <w:rPr>
          <w:rStyle w:val="Emphasis"/>
        </w:rPr>
        <w:t xml:space="preserve">” </w:t>
      </w:r>
    </w:p>
    <w:p w:rsidR="003C21FC" w:rsidRPr="003C21FC" w:rsidRDefault="003C21FC"/>
    <w:p w:rsidR="001D77DD" w:rsidRDefault="001D77DD">
      <w:pPr>
        <w:rPr>
          <w:u w:val="single"/>
        </w:rPr>
      </w:pPr>
      <w:r w:rsidRPr="001D77DD">
        <w:rPr>
          <w:i/>
          <w:iCs/>
          <w:u w:val="single"/>
        </w:rPr>
        <w:t xml:space="preserve">Underwood, Son, &amp; Piper v Lewis </w:t>
      </w:r>
      <w:r w:rsidRPr="001D77DD">
        <w:rPr>
          <w:u w:val="single"/>
        </w:rPr>
        <w:t>[1894] 2 QB 306</w:t>
      </w:r>
    </w:p>
    <w:p w:rsidR="00CC3843" w:rsidRDefault="009B07D1">
      <w:r>
        <w:t xml:space="preserve">Solicitors had declined to continue to act for their client before the litigation in which they were acting had been completed. They brought an action for the amount of their bill of costs for work done to date. The trial judge held that a solicitor may terminate his retainer without cause and judgment was entered in </w:t>
      </w:r>
      <w:proofErr w:type="spellStart"/>
      <w:r>
        <w:t>favour</w:t>
      </w:r>
      <w:proofErr w:type="spellEnd"/>
      <w:r>
        <w:t xml:space="preserve"> of the solicitors. </w:t>
      </w:r>
    </w:p>
    <w:p w:rsidR="009B07D1" w:rsidRPr="009B07D1" w:rsidRDefault="009B07D1">
      <w:r>
        <w:br/>
        <w:t xml:space="preserve">Held: The retainer could only be lawfully terminated on reasonable grounds. The court considered the potential for conflict for a solicitor acting in litigation and the extent of his retainer. Lord </w:t>
      </w:r>
      <w:proofErr w:type="spellStart"/>
      <w:r>
        <w:t>Esher</w:t>
      </w:r>
      <w:proofErr w:type="spellEnd"/>
      <w:r>
        <w:t xml:space="preserve"> MR said: ‘When one considers the nature of a common law action, it seems obvious that the law must imply that the contract of the solicitor upon a retainer in the action is an entire contract to conduct the action to the end. When a man goes to a solicitor and instructs him for the purpose of bringing or defending such an action, he does not mean to employ the solicitor to take one step, and then give him fresh instructions to take another step, and so on; he instructs the solicitor as a skilled person to act for him in the action, to take all the necessary steps in it, and to carry it on to the end. If the meaning of the retainer is that the solicitor is to carry on the action to the end, it necessarily follows that the contract of the solicitor is an entire contract – that is, a contract to take all the steps which are necessary to bring the action to a conclusion. When it is </w:t>
      </w:r>
      <w:proofErr w:type="spellStart"/>
      <w:r>
        <w:t>shewn</w:t>
      </w:r>
      <w:proofErr w:type="spellEnd"/>
      <w:r>
        <w:t xml:space="preserve"> that there were no special terms, but only the ordinary retainer for the purposes of the action, the implication I have mentioned is that which every reasonable person would make, and therefore the implication which the law makes in such a </w:t>
      </w:r>
      <w:proofErr w:type="gramStart"/>
      <w:r>
        <w:t>case .</w:t>
      </w:r>
      <w:proofErr w:type="gramEnd"/>
      <w:r>
        <w:t xml:space="preserve"> . </w:t>
      </w:r>
      <w:proofErr w:type="gramStart"/>
      <w:r>
        <w:t>there</w:t>
      </w:r>
      <w:proofErr w:type="gramEnd"/>
      <w:r>
        <w:t xml:space="preserve"> may be circumstances which justify the solicitor in putting an end to the contract, but . . </w:t>
      </w:r>
      <w:proofErr w:type="gramStart"/>
      <w:r>
        <w:t>he</w:t>
      </w:r>
      <w:proofErr w:type="gramEnd"/>
      <w:r>
        <w:t xml:space="preserve"> cannot do so without giving reasonable notice. </w:t>
      </w:r>
      <w:proofErr w:type="gramStart"/>
      <w:r>
        <w:t>The result.</w:t>
      </w:r>
      <w:proofErr w:type="gramEnd"/>
      <w:r>
        <w:t xml:space="preserve"> . seems to me to be that, though there may be valid reasons for giving such a notice, if no such notice is given, the contract of the solicitor is an entire contract, and he cannot sue for his costs before the termination of the action.’ and ‘I do not propose to go through all the cases cited but it seems to me that from time downwards it has been held that a solicitor cannot sue for his costs until his contract has been entirely fulfilled, unless the case is brought within some </w:t>
      </w:r>
      <w:proofErr w:type="spellStart"/>
      <w:r>
        <w:t>recognised</w:t>
      </w:r>
      <w:proofErr w:type="spellEnd"/>
      <w:r>
        <w:t xml:space="preserve"> exception to the general rule.’</w:t>
      </w:r>
      <w:r>
        <w:br/>
        <w:t xml:space="preserve">AL Smith LJ said: ‘On the other hand, it is clear that the solicitor may be placed in such a position by the client as to absolve him from the further performance of that contract. It appears to me from the case of </w:t>
      </w:r>
      <w:proofErr w:type="spellStart"/>
      <w:r>
        <w:t>Vansandau</w:t>
      </w:r>
      <w:proofErr w:type="spellEnd"/>
      <w:r>
        <w:t xml:space="preserve"> v Browne and the subsequent cases which have been cited, that the client may put the solicitor in such a position as to entitle him to decline to proceed; for instance, if the solicitor asks for necessary funds for disbursements, and such funds are refused by the client, the solicitor is not bound to go on; and, speaking for myself I should say that the solicitor is not bound to go on acting for the client if the client insists on some step being taken which the solicitor knows to be </w:t>
      </w:r>
      <w:proofErr w:type="spellStart"/>
      <w:r>
        <w:t>dishonourable</w:t>
      </w:r>
      <w:proofErr w:type="spellEnd"/>
      <w:r>
        <w:t xml:space="preserve">; and many </w:t>
      </w:r>
      <w:r>
        <w:lastRenderedPageBreak/>
        <w:t>other cases may be supposed in which the solicitor may be entitled to refuse to act for the client any further. I should say that when a solicitor is in a position to show that the client has hindered and preventing him from continuing to act as a solicitor should act, then upon notice he should decline to act further; and in such a case the solicitor would be entitled to sue for the costs already incurred. But we have not now to deal with such a case. The sole question here is whether the solicitor is entitled without rhyme or reason to throw up his retainer having giving due notice of intention to do so. I do not think that he is so entitled.’</w:t>
      </w:r>
    </w:p>
    <w:p w:rsidR="001D77DD" w:rsidRPr="009B07D1" w:rsidRDefault="001D77DD">
      <w:pPr>
        <w:rPr>
          <w:b/>
        </w:rPr>
      </w:pPr>
      <w:r w:rsidRPr="001D77DD">
        <w:rPr>
          <w:i/>
          <w:iCs/>
        </w:rPr>
        <w:t>Richard Buxton (Solicitors) v Mills-Owens</w:t>
      </w:r>
      <w:r w:rsidRPr="001D77DD">
        <w:t xml:space="preserve"> </w:t>
      </w:r>
      <w:hyperlink r:id="rId4" w:history="1">
        <w:r w:rsidRPr="001D77DD">
          <w:rPr>
            <w:rStyle w:val="Hyperlink"/>
          </w:rPr>
          <w:t xml:space="preserve">[2010] EWCA </w:t>
        </w:r>
      </w:hyperlink>
      <w:hyperlink r:id="rId5" w:history="1">
        <w:proofErr w:type="spellStart"/>
        <w:r w:rsidRPr="001D77DD">
          <w:rPr>
            <w:rStyle w:val="Hyperlink"/>
          </w:rPr>
          <w:t>Civ</w:t>
        </w:r>
        <w:proofErr w:type="spellEnd"/>
      </w:hyperlink>
      <w:hyperlink r:id="rId6" w:history="1">
        <w:r w:rsidRPr="001D77DD">
          <w:rPr>
            <w:rStyle w:val="Hyperlink"/>
          </w:rPr>
          <w:t xml:space="preserve"> 122</w:t>
        </w:r>
      </w:hyperlink>
    </w:p>
    <w:p w:rsidR="009B07D1" w:rsidRDefault="009B07D1">
      <w:proofErr w:type="gramStart"/>
      <w:r w:rsidRPr="009B07D1">
        <w:rPr>
          <w:b/>
        </w:rPr>
        <w:t>Facts</w:t>
      </w:r>
      <w:r>
        <w:rPr>
          <w:b/>
        </w:rPr>
        <w:t xml:space="preserve"> :</w:t>
      </w:r>
      <w:r>
        <w:t>The</w:t>
      </w:r>
      <w:proofErr w:type="gramEnd"/>
      <w:r>
        <w:t xml:space="preserve"> solicitors felt that the instructions received from their client were to pursue points which neither they nor counsel thought were properly arguable. They withdrew from the case, and now appealed against a refusal of their costs on the basis that they having once accepted a retainer a solicitor could not withdraw. </w:t>
      </w:r>
    </w:p>
    <w:p w:rsidR="009B07D1" w:rsidRDefault="009B07D1">
      <w:r>
        <w:br/>
      </w:r>
      <w:r w:rsidRPr="009B07D1">
        <w:rPr>
          <w:b/>
        </w:rPr>
        <w:t>Held:</w:t>
      </w:r>
      <w:r>
        <w:t xml:space="preserve"> The appeal succeeded. At common law, a solicitor may terminate his retainer before the end of a case on reasonable notice and if he has a ‘reasonable ground for refusing to act further for the client’. The common law rule that a solicitor is entitled to be paid for all the work he has done prior to termination if he terminates for good reason has been law for almost 200 years. </w:t>
      </w:r>
      <w:r>
        <w:br/>
        <w:t>The solicitors had good reason for withdrawing from a case where they were instructed to put forward a case he believed was ‘bound to fail’. ‘</w:t>
      </w:r>
      <w:proofErr w:type="gramStart"/>
      <w:r>
        <w:t>if</w:t>
      </w:r>
      <w:proofErr w:type="gramEnd"/>
      <w:r>
        <w:t xml:space="preserve"> an advocate considers that a point is properly arguable, he should argue it without reservation. If he does not consider it to be properly arguable, he should refuse to argue it. He should not advance a submission but signal to the judge that he thinks that it is weak or hopeless by using the coded language ‘I am instructed that’. Such coded language is well understood as conveying that the advocate expects it to be rejected. In my judgment, such language should be avoided.’</w:t>
      </w:r>
    </w:p>
    <w:sectPr w:rsidR="009B07D1" w:rsidSect="006A73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D77DD"/>
    <w:rsid w:val="00021675"/>
    <w:rsid w:val="001D77DD"/>
    <w:rsid w:val="003C21FC"/>
    <w:rsid w:val="005378CB"/>
    <w:rsid w:val="006A73CE"/>
    <w:rsid w:val="007E32B3"/>
    <w:rsid w:val="009B07D1"/>
    <w:rsid w:val="00C514C8"/>
    <w:rsid w:val="00CC3843"/>
    <w:rsid w:val="00D47C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3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77DD"/>
    <w:rPr>
      <w:color w:val="0000FF" w:themeColor="hyperlink"/>
      <w:u w:val="single"/>
    </w:rPr>
  </w:style>
  <w:style w:type="paragraph" w:styleId="NormalWeb">
    <w:name w:val="Normal (Web)"/>
    <w:basedOn w:val="Normal"/>
    <w:uiPriority w:val="99"/>
    <w:unhideWhenUsed/>
    <w:rsid w:val="007E32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21FC"/>
    <w:rPr>
      <w:b/>
      <w:bCs/>
    </w:rPr>
  </w:style>
  <w:style w:type="character" w:styleId="Emphasis">
    <w:name w:val="Emphasis"/>
    <w:basedOn w:val="DefaultParagraphFont"/>
    <w:uiPriority w:val="20"/>
    <w:qFormat/>
    <w:rsid w:val="003C21FC"/>
    <w:rPr>
      <w:i/>
      <w:iCs/>
    </w:rPr>
  </w:style>
</w:styles>
</file>

<file path=word/webSettings.xml><?xml version="1.0" encoding="utf-8"?>
<w:webSettings xmlns:r="http://schemas.openxmlformats.org/officeDocument/2006/relationships" xmlns:w="http://schemas.openxmlformats.org/wordprocessingml/2006/main">
  <w:divs>
    <w:div w:id="1280455784">
      <w:bodyDiv w:val="1"/>
      <w:marLeft w:val="0"/>
      <w:marRight w:val="0"/>
      <w:marTop w:val="0"/>
      <w:marBottom w:val="0"/>
      <w:divBdr>
        <w:top w:val="none" w:sz="0" w:space="0" w:color="auto"/>
        <w:left w:val="none" w:sz="0" w:space="0" w:color="auto"/>
        <w:bottom w:val="none" w:sz="0" w:space="0" w:color="auto"/>
        <w:right w:val="none" w:sz="0" w:space="0" w:color="auto"/>
      </w:divBdr>
    </w:div>
    <w:div w:id="178041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ailii.org/ew/cases/EWCA/Civ/2010/122.html" TargetMode="External"/><Relationship Id="rId5" Type="http://schemas.openxmlformats.org/officeDocument/2006/relationships/hyperlink" Target="http://www.bailii.org/ew/cases/EWCA/Civ/2010/122.html" TargetMode="External"/><Relationship Id="rId4" Type="http://schemas.openxmlformats.org/officeDocument/2006/relationships/hyperlink" Target="http://www.bailii.org/ew/cases/EWCA/Civ/2010/12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1320</Words>
  <Characters>7529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Mutugi</dc:creator>
  <cp:lastModifiedBy>hyu</cp:lastModifiedBy>
  <cp:revision>2</cp:revision>
  <dcterms:created xsi:type="dcterms:W3CDTF">2016-05-29T19:24:00Z</dcterms:created>
  <dcterms:modified xsi:type="dcterms:W3CDTF">2016-05-29T19:24:00Z</dcterms:modified>
</cp:coreProperties>
</file>