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26A92" w:rsidRDefault="00626A92">
      <w:pPr>
        <w:rPr>
          <w:rFonts w:ascii="Times New Roman" w:hAnsi="Times New Roman" w:cs="Times New Roman"/>
          <w:sz w:val="24"/>
          <w:szCs w:val="24"/>
        </w:rPr>
      </w:pPr>
    </w:p>
    <w:p w:rsidR="003515CE" w:rsidRDefault="003515CE">
      <w:pPr>
        <w:rPr>
          <w:rFonts w:ascii="Times New Roman" w:hAnsi="Times New Roman" w:cs="Times New Roman"/>
          <w:sz w:val="24"/>
          <w:szCs w:val="24"/>
        </w:rPr>
      </w:pPr>
    </w:p>
    <w:p w:rsidR="003515CE" w:rsidRDefault="003515CE">
      <w:pPr>
        <w:rPr>
          <w:rFonts w:ascii="Times New Roman" w:hAnsi="Times New Roman" w:cs="Times New Roman"/>
          <w:sz w:val="24"/>
          <w:szCs w:val="24"/>
        </w:rPr>
      </w:pPr>
    </w:p>
    <w:p w:rsidR="003515CE" w:rsidRPr="001D0BE6" w:rsidRDefault="003515CE" w:rsidP="003515CE">
      <w:pPr>
        <w:jc w:val="center"/>
        <w:rPr>
          <w:rFonts w:ascii="Times New Roman" w:hAnsi="Times New Roman" w:cs="Times New Roman"/>
          <w:b/>
          <w:sz w:val="24"/>
          <w:szCs w:val="24"/>
        </w:rPr>
      </w:pPr>
      <w:r w:rsidRPr="001D0BE6">
        <w:rPr>
          <w:rFonts w:ascii="Times New Roman" w:hAnsi="Times New Roman" w:cs="Times New Roman"/>
          <w:noProof/>
          <w:sz w:val="24"/>
          <w:szCs w:val="24"/>
        </w:rPr>
        <w:drawing>
          <wp:inline distT="0" distB="0" distL="0" distR="0" wp14:anchorId="409DD30F" wp14:editId="01B6C516">
            <wp:extent cx="2425700" cy="24187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5700" cy="2418715"/>
                    </a:xfrm>
                    <a:prstGeom prst="rect">
                      <a:avLst/>
                    </a:prstGeom>
                    <a:noFill/>
                  </pic:spPr>
                </pic:pic>
              </a:graphicData>
            </a:graphic>
          </wp:inline>
        </w:drawing>
      </w:r>
    </w:p>
    <w:p w:rsidR="003515CE" w:rsidRPr="001D0BE6" w:rsidRDefault="003515CE" w:rsidP="003515CE">
      <w:pPr>
        <w:jc w:val="center"/>
        <w:rPr>
          <w:rFonts w:ascii="Times New Roman" w:hAnsi="Times New Roman" w:cs="Times New Roman"/>
          <w:b/>
          <w:sz w:val="24"/>
          <w:szCs w:val="24"/>
        </w:rPr>
      </w:pPr>
    </w:p>
    <w:p w:rsidR="003515CE" w:rsidRPr="001D0BE6" w:rsidRDefault="003515CE" w:rsidP="003515CE">
      <w:pPr>
        <w:jc w:val="center"/>
        <w:rPr>
          <w:rFonts w:ascii="Times New Roman" w:hAnsi="Times New Roman" w:cs="Times New Roman"/>
          <w:b/>
          <w:sz w:val="24"/>
          <w:szCs w:val="24"/>
        </w:rPr>
      </w:pPr>
      <w:r w:rsidRPr="001D0BE6">
        <w:rPr>
          <w:rFonts w:ascii="Times New Roman" w:hAnsi="Times New Roman" w:cs="Times New Roman"/>
          <w:b/>
          <w:sz w:val="24"/>
          <w:szCs w:val="24"/>
        </w:rPr>
        <w:t>KENYA SCHOOL OF LAW</w:t>
      </w:r>
    </w:p>
    <w:p w:rsidR="003515CE" w:rsidRPr="001D0BE6" w:rsidRDefault="003515CE" w:rsidP="003515CE">
      <w:pPr>
        <w:jc w:val="center"/>
        <w:rPr>
          <w:rFonts w:ascii="Times New Roman" w:hAnsi="Times New Roman" w:cs="Times New Roman"/>
          <w:b/>
          <w:sz w:val="24"/>
          <w:szCs w:val="24"/>
        </w:rPr>
      </w:pPr>
      <w:r w:rsidRPr="001D0BE6">
        <w:rPr>
          <w:rFonts w:ascii="Times New Roman" w:hAnsi="Times New Roman" w:cs="Times New Roman"/>
          <w:b/>
          <w:sz w:val="24"/>
          <w:szCs w:val="24"/>
        </w:rPr>
        <w:t>ADVOCATES TRAINING PROGRAM</w:t>
      </w:r>
    </w:p>
    <w:p w:rsidR="003515CE" w:rsidRPr="001D0BE6" w:rsidRDefault="003515CE" w:rsidP="003515CE">
      <w:pPr>
        <w:jc w:val="center"/>
        <w:rPr>
          <w:rFonts w:ascii="Times New Roman" w:hAnsi="Times New Roman" w:cs="Times New Roman"/>
          <w:b/>
          <w:sz w:val="24"/>
          <w:szCs w:val="24"/>
        </w:rPr>
      </w:pPr>
      <w:r w:rsidRPr="001D0BE6">
        <w:rPr>
          <w:rFonts w:ascii="Times New Roman" w:hAnsi="Times New Roman" w:cs="Times New Roman"/>
          <w:b/>
          <w:sz w:val="24"/>
          <w:szCs w:val="24"/>
        </w:rPr>
        <w:t>ACADEMIC YEAR 2022/2023</w:t>
      </w:r>
    </w:p>
    <w:p w:rsidR="003515CE" w:rsidRDefault="003515CE" w:rsidP="003515CE">
      <w:pPr>
        <w:jc w:val="center"/>
        <w:rPr>
          <w:rFonts w:ascii="Times New Roman" w:hAnsi="Times New Roman" w:cs="Times New Roman"/>
          <w:b/>
          <w:sz w:val="24"/>
          <w:szCs w:val="24"/>
        </w:rPr>
      </w:pPr>
      <w:r>
        <w:rPr>
          <w:rFonts w:ascii="Times New Roman" w:hAnsi="Times New Roman" w:cs="Times New Roman"/>
          <w:b/>
          <w:sz w:val="24"/>
          <w:szCs w:val="24"/>
        </w:rPr>
        <w:t>CONVENYANCING (ATP 107)</w:t>
      </w:r>
    </w:p>
    <w:p w:rsidR="003515CE" w:rsidRDefault="003515CE" w:rsidP="003515CE">
      <w:pPr>
        <w:jc w:val="center"/>
        <w:rPr>
          <w:rFonts w:ascii="Times New Roman" w:hAnsi="Times New Roman" w:cs="Times New Roman"/>
          <w:b/>
          <w:sz w:val="24"/>
          <w:szCs w:val="24"/>
        </w:rPr>
      </w:pPr>
    </w:p>
    <w:p w:rsidR="003515CE" w:rsidRPr="001D0BE6" w:rsidRDefault="003515CE" w:rsidP="003515CE">
      <w:pPr>
        <w:jc w:val="center"/>
        <w:rPr>
          <w:rFonts w:ascii="Times New Roman" w:hAnsi="Times New Roman" w:cs="Times New Roman"/>
          <w:b/>
          <w:sz w:val="24"/>
          <w:szCs w:val="24"/>
        </w:rPr>
      </w:pPr>
      <w:r w:rsidRPr="001D0BE6">
        <w:rPr>
          <w:rFonts w:ascii="Times New Roman" w:hAnsi="Times New Roman" w:cs="Times New Roman"/>
          <w:b/>
          <w:sz w:val="24"/>
          <w:szCs w:val="24"/>
        </w:rPr>
        <w:t>FIRM 9</w:t>
      </w:r>
    </w:p>
    <w:p w:rsidR="003515CE" w:rsidRPr="001D0BE6" w:rsidRDefault="003515CE" w:rsidP="003515CE">
      <w:pPr>
        <w:jc w:val="center"/>
        <w:rPr>
          <w:rFonts w:ascii="Times New Roman" w:hAnsi="Times New Roman" w:cs="Times New Roman"/>
          <w:b/>
          <w:sz w:val="24"/>
          <w:szCs w:val="24"/>
        </w:rPr>
      </w:pPr>
      <w:r w:rsidRPr="001D0BE6">
        <w:rPr>
          <w:rFonts w:ascii="Times New Roman" w:hAnsi="Times New Roman" w:cs="Times New Roman"/>
          <w:b/>
          <w:sz w:val="24"/>
          <w:szCs w:val="24"/>
        </w:rPr>
        <w:t>COUR</w:t>
      </w:r>
      <w:r>
        <w:rPr>
          <w:rFonts w:ascii="Times New Roman" w:hAnsi="Times New Roman" w:cs="Times New Roman"/>
          <w:b/>
          <w:sz w:val="24"/>
          <w:szCs w:val="24"/>
        </w:rPr>
        <w:t xml:space="preserve">SE INSTRUCTOR: Leah Kiguatha </w:t>
      </w:r>
    </w:p>
    <w:p w:rsidR="003515CE" w:rsidRDefault="003515CE" w:rsidP="003515CE">
      <w:pPr>
        <w:jc w:val="center"/>
        <w:rPr>
          <w:rFonts w:ascii="Times New Roman" w:hAnsi="Times New Roman" w:cs="Times New Roman"/>
          <w:b/>
          <w:sz w:val="24"/>
          <w:szCs w:val="24"/>
        </w:rPr>
      </w:pPr>
    </w:p>
    <w:p w:rsidR="003515CE" w:rsidRDefault="003515CE" w:rsidP="003515CE">
      <w:pPr>
        <w:rPr>
          <w:rFonts w:ascii="Times New Roman" w:hAnsi="Times New Roman" w:cs="Times New Roman"/>
          <w:sz w:val="24"/>
          <w:szCs w:val="24"/>
        </w:rPr>
      </w:pPr>
      <w:r>
        <w:rPr>
          <w:rFonts w:ascii="Times New Roman" w:hAnsi="Times New Roman" w:cs="Times New Roman"/>
          <w:b/>
          <w:sz w:val="24"/>
          <w:szCs w:val="24"/>
        </w:rPr>
        <w:t xml:space="preserve">Task: </w:t>
      </w:r>
      <w:r>
        <w:rPr>
          <w:rFonts w:ascii="Times New Roman" w:hAnsi="Times New Roman" w:cs="Times New Roman"/>
          <w:sz w:val="24"/>
          <w:szCs w:val="24"/>
        </w:rPr>
        <w:t xml:space="preserve">Case Analysis </w:t>
      </w:r>
    </w:p>
    <w:p w:rsidR="003515CE" w:rsidRDefault="003515CE" w:rsidP="003515CE">
      <w:pPr>
        <w:rPr>
          <w:rFonts w:ascii="Times New Roman" w:hAnsi="Times New Roman" w:cs="Times New Roman"/>
          <w:sz w:val="24"/>
          <w:szCs w:val="24"/>
        </w:rPr>
      </w:pPr>
      <w:r>
        <w:rPr>
          <w:rFonts w:ascii="Times New Roman" w:hAnsi="Times New Roman" w:cs="Times New Roman"/>
          <w:sz w:val="24"/>
          <w:szCs w:val="24"/>
        </w:rPr>
        <w:t xml:space="preserve">Analyse the following cases by giving the brief facts, the applicable law, the analysis and conveyancing principles derived from the case. </w:t>
      </w:r>
    </w:p>
    <w:p w:rsidR="003515CE" w:rsidRDefault="003515CE" w:rsidP="003515CE">
      <w:pPr>
        <w:pStyle w:val="ListParagraph"/>
        <w:numPr>
          <w:ilvl w:val="0"/>
          <w:numId w:val="9"/>
        </w:numPr>
        <w:rPr>
          <w:rFonts w:ascii="Times New Roman" w:hAnsi="Times New Roman" w:cs="Times New Roman"/>
          <w:i/>
          <w:sz w:val="24"/>
          <w:szCs w:val="24"/>
        </w:rPr>
      </w:pPr>
      <w:r w:rsidRPr="003515CE">
        <w:rPr>
          <w:rFonts w:ascii="Times New Roman" w:hAnsi="Times New Roman" w:cs="Times New Roman"/>
          <w:i/>
          <w:sz w:val="24"/>
          <w:szCs w:val="24"/>
        </w:rPr>
        <w:t xml:space="preserve">Anajaben Anil </w:t>
      </w:r>
      <w:r>
        <w:rPr>
          <w:rFonts w:ascii="Times New Roman" w:hAnsi="Times New Roman" w:cs="Times New Roman"/>
          <w:i/>
          <w:sz w:val="24"/>
          <w:szCs w:val="24"/>
        </w:rPr>
        <w:t>Shah Vs Akiba Bank Ltd, [2005] Eklr</w:t>
      </w:r>
    </w:p>
    <w:p w:rsidR="003515CE" w:rsidRDefault="003515CE" w:rsidP="003515CE">
      <w:pPr>
        <w:pStyle w:val="ListParagraph"/>
        <w:numPr>
          <w:ilvl w:val="0"/>
          <w:numId w:val="9"/>
        </w:numPr>
        <w:rPr>
          <w:rFonts w:ascii="Times New Roman" w:hAnsi="Times New Roman" w:cs="Times New Roman"/>
          <w:i/>
          <w:sz w:val="24"/>
          <w:szCs w:val="24"/>
        </w:rPr>
      </w:pPr>
      <w:r w:rsidRPr="003515CE">
        <w:rPr>
          <w:rFonts w:ascii="Times New Roman" w:hAnsi="Times New Roman" w:cs="Times New Roman"/>
          <w:i/>
          <w:sz w:val="24"/>
          <w:szCs w:val="24"/>
        </w:rPr>
        <w:t>Mapis Investment (K) Limited v Kenya Railways Corporation [2006] Eklr</w:t>
      </w:r>
    </w:p>
    <w:p w:rsidR="003515CE" w:rsidRPr="003515CE" w:rsidRDefault="003515CE" w:rsidP="003515CE">
      <w:pPr>
        <w:pStyle w:val="ListParagraph"/>
        <w:numPr>
          <w:ilvl w:val="0"/>
          <w:numId w:val="9"/>
        </w:numPr>
        <w:rPr>
          <w:rFonts w:ascii="Times New Roman" w:hAnsi="Times New Roman" w:cs="Times New Roman"/>
          <w:i/>
          <w:sz w:val="24"/>
          <w:szCs w:val="24"/>
        </w:rPr>
      </w:pPr>
      <w:r w:rsidRPr="003515CE">
        <w:rPr>
          <w:rFonts w:ascii="Times New Roman" w:hAnsi="Times New Roman" w:cs="Times New Roman"/>
          <w:i/>
          <w:sz w:val="24"/>
          <w:szCs w:val="24"/>
        </w:rPr>
        <w:t>Gitwany Investment Limited v Tajmal Limited and 3 Others (2006) eKLR</w:t>
      </w:r>
    </w:p>
    <w:p w:rsidR="003515CE" w:rsidRDefault="003515CE">
      <w:pPr>
        <w:rPr>
          <w:rFonts w:ascii="Times New Roman" w:hAnsi="Times New Roman" w:cs="Times New Roman"/>
          <w:sz w:val="24"/>
          <w:szCs w:val="24"/>
        </w:rPr>
      </w:pPr>
    </w:p>
    <w:p w:rsidR="009736FF" w:rsidRDefault="009736FF">
      <w:pPr>
        <w:rPr>
          <w:rFonts w:ascii="Times New Roman" w:hAnsi="Times New Roman" w:cs="Times New Roman"/>
          <w:sz w:val="24"/>
          <w:szCs w:val="24"/>
        </w:rPr>
      </w:pPr>
    </w:p>
    <w:p w:rsidR="009736FF" w:rsidRDefault="009736FF">
      <w:pPr>
        <w:rPr>
          <w:rFonts w:ascii="Times New Roman" w:hAnsi="Times New Roman" w:cs="Times New Roman"/>
          <w:sz w:val="24"/>
          <w:szCs w:val="24"/>
        </w:rPr>
      </w:pPr>
    </w:p>
    <w:p w:rsidR="009736FF" w:rsidRDefault="009736FF">
      <w:pPr>
        <w:rPr>
          <w:rFonts w:ascii="Times New Roman" w:hAnsi="Times New Roman" w:cs="Times New Roman"/>
          <w:sz w:val="24"/>
          <w:szCs w:val="24"/>
        </w:rPr>
      </w:pPr>
    </w:p>
    <w:p w:rsidR="009736FF" w:rsidRDefault="009736FF">
      <w:pPr>
        <w:rPr>
          <w:rFonts w:ascii="Times New Roman" w:hAnsi="Times New Roman" w:cs="Times New Roman"/>
          <w:sz w:val="24"/>
          <w:szCs w:val="24"/>
        </w:rPr>
      </w:pPr>
    </w:p>
    <w:p w:rsidR="009736FF" w:rsidRPr="001D0BE6" w:rsidRDefault="009736FF" w:rsidP="009736FF">
      <w:pPr>
        <w:rPr>
          <w:rFonts w:ascii="Times New Roman" w:hAnsi="Times New Roman" w:cs="Times New Roman"/>
          <w:b/>
          <w:bCs/>
          <w:sz w:val="24"/>
          <w:szCs w:val="24"/>
        </w:rPr>
      </w:pPr>
      <w:r w:rsidRPr="001D0BE6">
        <w:rPr>
          <w:rFonts w:ascii="Times New Roman" w:hAnsi="Times New Roman" w:cs="Times New Roman"/>
          <w:b/>
          <w:bCs/>
          <w:sz w:val="24"/>
          <w:szCs w:val="24"/>
        </w:rPr>
        <w:t>FIRM MEMBERS                                            REG. NO</w:t>
      </w:r>
    </w:p>
    <w:p w:rsidR="009736FF" w:rsidRPr="001D0BE6" w:rsidRDefault="009736FF" w:rsidP="009736FF">
      <w:pPr>
        <w:pStyle w:val="ListParagraph"/>
        <w:numPr>
          <w:ilvl w:val="0"/>
          <w:numId w:val="10"/>
        </w:numPr>
        <w:rPr>
          <w:rFonts w:ascii="Times New Roman" w:hAnsi="Times New Roman" w:cs="Times New Roman"/>
          <w:sz w:val="24"/>
          <w:szCs w:val="24"/>
        </w:rPr>
      </w:pPr>
      <w:r w:rsidRPr="001D0BE6">
        <w:rPr>
          <w:rFonts w:ascii="Times New Roman" w:hAnsi="Times New Roman" w:cs="Times New Roman"/>
          <w:sz w:val="24"/>
          <w:szCs w:val="24"/>
        </w:rPr>
        <w:t>BULUMA C.N                                       20220273</w:t>
      </w:r>
    </w:p>
    <w:p w:rsidR="009736FF" w:rsidRPr="001D0BE6" w:rsidRDefault="009736FF" w:rsidP="009736FF">
      <w:pPr>
        <w:pStyle w:val="ListParagraph"/>
        <w:numPr>
          <w:ilvl w:val="0"/>
          <w:numId w:val="10"/>
        </w:numPr>
        <w:rPr>
          <w:rFonts w:ascii="Times New Roman" w:hAnsi="Times New Roman" w:cs="Times New Roman"/>
          <w:sz w:val="24"/>
          <w:szCs w:val="24"/>
        </w:rPr>
      </w:pPr>
      <w:r w:rsidRPr="001D0BE6">
        <w:rPr>
          <w:rFonts w:ascii="Times New Roman" w:hAnsi="Times New Roman" w:cs="Times New Roman"/>
          <w:sz w:val="24"/>
          <w:szCs w:val="24"/>
        </w:rPr>
        <w:t>NYAGATA OUMA FELIX                  20220148</w:t>
      </w:r>
    </w:p>
    <w:p w:rsidR="009736FF" w:rsidRPr="001D0BE6" w:rsidRDefault="008A290F" w:rsidP="009736F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PLIMO HILLARY SIA</w:t>
      </w:r>
      <w:r w:rsidR="009736FF" w:rsidRPr="001D0BE6">
        <w:rPr>
          <w:rFonts w:ascii="Times New Roman" w:hAnsi="Times New Roman" w:cs="Times New Roman"/>
          <w:sz w:val="24"/>
          <w:szCs w:val="24"/>
        </w:rPr>
        <w:t>PUK                 20221522</w:t>
      </w:r>
    </w:p>
    <w:p w:rsidR="009736FF" w:rsidRPr="001D0BE6" w:rsidRDefault="009736FF" w:rsidP="009736FF">
      <w:pPr>
        <w:pStyle w:val="ListParagraph"/>
        <w:numPr>
          <w:ilvl w:val="0"/>
          <w:numId w:val="10"/>
        </w:numPr>
        <w:rPr>
          <w:rFonts w:ascii="Times New Roman" w:hAnsi="Times New Roman" w:cs="Times New Roman"/>
          <w:sz w:val="24"/>
          <w:szCs w:val="24"/>
        </w:rPr>
      </w:pPr>
      <w:r w:rsidRPr="001D0BE6">
        <w:rPr>
          <w:rFonts w:ascii="Times New Roman" w:hAnsi="Times New Roman" w:cs="Times New Roman"/>
          <w:sz w:val="24"/>
          <w:szCs w:val="24"/>
        </w:rPr>
        <w:t>KINIGA CYNTHIA CHEPTOO           20220489</w:t>
      </w:r>
    </w:p>
    <w:p w:rsidR="009736FF" w:rsidRPr="001D0BE6" w:rsidRDefault="009736FF" w:rsidP="009736FF">
      <w:pPr>
        <w:pStyle w:val="ListParagraph"/>
        <w:numPr>
          <w:ilvl w:val="0"/>
          <w:numId w:val="10"/>
        </w:numPr>
        <w:rPr>
          <w:rFonts w:ascii="Times New Roman" w:hAnsi="Times New Roman" w:cs="Times New Roman"/>
          <w:sz w:val="24"/>
          <w:szCs w:val="24"/>
        </w:rPr>
      </w:pPr>
      <w:r w:rsidRPr="001D0BE6">
        <w:rPr>
          <w:rFonts w:ascii="Times New Roman" w:hAnsi="Times New Roman" w:cs="Times New Roman"/>
          <w:sz w:val="24"/>
          <w:szCs w:val="24"/>
        </w:rPr>
        <w:t>ZEPHANIA ONCHIRI OKENYO        20221565</w:t>
      </w:r>
    </w:p>
    <w:p w:rsidR="009736FF" w:rsidRPr="001D0BE6" w:rsidRDefault="009736FF" w:rsidP="009736FF">
      <w:pPr>
        <w:pStyle w:val="ListParagraph"/>
        <w:numPr>
          <w:ilvl w:val="0"/>
          <w:numId w:val="10"/>
        </w:numPr>
        <w:rPr>
          <w:rFonts w:ascii="Times New Roman" w:hAnsi="Times New Roman" w:cs="Times New Roman"/>
          <w:sz w:val="24"/>
          <w:szCs w:val="24"/>
        </w:rPr>
      </w:pPr>
      <w:r w:rsidRPr="001D0BE6">
        <w:rPr>
          <w:rFonts w:ascii="Times New Roman" w:hAnsi="Times New Roman" w:cs="Times New Roman"/>
          <w:sz w:val="24"/>
          <w:szCs w:val="24"/>
        </w:rPr>
        <w:t>WABWIRE SHARON ADHIAMBO    20220339</w:t>
      </w:r>
    </w:p>
    <w:p w:rsidR="009736FF" w:rsidRPr="001D0BE6" w:rsidRDefault="009736FF" w:rsidP="009736FF">
      <w:pPr>
        <w:pStyle w:val="ListParagraph"/>
        <w:numPr>
          <w:ilvl w:val="0"/>
          <w:numId w:val="10"/>
        </w:numPr>
        <w:rPr>
          <w:rFonts w:ascii="Times New Roman" w:hAnsi="Times New Roman" w:cs="Times New Roman"/>
          <w:sz w:val="24"/>
          <w:szCs w:val="24"/>
        </w:rPr>
      </w:pPr>
      <w:r w:rsidRPr="001D0BE6">
        <w:rPr>
          <w:rFonts w:ascii="Times New Roman" w:hAnsi="Times New Roman" w:cs="Times New Roman"/>
          <w:sz w:val="24"/>
          <w:szCs w:val="24"/>
        </w:rPr>
        <w:t>DENNIS MOKENYE MOYAH            20221941</w:t>
      </w:r>
    </w:p>
    <w:p w:rsidR="009736FF" w:rsidRPr="001D0BE6" w:rsidRDefault="009736FF" w:rsidP="009736FF">
      <w:pPr>
        <w:pStyle w:val="ListParagraph"/>
        <w:numPr>
          <w:ilvl w:val="0"/>
          <w:numId w:val="10"/>
        </w:numPr>
        <w:rPr>
          <w:rFonts w:ascii="Times New Roman" w:hAnsi="Times New Roman" w:cs="Times New Roman"/>
          <w:sz w:val="24"/>
          <w:szCs w:val="24"/>
        </w:rPr>
      </w:pPr>
      <w:r w:rsidRPr="001D0BE6">
        <w:rPr>
          <w:rFonts w:ascii="Times New Roman" w:hAnsi="Times New Roman" w:cs="Times New Roman"/>
          <w:sz w:val="24"/>
          <w:szCs w:val="24"/>
        </w:rPr>
        <w:t>TANUI CATHLEEN CHEBET             20221538</w:t>
      </w:r>
    </w:p>
    <w:p w:rsidR="009736FF" w:rsidRPr="001D0BE6" w:rsidRDefault="009736FF" w:rsidP="009736FF">
      <w:pPr>
        <w:pStyle w:val="ListParagraph"/>
        <w:numPr>
          <w:ilvl w:val="0"/>
          <w:numId w:val="10"/>
        </w:numPr>
        <w:rPr>
          <w:rFonts w:ascii="Times New Roman" w:hAnsi="Times New Roman" w:cs="Times New Roman"/>
          <w:sz w:val="24"/>
          <w:szCs w:val="24"/>
        </w:rPr>
      </w:pPr>
      <w:r w:rsidRPr="001D0BE6">
        <w:rPr>
          <w:rFonts w:ascii="Times New Roman" w:hAnsi="Times New Roman" w:cs="Times New Roman"/>
          <w:sz w:val="24"/>
          <w:szCs w:val="24"/>
        </w:rPr>
        <w:t>KIBET JAMES KWEMOI                     20221637</w:t>
      </w:r>
    </w:p>
    <w:p w:rsidR="009736FF" w:rsidRDefault="009736FF">
      <w:pPr>
        <w:rPr>
          <w:rFonts w:ascii="Times New Roman" w:hAnsi="Times New Roman" w:cs="Times New Roman"/>
          <w:sz w:val="24"/>
          <w:szCs w:val="24"/>
        </w:rPr>
      </w:pPr>
    </w:p>
    <w:p w:rsidR="003515CE" w:rsidRDefault="003515CE">
      <w:pPr>
        <w:rPr>
          <w:rFonts w:ascii="Times New Roman" w:hAnsi="Times New Roman" w:cs="Times New Roman"/>
          <w:sz w:val="24"/>
          <w:szCs w:val="24"/>
        </w:rPr>
      </w:pPr>
    </w:p>
    <w:p w:rsidR="003515CE" w:rsidRDefault="003515CE">
      <w:pPr>
        <w:rPr>
          <w:rFonts w:ascii="Times New Roman" w:hAnsi="Times New Roman" w:cs="Times New Roman"/>
          <w:sz w:val="24"/>
          <w:szCs w:val="24"/>
        </w:rPr>
      </w:pPr>
    </w:p>
    <w:p w:rsidR="009736FF" w:rsidRDefault="009736FF">
      <w:pPr>
        <w:rPr>
          <w:rFonts w:ascii="Times New Roman" w:hAnsi="Times New Roman" w:cs="Times New Roman"/>
          <w:sz w:val="24"/>
          <w:szCs w:val="24"/>
        </w:rPr>
      </w:pPr>
    </w:p>
    <w:p w:rsidR="009736FF" w:rsidRDefault="009736FF">
      <w:pPr>
        <w:rPr>
          <w:rFonts w:ascii="Times New Roman" w:hAnsi="Times New Roman" w:cs="Times New Roman"/>
          <w:sz w:val="24"/>
          <w:szCs w:val="24"/>
        </w:rPr>
      </w:pPr>
    </w:p>
    <w:p w:rsidR="009736FF" w:rsidRDefault="009736FF">
      <w:pPr>
        <w:rPr>
          <w:rFonts w:ascii="Times New Roman" w:hAnsi="Times New Roman" w:cs="Times New Roman"/>
          <w:sz w:val="24"/>
          <w:szCs w:val="24"/>
        </w:rPr>
      </w:pPr>
    </w:p>
    <w:p w:rsidR="009736FF" w:rsidRDefault="009736FF">
      <w:pPr>
        <w:rPr>
          <w:rFonts w:ascii="Times New Roman" w:hAnsi="Times New Roman" w:cs="Times New Roman"/>
          <w:sz w:val="24"/>
          <w:szCs w:val="24"/>
        </w:rPr>
      </w:pPr>
    </w:p>
    <w:p w:rsidR="009736FF" w:rsidRDefault="009736FF">
      <w:pPr>
        <w:rPr>
          <w:rFonts w:ascii="Times New Roman" w:hAnsi="Times New Roman" w:cs="Times New Roman"/>
          <w:sz w:val="24"/>
          <w:szCs w:val="24"/>
        </w:rPr>
      </w:pPr>
    </w:p>
    <w:p w:rsidR="009736FF" w:rsidRDefault="009736FF">
      <w:pPr>
        <w:rPr>
          <w:rFonts w:ascii="Times New Roman" w:hAnsi="Times New Roman" w:cs="Times New Roman"/>
          <w:sz w:val="24"/>
          <w:szCs w:val="24"/>
        </w:rPr>
      </w:pPr>
    </w:p>
    <w:p w:rsidR="009736FF" w:rsidRDefault="009736FF">
      <w:pPr>
        <w:rPr>
          <w:rFonts w:ascii="Times New Roman" w:hAnsi="Times New Roman" w:cs="Times New Roman"/>
          <w:sz w:val="24"/>
          <w:szCs w:val="24"/>
        </w:rPr>
      </w:pPr>
    </w:p>
    <w:p w:rsidR="009736FF" w:rsidRDefault="009736FF">
      <w:pPr>
        <w:rPr>
          <w:rFonts w:ascii="Times New Roman" w:hAnsi="Times New Roman" w:cs="Times New Roman"/>
          <w:sz w:val="24"/>
          <w:szCs w:val="24"/>
        </w:rPr>
      </w:pPr>
    </w:p>
    <w:p w:rsidR="009736FF" w:rsidRDefault="009736FF">
      <w:pPr>
        <w:rPr>
          <w:rFonts w:ascii="Times New Roman" w:hAnsi="Times New Roman" w:cs="Times New Roman"/>
          <w:sz w:val="24"/>
          <w:szCs w:val="24"/>
        </w:rPr>
      </w:pPr>
    </w:p>
    <w:p w:rsidR="009736FF" w:rsidRDefault="009736FF">
      <w:pPr>
        <w:rPr>
          <w:rFonts w:ascii="Times New Roman" w:hAnsi="Times New Roman" w:cs="Times New Roman"/>
          <w:sz w:val="24"/>
          <w:szCs w:val="24"/>
        </w:rPr>
      </w:pPr>
    </w:p>
    <w:p w:rsidR="009736FF" w:rsidRDefault="009736FF">
      <w:pPr>
        <w:rPr>
          <w:rFonts w:ascii="Times New Roman" w:hAnsi="Times New Roman" w:cs="Times New Roman"/>
          <w:sz w:val="24"/>
          <w:szCs w:val="24"/>
        </w:rPr>
      </w:pPr>
    </w:p>
    <w:p w:rsidR="009736FF" w:rsidRDefault="009736FF">
      <w:pPr>
        <w:rPr>
          <w:rFonts w:ascii="Times New Roman" w:hAnsi="Times New Roman" w:cs="Times New Roman"/>
          <w:sz w:val="24"/>
          <w:szCs w:val="24"/>
        </w:rPr>
      </w:pPr>
    </w:p>
    <w:p w:rsidR="009736FF" w:rsidRDefault="009736FF">
      <w:pPr>
        <w:rPr>
          <w:rFonts w:ascii="Times New Roman" w:hAnsi="Times New Roman" w:cs="Times New Roman"/>
          <w:sz w:val="24"/>
          <w:szCs w:val="24"/>
        </w:rPr>
      </w:pPr>
    </w:p>
    <w:p w:rsidR="009736FF" w:rsidRDefault="009736FF">
      <w:pPr>
        <w:rPr>
          <w:rFonts w:ascii="Times New Roman" w:hAnsi="Times New Roman" w:cs="Times New Roman"/>
          <w:sz w:val="24"/>
          <w:szCs w:val="24"/>
        </w:rPr>
      </w:pPr>
    </w:p>
    <w:p w:rsidR="009736FF" w:rsidRDefault="009736FF">
      <w:pPr>
        <w:rPr>
          <w:rFonts w:ascii="Times New Roman" w:hAnsi="Times New Roman" w:cs="Times New Roman"/>
          <w:sz w:val="24"/>
          <w:szCs w:val="24"/>
        </w:rPr>
      </w:pPr>
    </w:p>
    <w:p w:rsidR="00226D34" w:rsidRPr="00226D34" w:rsidRDefault="00226D34">
      <w:pPr>
        <w:rPr>
          <w:rFonts w:ascii="Times New Roman" w:hAnsi="Times New Roman" w:cs="Times New Roman"/>
          <w:sz w:val="24"/>
          <w:szCs w:val="24"/>
        </w:rPr>
      </w:pPr>
    </w:p>
    <w:p w:rsidR="00226D34" w:rsidRPr="00226D34" w:rsidRDefault="009B4BC2" w:rsidP="009B4BC2">
      <w:pPr>
        <w:jc w:val="center"/>
        <w:rPr>
          <w:rFonts w:ascii="Times New Roman" w:hAnsi="Times New Roman" w:cs="Times New Roman"/>
          <w:b/>
          <w:sz w:val="24"/>
          <w:szCs w:val="24"/>
        </w:rPr>
      </w:pPr>
      <w:r w:rsidRPr="00226D34">
        <w:rPr>
          <w:rFonts w:ascii="Times New Roman" w:hAnsi="Times New Roman" w:cs="Times New Roman"/>
          <w:b/>
          <w:sz w:val="24"/>
          <w:szCs w:val="24"/>
        </w:rPr>
        <w:t>Anajaben Anil Shah Vs Akiba Bank Ltd, [2005] Eklr</w:t>
      </w:r>
    </w:p>
    <w:p w:rsidR="00226D34" w:rsidRPr="00226D34" w:rsidRDefault="00226D34" w:rsidP="00226D34">
      <w:pPr>
        <w:numPr>
          <w:ilvl w:val="0"/>
          <w:numId w:val="1"/>
        </w:numPr>
        <w:rPr>
          <w:rFonts w:ascii="Times New Roman" w:hAnsi="Times New Roman" w:cs="Times New Roman"/>
          <w:b/>
          <w:sz w:val="24"/>
          <w:szCs w:val="24"/>
        </w:rPr>
      </w:pPr>
      <w:r w:rsidRPr="00226D34">
        <w:rPr>
          <w:rFonts w:ascii="Times New Roman" w:hAnsi="Times New Roman" w:cs="Times New Roman"/>
          <w:b/>
          <w:sz w:val="24"/>
          <w:szCs w:val="24"/>
        </w:rPr>
        <w:t>Brief Facts</w:t>
      </w:r>
    </w:p>
    <w:p w:rsidR="00226D34" w:rsidRPr="00226D34" w:rsidRDefault="00226D34" w:rsidP="00226D34">
      <w:pPr>
        <w:rPr>
          <w:rFonts w:ascii="Times New Roman" w:hAnsi="Times New Roman" w:cs="Times New Roman"/>
          <w:sz w:val="24"/>
          <w:szCs w:val="24"/>
        </w:rPr>
      </w:pPr>
      <w:r w:rsidRPr="00226D34">
        <w:rPr>
          <w:rFonts w:ascii="Times New Roman" w:hAnsi="Times New Roman" w:cs="Times New Roman"/>
          <w:sz w:val="24"/>
          <w:szCs w:val="24"/>
        </w:rPr>
        <w:t>The Plaintiff Anajaben Anil Shah and the spouse Anil Laxmichand Shah both had property registered under their names and doubled up as their matrimonial home. Around August 2000 two companies; Laxmichand Keshavji &amp; Sons (K) Limited, Fisatex (K) Limited and the Plaintiff’s said husband borrowed money from the Defendant (Akiba Bank) which secured the repayment of the said loan by charging the suit property to the Defendant.</w:t>
      </w:r>
    </w:p>
    <w:p w:rsidR="00226D34" w:rsidRPr="00226D34" w:rsidRDefault="00226D34" w:rsidP="00226D34">
      <w:pPr>
        <w:rPr>
          <w:rFonts w:ascii="Times New Roman" w:hAnsi="Times New Roman" w:cs="Times New Roman"/>
          <w:sz w:val="24"/>
          <w:szCs w:val="24"/>
        </w:rPr>
      </w:pPr>
      <w:r w:rsidRPr="00226D34">
        <w:rPr>
          <w:rFonts w:ascii="Times New Roman" w:hAnsi="Times New Roman" w:cs="Times New Roman"/>
          <w:sz w:val="24"/>
          <w:szCs w:val="24"/>
        </w:rPr>
        <w:t>There was a default and the Defendant sought to exercise their statutory right of sale as the property was registered under the Registration of Titles Act, Cap 281.</w:t>
      </w:r>
    </w:p>
    <w:p w:rsidR="00226D34" w:rsidRPr="00226D34" w:rsidRDefault="00226D34" w:rsidP="00226D34">
      <w:pPr>
        <w:rPr>
          <w:rFonts w:ascii="Times New Roman" w:hAnsi="Times New Roman" w:cs="Times New Roman"/>
          <w:sz w:val="24"/>
          <w:szCs w:val="24"/>
        </w:rPr>
      </w:pPr>
      <w:r w:rsidRPr="00226D34">
        <w:rPr>
          <w:rFonts w:ascii="Times New Roman" w:hAnsi="Times New Roman" w:cs="Times New Roman"/>
          <w:sz w:val="24"/>
          <w:szCs w:val="24"/>
        </w:rPr>
        <w:t>The appellant says in a sworn affidavit that on one evening in August of 2000, her husband came with some documents which she was hurriedly made to read through and sigh without actually comprehending the components of the aforementioned documents as the husband said they were mere formalities and the documents were not that serious a statement that misled the Plaintiff.</w:t>
      </w:r>
    </w:p>
    <w:p w:rsidR="00226D34" w:rsidRPr="00226D34" w:rsidRDefault="00226D34" w:rsidP="00226D34">
      <w:pPr>
        <w:rPr>
          <w:rFonts w:ascii="Times New Roman" w:hAnsi="Times New Roman" w:cs="Times New Roman"/>
          <w:sz w:val="24"/>
          <w:szCs w:val="24"/>
        </w:rPr>
      </w:pPr>
      <w:r w:rsidRPr="00226D34">
        <w:rPr>
          <w:rFonts w:ascii="Times New Roman" w:hAnsi="Times New Roman" w:cs="Times New Roman"/>
          <w:sz w:val="24"/>
          <w:szCs w:val="24"/>
        </w:rPr>
        <w:t>The Defendant claims that she was also not issued with a notice of mandatory statutory sale in order to fulfill the charge</w:t>
      </w:r>
    </w:p>
    <w:p w:rsidR="00226D34" w:rsidRPr="00226D34" w:rsidRDefault="00226D34" w:rsidP="00226D34">
      <w:pPr>
        <w:numPr>
          <w:ilvl w:val="0"/>
          <w:numId w:val="1"/>
        </w:numPr>
        <w:rPr>
          <w:rFonts w:ascii="Times New Roman" w:hAnsi="Times New Roman" w:cs="Times New Roman"/>
          <w:b/>
          <w:sz w:val="24"/>
          <w:szCs w:val="24"/>
        </w:rPr>
      </w:pPr>
      <w:r w:rsidRPr="00226D34">
        <w:rPr>
          <w:rFonts w:ascii="Times New Roman" w:hAnsi="Times New Roman" w:cs="Times New Roman"/>
          <w:b/>
          <w:sz w:val="24"/>
          <w:szCs w:val="24"/>
        </w:rPr>
        <w:t>Applicable Law</w:t>
      </w:r>
    </w:p>
    <w:p w:rsidR="00226D34" w:rsidRPr="00226D34" w:rsidRDefault="00226D34" w:rsidP="00226D34">
      <w:pPr>
        <w:rPr>
          <w:rFonts w:ascii="Times New Roman" w:hAnsi="Times New Roman" w:cs="Times New Roman"/>
          <w:sz w:val="24"/>
          <w:szCs w:val="24"/>
        </w:rPr>
      </w:pPr>
      <w:r w:rsidRPr="00226D34">
        <w:rPr>
          <w:rFonts w:ascii="Times New Roman" w:hAnsi="Times New Roman" w:cs="Times New Roman"/>
          <w:sz w:val="24"/>
          <w:szCs w:val="24"/>
        </w:rPr>
        <w:t>Spousal consent is provided under the Constitution of Kenya, Article 45 (3) of he constitution of Kenya 2010 provides that parties to a marriage have equal rights both at the time of marriage and after the termination of the marriage thus the spousal consent in every way protects their equal interests and rights in their matrimonial property.</w:t>
      </w:r>
    </w:p>
    <w:p w:rsidR="00226D34" w:rsidRPr="00226D34" w:rsidRDefault="00226D34" w:rsidP="00226D34">
      <w:pPr>
        <w:rPr>
          <w:rFonts w:ascii="Times New Roman" w:hAnsi="Times New Roman" w:cs="Times New Roman"/>
          <w:sz w:val="24"/>
          <w:szCs w:val="24"/>
        </w:rPr>
      </w:pPr>
      <w:r w:rsidRPr="00226D34">
        <w:rPr>
          <w:rFonts w:ascii="Times New Roman" w:hAnsi="Times New Roman" w:cs="Times New Roman"/>
          <w:sz w:val="24"/>
          <w:szCs w:val="24"/>
        </w:rPr>
        <w:t>Section 93 of the Land Registration Act which provides that property acquired during the subsistence of a marriage will be deemed matrimonial property.</w:t>
      </w:r>
    </w:p>
    <w:p w:rsidR="00226D34" w:rsidRPr="00226D34" w:rsidRDefault="00226D34" w:rsidP="00226D34">
      <w:pPr>
        <w:rPr>
          <w:rFonts w:ascii="Times New Roman" w:hAnsi="Times New Roman" w:cs="Times New Roman"/>
          <w:sz w:val="24"/>
          <w:szCs w:val="24"/>
        </w:rPr>
      </w:pPr>
      <w:r w:rsidRPr="00226D34">
        <w:rPr>
          <w:rFonts w:ascii="Times New Roman" w:hAnsi="Times New Roman" w:cs="Times New Roman"/>
          <w:sz w:val="24"/>
          <w:szCs w:val="24"/>
        </w:rPr>
        <w:t>Section 12 of the Matrimonial property act which provides that in a monogamous marriage a single spouse cannot</w:t>
      </w:r>
      <w:r w:rsidR="009B4BC2">
        <w:rPr>
          <w:rFonts w:ascii="Times New Roman" w:hAnsi="Times New Roman" w:cs="Times New Roman"/>
          <w:sz w:val="24"/>
          <w:szCs w:val="24"/>
        </w:rPr>
        <w:t xml:space="preserve"> and is not allowed to dispose o</w:t>
      </w:r>
      <w:r w:rsidRPr="00226D34">
        <w:rPr>
          <w:rFonts w:ascii="Times New Roman" w:hAnsi="Times New Roman" w:cs="Times New Roman"/>
          <w:sz w:val="24"/>
          <w:szCs w:val="24"/>
        </w:rPr>
        <w:t>f matrimonial property. It further provides that spouses in both monogamous and polygamous marriages have interests in matrimonial property capable of being protected by a caution.</w:t>
      </w:r>
    </w:p>
    <w:p w:rsidR="00226D34" w:rsidRPr="00226D34" w:rsidRDefault="00226D34" w:rsidP="00226D34">
      <w:pPr>
        <w:rPr>
          <w:rFonts w:ascii="Times New Roman" w:hAnsi="Times New Roman" w:cs="Times New Roman"/>
          <w:sz w:val="24"/>
          <w:szCs w:val="24"/>
        </w:rPr>
      </w:pPr>
      <w:r w:rsidRPr="00226D34">
        <w:rPr>
          <w:rFonts w:ascii="Times New Roman" w:hAnsi="Times New Roman" w:cs="Times New Roman"/>
          <w:sz w:val="24"/>
          <w:szCs w:val="24"/>
        </w:rPr>
        <w:t>This being a potentially polygamous marriage then spousal consent must also be sought as it is</w:t>
      </w:r>
      <w:r w:rsidR="009736FF">
        <w:rPr>
          <w:rFonts w:ascii="Times New Roman" w:hAnsi="Times New Roman" w:cs="Times New Roman"/>
          <w:sz w:val="24"/>
          <w:szCs w:val="24"/>
        </w:rPr>
        <w:t xml:space="preserve"> a recognized marriage in Kenya.</w:t>
      </w:r>
    </w:p>
    <w:p w:rsidR="00226D34" w:rsidRPr="00226D34" w:rsidRDefault="00226D34" w:rsidP="00226D34">
      <w:pPr>
        <w:numPr>
          <w:ilvl w:val="0"/>
          <w:numId w:val="1"/>
        </w:numPr>
        <w:rPr>
          <w:rFonts w:ascii="Times New Roman" w:hAnsi="Times New Roman" w:cs="Times New Roman"/>
          <w:b/>
          <w:sz w:val="24"/>
          <w:szCs w:val="24"/>
        </w:rPr>
      </w:pPr>
      <w:r w:rsidRPr="00226D34">
        <w:rPr>
          <w:rFonts w:ascii="Times New Roman" w:hAnsi="Times New Roman" w:cs="Times New Roman"/>
          <w:b/>
          <w:sz w:val="24"/>
          <w:szCs w:val="24"/>
        </w:rPr>
        <w:t>Analysis</w:t>
      </w:r>
    </w:p>
    <w:p w:rsidR="00226D34" w:rsidRPr="00226D34" w:rsidRDefault="00226D34" w:rsidP="00226D34">
      <w:pPr>
        <w:rPr>
          <w:rFonts w:ascii="Times New Roman" w:hAnsi="Times New Roman" w:cs="Times New Roman"/>
          <w:sz w:val="24"/>
          <w:szCs w:val="24"/>
        </w:rPr>
      </w:pPr>
      <w:r w:rsidRPr="00226D34">
        <w:rPr>
          <w:rFonts w:ascii="Times New Roman" w:hAnsi="Times New Roman" w:cs="Times New Roman"/>
          <w:sz w:val="24"/>
          <w:szCs w:val="24"/>
        </w:rPr>
        <w:t>The property which is their matrimonial home thus falls within the ambit of matrimonial property as both spouses have rights over the parcel of land. The right of redemption was sought by the Plaintiff as she sought to have the charge done away with as the property was matrimonial</w:t>
      </w:r>
    </w:p>
    <w:p w:rsidR="00226D34" w:rsidRPr="00226D34" w:rsidRDefault="00226D34" w:rsidP="00226D34">
      <w:pPr>
        <w:rPr>
          <w:rFonts w:ascii="Times New Roman" w:hAnsi="Times New Roman" w:cs="Times New Roman"/>
          <w:sz w:val="24"/>
          <w:szCs w:val="24"/>
        </w:rPr>
      </w:pPr>
      <w:r w:rsidRPr="00226D34">
        <w:rPr>
          <w:rFonts w:ascii="Times New Roman" w:hAnsi="Times New Roman" w:cs="Times New Roman"/>
          <w:sz w:val="24"/>
          <w:szCs w:val="24"/>
        </w:rPr>
        <w:t>The Plaintiff all through her married life relied on her husband to make financial and business decisions acting in good faith. The Plaintiff also made claims against the advocate who claims to have attested the signing as she did not appear before him nor did the advocate explain the charge to her.</w:t>
      </w:r>
    </w:p>
    <w:p w:rsidR="00226D34" w:rsidRPr="00226D34" w:rsidRDefault="00226D34" w:rsidP="00226D34">
      <w:pPr>
        <w:rPr>
          <w:rFonts w:ascii="Times New Roman" w:hAnsi="Times New Roman" w:cs="Times New Roman"/>
          <w:sz w:val="24"/>
          <w:szCs w:val="24"/>
        </w:rPr>
      </w:pPr>
      <w:r w:rsidRPr="00226D34">
        <w:rPr>
          <w:rFonts w:ascii="Times New Roman" w:hAnsi="Times New Roman" w:cs="Times New Roman"/>
          <w:i/>
          <w:sz w:val="24"/>
          <w:szCs w:val="24"/>
        </w:rPr>
        <w:t>Giella vs Cassman Brown [1973] E.A</w:t>
      </w:r>
      <w:r w:rsidRPr="00226D34">
        <w:rPr>
          <w:rFonts w:ascii="Times New Roman" w:hAnsi="Times New Roman" w:cs="Times New Roman"/>
          <w:sz w:val="24"/>
          <w:szCs w:val="24"/>
        </w:rPr>
        <w:t xml:space="preserve"> a decision of the court of appeal in Uganda set forth the criteria for interlocutory injunctions being;</w:t>
      </w:r>
    </w:p>
    <w:p w:rsidR="00226D34" w:rsidRPr="00226D34" w:rsidRDefault="00226D34" w:rsidP="00226D34">
      <w:pPr>
        <w:numPr>
          <w:ilvl w:val="0"/>
          <w:numId w:val="2"/>
        </w:numPr>
        <w:rPr>
          <w:rFonts w:ascii="Times New Roman" w:hAnsi="Times New Roman" w:cs="Times New Roman"/>
          <w:sz w:val="24"/>
          <w:szCs w:val="24"/>
        </w:rPr>
      </w:pPr>
      <w:r w:rsidRPr="00226D34">
        <w:rPr>
          <w:rFonts w:ascii="Times New Roman" w:hAnsi="Times New Roman" w:cs="Times New Roman"/>
          <w:sz w:val="24"/>
          <w:szCs w:val="24"/>
        </w:rPr>
        <w:t>There has to be a prima facie case, an infringement of right, a case that is arguable with a probability of success</w:t>
      </w:r>
    </w:p>
    <w:p w:rsidR="00226D34" w:rsidRPr="00226D34" w:rsidRDefault="00226D34" w:rsidP="00226D34">
      <w:pPr>
        <w:numPr>
          <w:ilvl w:val="0"/>
          <w:numId w:val="2"/>
        </w:numPr>
        <w:rPr>
          <w:rFonts w:ascii="Times New Roman" w:hAnsi="Times New Roman" w:cs="Times New Roman"/>
          <w:sz w:val="24"/>
          <w:szCs w:val="24"/>
        </w:rPr>
      </w:pPr>
      <w:r w:rsidRPr="00226D34">
        <w:rPr>
          <w:rFonts w:ascii="Times New Roman" w:hAnsi="Times New Roman" w:cs="Times New Roman"/>
          <w:sz w:val="24"/>
          <w:szCs w:val="24"/>
        </w:rPr>
        <w:t>The applicant might suffer irreparable injury which would be hard to be adequately compensated by an award of damages or cannot be compensated in monetary terms</w:t>
      </w:r>
    </w:p>
    <w:p w:rsidR="00226D34" w:rsidRPr="00226D34" w:rsidRDefault="00226D34" w:rsidP="00226D34">
      <w:pPr>
        <w:numPr>
          <w:ilvl w:val="0"/>
          <w:numId w:val="2"/>
        </w:numPr>
        <w:rPr>
          <w:rFonts w:ascii="Times New Roman" w:hAnsi="Times New Roman" w:cs="Times New Roman"/>
          <w:sz w:val="24"/>
          <w:szCs w:val="24"/>
        </w:rPr>
      </w:pPr>
      <w:r w:rsidRPr="00226D34">
        <w:rPr>
          <w:rFonts w:ascii="Times New Roman" w:hAnsi="Times New Roman" w:cs="Times New Roman"/>
          <w:sz w:val="24"/>
          <w:szCs w:val="24"/>
        </w:rPr>
        <w:t>If the court is not sure/ is in doubt it will decide an application on a balance of convenience</w:t>
      </w:r>
    </w:p>
    <w:p w:rsidR="00226D34" w:rsidRPr="00226D34" w:rsidRDefault="00226D34" w:rsidP="00226D34">
      <w:pPr>
        <w:rPr>
          <w:rFonts w:ascii="Times New Roman" w:hAnsi="Times New Roman" w:cs="Times New Roman"/>
          <w:sz w:val="24"/>
          <w:szCs w:val="24"/>
        </w:rPr>
      </w:pPr>
      <w:r w:rsidRPr="00226D34">
        <w:rPr>
          <w:rFonts w:ascii="Times New Roman" w:hAnsi="Times New Roman" w:cs="Times New Roman"/>
          <w:sz w:val="24"/>
          <w:szCs w:val="24"/>
        </w:rPr>
        <w:t xml:space="preserve"> The onus of probability is on the appellant and they must prove beyond the threshold and nor only seek restraint in seeking injunctive orders as was held by Mativo J in a more recent decision of </w:t>
      </w:r>
      <w:r w:rsidRPr="00226D34">
        <w:rPr>
          <w:rFonts w:ascii="Times New Roman" w:hAnsi="Times New Roman" w:cs="Times New Roman"/>
          <w:i/>
          <w:sz w:val="24"/>
          <w:szCs w:val="24"/>
        </w:rPr>
        <w:t xml:space="preserve">Juja Coffee Exporters Ltd &amp; Others vs Bank of Africa Limited &amp; Others HCC No. 57 of 2016 </w:t>
      </w:r>
      <w:r w:rsidRPr="00226D34">
        <w:rPr>
          <w:rFonts w:ascii="Times New Roman" w:hAnsi="Times New Roman" w:cs="Times New Roman"/>
          <w:sz w:val="24"/>
          <w:szCs w:val="24"/>
        </w:rPr>
        <w:t xml:space="preserve">whilst the threshold remains the same, the interlocutory injunction was granted against the charge on the parcel of land owned by Juja Coffee Exporters as they proved their case </w:t>
      </w:r>
    </w:p>
    <w:p w:rsidR="00226D34" w:rsidRPr="00226D34" w:rsidRDefault="00226D34" w:rsidP="00226D34">
      <w:pPr>
        <w:numPr>
          <w:ilvl w:val="0"/>
          <w:numId w:val="1"/>
        </w:numPr>
        <w:rPr>
          <w:rFonts w:ascii="Times New Roman" w:hAnsi="Times New Roman" w:cs="Times New Roman"/>
          <w:b/>
          <w:sz w:val="24"/>
          <w:szCs w:val="24"/>
        </w:rPr>
      </w:pPr>
      <w:r w:rsidRPr="00226D34">
        <w:rPr>
          <w:rFonts w:ascii="Times New Roman" w:hAnsi="Times New Roman" w:cs="Times New Roman"/>
          <w:b/>
          <w:sz w:val="24"/>
          <w:szCs w:val="24"/>
        </w:rPr>
        <w:t>Conveyancing Principles Derived from the case</w:t>
      </w:r>
    </w:p>
    <w:p w:rsidR="00226D34" w:rsidRPr="00226D34" w:rsidRDefault="00226D34" w:rsidP="00226D34">
      <w:pPr>
        <w:rPr>
          <w:rFonts w:ascii="Times New Roman" w:hAnsi="Times New Roman" w:cs="Times New Roman"/>
          <w:sz w:val="24"/>
          <w:szCs w:val="24"/>
        </w:rPr>
      </w:pPr>
      <w:r w:rsidRPr="00226D34">
        <w:rPr>
          <w:rFonts w:ascii="Times New Roman" w:hAnsi="Times New Roman" w:cs="Times New Roman"/>
          <w:sz w:val="24"/>
          <w:szCs w:val="24"/>
        </w:rPr>
        <w:t>In an article written by Wamae and Allen Advocates dubbed “</w:t>
      </w:r>
      <w:r w:rsidRPr="00226D34">
        <w:rPr>
          <w:rFonts w:ascii="Times New Roman" w:hAnsi="Times New Roman" w:cs="Times New Roman"/>
          <w:i/>
          <w:sz w:val="24"/>
          <w:szCs w:val="24"/>
        </w:rPr>
        <w:t>Redefining the legal threshold for grant of interlocutory injunctions in cases where banks are exercising their right of redemption</w:t>
      </w:r>
      <w:r w:rsidRPr="00226D34">
        <w:rPr>
          <w:rFonts w:ascii="Times New Roman" w:hAnsi="Times New Roman" w:cs="Times New Roman"/>
          <w:sz w:val="24"/>
          <w:szCs w:val="24"/>
        </w:rPr>
        <w:t>” written by Preston Wawire and Caxtone Kigata it was stated that in operations of various businesses, credit facilities are taken from financial institutions in accordance with the terms of the credit facilities, security is thus provided as collateral for the funds advance in terms of the land.</w:t>
      </w:r>
    </w:p>
    <w:p w:rsidR="00226D34" w:rsidRPr="00226D34" w:rsidRDefault="00226D34" w:rsidP="00226D34">
      <w:pPr>
        <w:rPr>
          <w:rFonts w:ascii="Times New Roman" w:hAnsi="Times New Roman" w:cs="Times New Roman"/>
          <w:sz w:val="24"/>
          <w:szCs w:val="24"/>
        </w:rPr>
      </w:pPr>
      <w:r w:rsidRPr="00226D34">
        <w:rPr>
          <w:rFonts w:ascii="Times New Roman" w:hAnsi="Times New Roman" w:cs="Times New Roman"/>
          <w:sz w:val="24"/>
          <w:szCs w:val="24"/>
        </w:rPr>
        <w:t>Spousal consent has to be established and spelt out to both spouses to whom have interests in the land as such a transaction done without consent is voidable at the instance of the aggrieved spouse. Both spouses have to make affidavits or statutory declarations of no claim.</w:t>
      </w:r>
    </w:p>
    <w:p w:rsidR="00226D34" w:rsidRDefault="00226D34" w:rsidP="00226D34">
      <w:pPr>
        <w:rPr>
          <w:rFonts w:ascii="Times New Roman" w:hAnsi="Times New Roman" w:cs="Times New Roman"/>
          <w:sz w:val="24"/>
          <w:szCs w:val="24"/>
        </w:rPr>
      </w:pPr>
    </w:p>
    <w:p w:rsidR="003515CE" w:rsidRDefault="003515CE" w:rsidP="00226D34">
      <w:pPr>
        <w:rPr>
          <w:rFonts w:ascii="Times New Roman" w:hAnsi="Times New Roman" w:cs="Times New Roman"/>
          <w:sz w:val="24"/>
          <w:szCs w:val="24"/>
        </w:rPr>
      </w:pPr>
    </w:p>
    <w:p w:rsidR="003515CE" w:rsidRDefault="003515CE" w:rsidP="00226D34">
      <w:pPr>
        <w:rPr>
          <w:rFonts w:ascii="Times New Roman" w:hAnsi="Times New Roman" w:cs="Times New Roman"/>
          <w:b/>
          <w:sz w:val="24"/>
          <w:szCs w:val="24"/>
        </w:rPr>
      </w:pPr>
    </w:p>
    <w:p w:rsidR="003515CE" w:rsidRDefault="003515CE" w:rsidP="00226D34">
      <w:pPr>
        <w:rPr>
          <w:rFonts w:ascii="Times New Roman" w:hAnsi="Times New Roman" w:cs="Times New Roman"/>
          <w:b/>
          <w:bCs/>
          <w:i/>
          <w:sz w:val="24"/>
          <w:szCs w:val="24"/>
        </w:rPr>
      </w:pPr>
    </w:p>
    <w:p w:rsidR="009736FF" w:rsidRDefault="009736FF" w:rsidP="00226D34">
      <w:pPr>
        <w:rPr>
          <w:rFonts w:ascii="Times New Roman" w:hAnsi="Times New Roman" w:cs="Times New Roman"/>
          <w:b/>
          <w:bCs/>
          <w:i/>
          <w:sz w:val="24"/>
          <w:szCs w:val="24"/>
        </w:rPr>
      </w:pPr>
    </w:p>
    <w:p w:rsidR="009736FF" w:rsidRDefault="009736FF" w:rsidP="00226D34">
      <w:pPr>
        <w:rPr>
          <w:rFonts w:ascii="Times New Roman" w:hAnsi="Times New Roman" w:cs="Times New Roman"/>
          <w:b/>
          <w:bCs/>
          <w:i/>
          <w:sz w:val="24"/>
          <w:szCs w:val="24"/>
        </w:rPr>
      </w:pPr>
    </w:p>
    <w:p w:rsidR="009736FF" w:rsidRDefault="009736FF" w:rsidP="00226D34">
      <w:pPr>
        <w:rPr>
          <w:rFonts w:ascii="Times New Roman" w:hAnsi="Times New Roman" w:cs="Times New Roman"/>
          <w:b/>
          <w:bCs/>
          <w:i/>
          <w:sz w:val="24"/>
          <w:szCs w:val="24"/>
        </w:rPr>
      </w:pPr>
    </w:p>
    <w:p w:rsidR="009736FF" w:rsidRDefault="009736FF" w:rsidP="00226D34">
      <w:pPr>
        <w:rPr>
          <w:rFonts w:ascii="Times New Roman" w:hAnsi="Times New Roman" w:cs="Times New Roman"/>
          <w:b/>
          <w:bCs/>
          <w:i/>
          <w:sz w:val="24"/>
          <w:szCs w:val="24"/>
        </w:rPr>
      </w:pPr>
    </w:p>
    <w:p w:rsidR="009736FF" w:rsidRDefault="009736FF" w:rsidP="00226D34">
      <w:pPr>
        <w:rPr>
          <w:rFonts w:ascii="Times New Roman" w:hAnsi="Times New Roman" w:cs="Times New Roman"/>
          <w:b/>
          <w:bCs/>
          <w:i/>
          <w:sz w:val="24"/>
          <w:szCs w:val="24"/>
        </w:rPr>
      </w:pPr>
    </w:p>
    <w:p w:rsidR="009736FF" w:rsidRDefault="009736FF" w:rsidP="00226D34">
      <w:pPr>
        <w:rPr>
          <w:rFonts w:ascii="Times New Roman" w:hAnsi="Times New Roman" w:cs="Times New Roman"/>
          <w:b/>
          <w:bCs/>
          <w:i/>
          <w:sz w:val="24"/>
          <w:szCs w:val="24"/>
        </w:rPr>
      </w:pPr>
    </w:p>
    <w:p w:rsidR="00226D34" w:rsidRDefault="00226D34" w:rsidP="009736FF">
      <w:pPr>
        <w:jc w:val="center"/>
        <w:rPr>
          <w:rFonts w:ascii="Times New Roman" w:hAnsi="Times New Roman" w:cs="Times New Roman"/>
          <w:b/>
          <w:bCs/>
          <w:i/>
          <w:sz w:val="24"/>
          <w:szCs w:val="24"/>
        </w:rPr>
      </w:pPr>
      <w:r w:rsidRPr="00A35DA9">
        <w:rPr>
          <w:rFonts w:ascii="Times New Roman" w:hAnsi="Times New Roman" w:cs="Times New Roman"/>
          <w:b/>
          <w:bCs/>
          <w:i/>
          <w:sz w:val="24"/>
          <w:szCs w:val="24"/>
        </w:rPr>
        <w:t>Mapis Investment (K) Limited v Kenya Railways Corporation [2006] eKLR</w:t>
      </w:r>
    </w:p>
    <w:p w:rsidR="00226D34" w:rsidRPr="009736FF" w:rsidRDefault="00226D34" w:rsidP="00226D34">
      <w:pPr>
        <w:rPr>
          <w:rFonts w:ascii="Times New Roman" w:hAnsi="Times New Roman" w:cs="Times New Roman"/>
          <w:b/>
          <w:bCs/>
          <w:sz w:val="24"/>
          <w:szCs w:val="24"/>
        </w:rPr>
      </w:pPr>
      <w:r w:rsidRPr="009736FF">
        <w:rPr>
          <w:rFonts w:ascii="Times New Roman" w:hAnsi="Times New Roman" w:cs="Times New Roman"/>
          <w:b/>
          <w:bCs/>
          <w:sz w:val="24"/>
          <w:szCs w:val="24"/>
        </w:rPr>
        <w:t>Brief facts</w:t>
      </w:r>
    </w:p>
    <w:p w:rsidR="00226D34" w:rsidRDefault="00226D34" w:rsidP="00226D34">
      <w:pPr>
        <w:rPr>
          <w:rFonts w:ascii="Times New Roman" w:hAnsi="Times New Roman" w:cs="Times New Roman"/>
          <w:bCs/>
          <w:sz w:val="24"/>
          <w:szCs w:val="24"/>
        </w:rPr>
      </w:pPr>
      <w:r>
        <w:rPr>
          <w:rFonts w:ascii="Times New Roman" w:hAnsi="Times New Roman" w:cs="Times New Roman"/>
          <w:bCs/>
          <w:sz w:val="24"/>
          <w:szCs w:val="24"/>
        </w:rPr>
        <w:t xml:space="preserve">This was an appeal from the High Court. Mapis Investment limited, hereafter referred to as the appellant, claimed that Kenya Railways Corporation, hereinafter the respondent, appointed them as their sole selling agent to sell the respondent’s land for a price of Ksh. 95 million. The appellant and respondent agreed that the former’s commission would be the difference between the respondent’s asking price of Ksh. 95 million and the actual sale price the appellant would be able to obtain. The appellant sold the land at Ksh. 120 million and was therefore entitled to Ksh. 25 million as per the aforementioned agreement. </w:t>
      </w:r>
    </w:p>
    <w:p w:rsidR="00226D34" w:rsidRDefault="00226D34" w:rsidP="00226D34">
      <w:pPr>
        <w:rPr>
          <w:rFonts w:ascii="Times New Roman" w:hAnsi="Times New Roman" w:cs="Times New Roman"/>
          <w:bCs/>
          <w:sz w:val="24"/>
          <w:szCs w:val="24"/>
        </w:rPr>
      </w:pPr>
      <w:r>
        <w:rPr>
          <w:rFonts w:ascii="Times New Roman" w:hAnsi="Times New Roman" w:cs="Times New Roman"/>
          <w:bCs/>
          <w:sz w:val="24"/>
          <w:szCs w:val="24"/>
        </w:rPr>
        <w:t>However, the respondent paid them Ksh. 7.5 million and has declined to pay up the balance amounting to Ksh. 17.5 million. Mapis in the superior court prayed for payment of the balance as well as 34% interest on the amount. The High Court dismissed the case. The respondent then filed a Notice of Cross Appeal claiming that the learned judge, among other things, failed to take into account and fully consider the cumulative weight of the evidence brought before her. This evidence was as with regards to the agreement that was never brought before her. In this regard, they also filed a Notice of Grounds for affirming the decision. They claimed that the agreement in which the appellant sought relief was illegal and unenforceable as the agent was unregistered as required by the Estates Agent Act. It was undisputed that neither Mr. Shompa (the Managing Director of the appellant company) nor Mapis Investment Limited were registered and on this basis, the court held that it was not prepared to permit the award of a further sum of Ksh 17.5 million plus interest at 34% to the appellant as they had claimed.</w:t>
      </w:r>
    </w:p>
    <w:p w:rsidR="009B4BC2" w:rsidRDefault="009B4BC2" w:rsidP="00226D34">
      <w:pPr>
        <w:rPr>
          <w:rFonts w:ascii="Times New Roman" w:hAnsi="Times New Roman" w:cs="Times New Roman"/>
          <w:bCs/>
          <w:sz w:val="24"/>
          <w:szCs w:val="24"/>
        </w:rPr>
      </w:pPr>
      <w:r>
        <w:rPr>
          <w:rFonts w:ascii="Times New Roman" w:hAnsi="Times New Roman" w:cs="Times New Roman"/>
          <w:bCs/>
          <w:sz w:val="24"/>
          <w:szCs w:val="24"/>
        </w:rPr>
        <w:t xml:space="preserve">This case outlines the role of other professions that come in handy in conveyancing. Particularly the case outlines the role of estate agents as established in the Estate Agent Act. </w:t>
      </w:r>
    </w:p>
    <w:p w:rsidR="00226D34" w:rsidRPr="009736FF" w:rsidRDefault="00226D34" w:rsidP="00226D34">
      <w:pPr>
        <w:rPr>
          <w:rFonts w:ascii="Times New Roman" w:hAnsi="Times New Roman" w:cs="Times New Roman"/>
          <w:b/>
          <w:bCs/>
          <w:sz w:val="24"/>
          <w:szCs w:val="24"/>
        </w:rPr>
      </w:pPr>
      <w:r w:rsidRPr="009736FF">
        <w:rPr>
          <w:rFonts w:ascii="Times New Roman" w:hAnsi="Times New Roman" w:cs="Times New Roman"/>
          <w:b/>
          <w:bCs/>
          <w:sz w:val="24"/>
          <w:szCs w:val="24"/>
        </w:rPr>
        <w:t>Applicable law</w:t>
      </w:r>
    </w:p>
    <w:p w:rsidR="00226D34" w:rsidRPr="009736FF" w:rsidRDefault="00226D34" w:rsidP="00226D34">
      <w:pPr>
        <w:pStyle w:val="ListParagraph"/>
        <w:numPr>
          <w:ilvl w:val="0"/>
          <w:numId w:val="3"/>
        </w:numPr>
        <w:rPr>
          <w:rFonts w:ascii="Times New Roman" w:hAnsi="Times New Roman" w:cs="Times New Roman"/>
          <w:b/>
          <w:bCs/>
          <w:sz w:val="24"/>
          <w:szCs w:val="24"/>
        </w:rPr>
      </w:pPr>
      <w:r w:rsidRPr="009736FF">
        <w:rPr>
          <w:rFonts w:ascii="Times New Roman" w:hAnsi="Times New Roman" w:cs="Times New Roman"/>
          <w:b/>
          <w:bCs/>
          <w:sz w:val="24"/>
          <w:szCs w:val="24"/>
        </w:rPr>
        <w:t>Estates Agent Act CAP 533 as read together with the Estates Agent Remuneration Rules, 2002</w:t>
      </w:r>
    </w:p>
    <w:p w:rsidR="00226D34" w:rsidRDefault="00226D34" w:rsidP="00226D34">
      <w:pPr>
        <w:rPr>
          <w:rFonts w:ascii="Times New Roman" w:hAnsi="Times New Roman" w:cs="Times New Roman"/>
          <w:bCs/>
          <w:sz w:val="24"/>
          <w:szCs w:val="24"/>
        </w:rPr>
      </w:pPr>
      <w:r>
        <w:rPr>
          <w:rFonts w:ascii="Times New Roman" w:hAnsi="Times New Roman" w:cs="Times New Roman"/>
          <w:bCs/>
          <w:sz w:val="24"/>
          <w:szCs w:val="24"/>
        </w:rPr>
        <w:t>Estate agents broker the conveyancing deal. The Act as per section 18 provides for the requirement of registration of agents stating:</w:t>
      </w:r>
    </w:p>
    <w:p w:rsidR="00226D34" w:rsidRDefault="00226D34" w:rsidP="00226D34">
      <w:pPr>
        <w:rPr>
          <w:rFonts w:ascii="Times New Roman" w:hAnsi="Times New Roman" w:cs="Times New Roman"/>
          <w:bCs/>
          <w:i/>
          <w:sz w:val="24"/>
          <w:szCs w:val="24"/>
        </w:rPr>
      </w:pPr>
      <w:r w:rsidRPr="006220B6">
        <w:rPr>
          <w:rFonts w:ascii="Times New Roman" w:hAnsi="Times New Roman" w:cs="Times New Roman"/>
          <w:bCs/>
          <w:i/>
          <w:sz w:val="24"/>
          <w:szCs w:val="24"/>
        </w:rPr>
        <w:t>“(1)  After the expiration of six months from the commencement of this Act or such further period as the Minister may, by notice in the Gazette, allow either generally or in respect of any particular person or class of persons— (a) (b) (c) no individual shall practise as an estate agent unless he is a registered estate agent; no partnership shall practise as estate agents unless all the partners whose activities include the doing of acts by way of such practice are registered estate agents; no body corporate shall practise as an estate agent unless all the directors thereof whose duties include the doing of acts by way of such practice are registered estate agents.</w:t>
      </w:r>
    </w:p>
    <w:p w:rsidR="00226D34" w:rsidRDefault="00226D34" w:rsidP="00226D34">
      <w:pPr>
        <w:rPr>
          <w:rFonts w:ascii="Times New Roman" w:hAnsi="Times New Roman" w:cs="Times New Roman"/>
          <w:bCs/>
          <w:i/>
          <w:sz w:val="24"/>
          <w:szCs w:val="24"/>
        </w:rPr>
      </w:pPr>
      <w:r w:rsidRPr="006220B6">
        <w:rPr>
          <w:rFonts w:ascii="Times New Roman" w:hAnsi="Times New Roman" w:cs="Times New Roman"/>
          <w:bCs/>
          <w:i/>
          <w:sz w:val="24"/>
          <w:szCs w:val="24"/>
        </w:rPr>
        <w:t xml:space="preserve"> (2)  Any person who contravenes subsection (1) shall be guilty of an offence and liable to a fine not exceeding twenty thousand shillings or to imprisonment for a term not exceeding two years or to both.”</w:t>
      </w:r>
    </w:p>
    <w:p w:rsidR="00226D34" w:rsidRDefault="00226D34" w:rsidP="00226D34">
      <w:pPr>
        <w:rPr>
          <w:rFonts w:ascii="Times New Roman" w:hAnsi="Times New Roman" w:cs="Times New Roman"/>
          <w:bCs/>
          <w:sz w:val="24"/>
          <w:szCs w:val="24"/>
        </w:rPr>
      </w:pPr>
      <w:r w:rsidRPr="00A00A73">
        <w:rPr>
          <w:rFonts w:ascii="Times New Roman" w:hAnsi="Times New Roman" w:cs="Times New Roman"/>
          <w:bCs/>
          <w:sz w:val="24"/>
          <w:szCs w:val="24"/>
        </w:rPr>
        <w:t>The Estate Agent (Remuneration) Rules were enacted in accordance with Section 22 of the Act, which grants the Minister the authority to adopt rules dictating the charges that may be paid for services given as an estate agent, among other things.</w:t>
      </w:r>
    </w:p>
    <w:p w:rsidR="00226D34" w:rsidRPr="009736FF" w:rsidRDefault="00226D34" w:rsidP="00226D34">
      <w:pPr>
        <w:pStyle w:val="ListParagraph"/>
        <w:numPr>
          <w:ilvl w:val="0"/>
          <w:numId w:val="3"/>
        </w:numPr>
        <w:rPr>
          <w:rFonts w:ascii="Times New Roman" w:hAnsi="Times New Roman" w:cs="Times New Roman"/>
          <w:b/>
          <w:bCs/>
          <w:sz w:val="24"/>
          <w:szCs w:val="24"/>
        </w:rPr>
      </w:pPr>
      <w:r w:rsidRPr="009736FF">
        <w:rPr>
          <w:rFonts w:ascii="Times New Roman" w:hAnsi="Times New Roman" w:cs="Times New Roman"/>
          <w:b/>
          <w:bCs/>
          <w:sz w:val="24"/>
          <w:szCs w:val="24"/>
        </w:rPr>
        <w:t>Law of Contract</w:t>
      </w:r>
    </w:p>
    <w:p w:rsidR="00226D34" w:rsidRDefault="00226D34" w:rsidP="00226D34">
      <w:pPr>
        <w:rPr>
          <w:rFonts w:ascii="Times New Roman" w:hAnsi="Times New Roman" w:cs="Times New Roman"/>
          <w:bCs/>
          <w:sz w:val="24"/>
          <w:szCs w:val="24"/>
        </w:rPr>
      </w:pPr>
      <w:r>
        <w:rPr>
          <w:rFonts w:ascii="Times New Roman" w:hAnsi="Times New Roman" w:cs="Times New Roman"/>
          <w:bCs/>
          <w:sz w:val="24"/>
          <w:szCs w:val="24"/>
        </w:rPr>
        <w:t>Normal contractual principles apply to land contracts just as they do other legal contracts. In this regard, the Law of Contract</w:t>
      </w:r>
      <w:r>
        <w:rPr>
          <w:rStyle w:val="FootnoteReference"/>
          <w:rFonts w:ascii="Times New Roman" w:hAnsi="Times New Roman" w:cs="Times New Roman"/>
          <w:bCs/>
          <w:sz w:val="24"/>
          <w:szCs w:val="24"/>
        </w:rPr>
        <w:footnoteReference w:id="1"/>
      </w:r>
      <w:r>
        <w:rPr>
          <w:rFonts w:ascii="Times New Roman" w:hAnsi="Times New Roman" w:cs="Times New Roman"/>
          <w:bCs/>
          <w:sz w:val="24"/>
          <w:szCs w:val="24"/>
        </w:rPr>
        <w:t xml:space="preserve"> apply.</w:t>
      </w:r>
      <w:r w:rsidR="009B4BC2">
        <w:rPr>
          <w:rFonts w:ascii="Times New Roman" w:hAnsi="Times New Roman" w:cs="Times New Roman"/>
          <w:bCs/>
          <w:sz w:val="24"/>
          <w:szCs w:val="24"/>
        </w:rPr>
        <w:t xml:space="preserve"> </w:t>
      </w:r>
      <w:r>
        <w:rPr>
          <w:rFonts w:ascii="Times New Roman" w:hAnsi="Times New Roman" w:cs="Times New Roman"/>
          <w:bCs/>
          <w:sz w:val="24"/>
          <w:szCs w:val="24"/>
        </w:rPr>
        <w:t>Therefore, one has to have the capacity to contract before entering into a contract.</w:t>
      </w:r>
    </w:p>
    <w:p w:rsidR="00226D34" w:rsidRPr="009736FF" w:rsidRDefault="00226D34" w:rsidP="00226D34">
      <w:pPr>
        <w:rPr>
          <w:rFonts w:ascii="Times New Roman" w:hAnsi="Times New Roman" w:cs="Times New Roman"/>
          <w:b/>
          <w:bCs/>
          <w:sz w:val="24"/>
          <w:szCs w:val="24"/>
        </w:rPr>
      </w:pPr>
      <w:r w:rsidRPr="009736FF">
        <w:rPr>
          <w:rFonts w:ascii="Times New Roman" w:hAnsi="Times New Roman" w:cs="Times New Roman"/>
          <w:b/>
          <w:bCs/>
          <w:sz w:val="24"/>
          <w:szCs w:val="24"/>
        </w:rPr>
        <w:t>The analysis</w:t>
      </w:r>
    </w:p>
    <w:p w:rsidR="00226D34" w:rsidRDefault="00226D34" w:rsidP="00226D34">
      <w:pPr>
        <w:rPr>
          <w:rFonts w:ascii="Times New Roman" w:hAnsi="Times New Roman" w:cs="Times New Roman"/>
          <w:bCs/>
          <w:sz w:val="24"/>
          <w:szCs w:val="24"/>
        </w:rPr>
      </w:pPr>
      <w:r>
        <w:rPr>
          <w:rFonts w:ascii="Times New Roman" w:hAnsi="Times New Roman" w:cs="Times New Roman"/>
          <w:bCs/>
          <w:sz w:val="24"/>
          <w:szCs w:val="24"/>
        </w:rPr>
        <w:t xml:space="preserve">Mapis Investment Limited was contracted by the Kenya Railway Corporation as its sole agent for purposes of selling the latter’s property. The investment company took up this responsibility having not been registered as estate agents as per the Estates Agents Act. This lack of registration makes the company lack capacity to be contracted as agents and hence makes the whole brokering transaction illegal. </w:t>
      </w:r>
    </w:p>
    <w:p w:rsidR="00226D34" w:rsidRDefault="00226D34" w:rsidP="00226D34">
      <w:pPr>
        <w:rPr>
          <w:rFonts w:ascii="Times New Roman" w:hAnsi="Times New Roman" w:cs="Times New Roman"/>
          <w:b/>
          <w:bCs/>
          <w:sz w:val="24"/>
          <w:szCs w:val="24"/>
        </w:rPr>
      </w:pPr>
      <w:r>
        <w:rPr>
          <w:rFonts w:ascii="Times New Roman" w:hAnsi="Times New Roman" w:cs="Times New Roman"/>
          <w:b/>
          <w:bCs/>
          <w:sz w:val="24"/>
          <w:szCs w:val="24"/>
        </w:rPr>
        <w:t>Conveyancing Principles</w:t>
      </w:r>
    </w:p>
    <w:p w:rsidR="00226D34" w:rsidRDefault="00226D34" w:rsidP="00226D34">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The Principle of Agency</w:t>
      </w:r>
    </w:p>
    <w:p w:rsidR="00226D34" w:rsidRDefault="00226D34" w:rsidP="00226D34">
      <w:pPr>
        <w:ind w:left="360"/>
        <w:rPr>
          <w:rFonts w:ascii="Times New Roman" w:hAnsi="Times New Roman" w:cs="Times New Roman"/>
          <w:sz w:val="24"/>
          <w:szCs w:val="24"/>
        </w:rPr>
      </w:pPr>
      <w:r>
        <w:rPr>
          <w:rFonts w:ascii="Times New Roman" w:hAnsi="Times New Roman" w:cs="Times New Roman"/>
          <w:sz w:val="24"/>
          <w:szCs w:val="24"/>
        </w:rPr>
        <w:t xml:space="preserve">In light of the </w:t>
      </w:r>
      <w:r w:rsidRPr="00CC588A">
        <w:rPr>
          <w:rFonts w:ascii="Times New Roman" w:hAnsi="Times New Roman" w:cs="Times New Roman"/>
          <w:i/>
          <w:sz w:val="24"/>
          <w:szCs w:val="24"/>
        </w:rPr>
        <w:t>Mapis Case</w:t>
      </w:r>
      <w:r>
        <w:rPr>
          <w:rFonts w:ascii="Times New Roman" w:hAnsi="Times New Roman" w:cs="Times New Roman"/>
          <w:sz w:val="24"/>
          <w:szCs w:val="24"/>
        </w:rPr>
        <w:t>, Mapis Invetment Limited was contracted as an agent by Kenya Railways Corporation to serve the purpose of finding a prospective buyer of the parcel of land owned by Kenya Railways Corporation. Agency as a conveyancing principle is a creation of the Common Law and it is also provided for under the Estates Agent Act as read together with the Estates Agent Rules which regulate the conduct of agents as they serve their functions even in conveyancing.</w:t>
      </w:r>
    </w:p>
    <w:p w:rsidR="00226D34" w:rsidRDefault="00226D34" w:rsidP="00226D34">
      <w:pPr>
        <w:pStyle w:val="ListParagraph"/>
        <w:numPr>
          <w:ilvl w:val="0"/>
          <w:numId w:val="4"/>
        </w:numPr>
        <w:rPr>
          <w:rFonts w:ascii="Times New Roman" w:hAnsi="Times New Roman" w:cs="Times New Roman"/>
          <w:b/>
          <w:sz w:val="24"/>
          <w:szCs w:val="24"/>
        </w:rPr>
      </w:pPr>
      <w:r>
        <w:rPr>
          <w:rFonts w:ascii="Times New Roman" w:hAnsi="Times New Roman" w:cs="Times New Roman"/>
          <w:b/>
          <w:sz w:val="24"/>
          <w:szCs w:val="24"/>
        </w:rPr>
        <w:t>Contracts having to be in writing</w:t>
      </w:r>
    </w:p>
    <w:p w:rsidR="00226D34" w:rsidRPr="00CC588A" w:rsidRDefault="00226D34" w:rsidP="00226D34">
      <w:pPr>
        <w:ind w:left="360"/>
        <w:rPr>
          <w:rFonts w:ascii="Times New Roman" w:hAnsi="Times New Roman" w:cs="Times New Roman"/>
          <w:sz w:val="24"/>
          <w:szCs w:val="24"/>
        </w:rPr>
      </w:pPr>
      <w:r>
        <w:rPr>
          <w:rFonts w:ascii="Times New Roman" w:hAnsi="Times New Roman" w:cs="Times New Roman"/>
          <w:sz w:val="24"/>
          <w:szCs w:val="24"/>
        </w:rPr>
        <w:t xml:space="preserve">This is a principle covered under </w:t>
      </w:r>
      <w:r w:rsidRPr="00CC588A">
        <w:rPr>
          <w:rFonts w:ascii="Times New Roman" w:hAnsi="Times New Roman" w:cs="Times New Roman"/>
          <w:b/>
          <w:sz w:val="24"/>
          <w:szCs w:val="24"/>
        </w:rPr>
        <w:t>section 3</w:t>
      </w:r>
      <w:r>
        <w:rPr>
          <w:rFonts w:ascii="Times New Roman" w:hAnsi="Times New Roman" w:cs="Times New Roman"/>
          <w:sz w:val="24"/>
          <w:szCs w:val="24"/>
        </w:rPr>
        <w:t xml:space="preserve"> of </w:t>
      </w:r>
      <w:r w:rsidRPr="00CC588A">
        <w:rPr>
          <w:rFonts w:ascii="Times New Roman" w:hAnsi="Times New Roman" w:cs="Times New Roman"/>
          <w:b/>
          <w:sz w:val="24"/>
          <w:szCs w:val="24"/>
        </w:rPr>
        <w:t xml:space="preserve">the Law of </w:t>
      </w:r>
      <w:r w:rsidR="009B4BC2">
        <w:rPr>
          <w:rFonts w:ascii="Times New Roman" w:hAnsi="Times New Roman" w:cs="Times New Roman"/>
          <w:b/>
          <w:sz w:val="24"/>
          <w:szCs w:val="24"/>
        </w:rPr>
        <w:t>Co</w:t>
      </w:r>
      <w:r w:rsidRPr="00CC588A">
        <w:rPr>
          <w:rFonts w:ascii="Times New Roman" w:hAnsi="Times New Roman" w:cs="Times New Roman"/>
          <w:b/>
          <w:sz w:val="24"/>
          <w:szCs w:val="24"/>
        </w:rPr>
        <w:t>ntract</w:t>
      </w:r>
      <w:r>
        <w:rPr>
          <w:rFonts w:ascii="Times New Roman" w:hAnsi="Times New Roman" w:cs="Times New Roman"/>
          <w:sz w:val="24"/>
          <w:szCs w:val="24"/>
        </w:rPr>
        <w:t xml:space="preserve"> </w:t>
      </w:r>
      <w:r w:rsidRPr="00CC588A">
        <w:rPr>
          <w:rFonts w:ascii="Times New Roman" w:hAnsi="Times New Roman" w:cs="Times New Roman"/>
          <w:b/>
          <w:sz w:val="24"/>
          <w:szCs w:val="24"/>
        </w:rPr>
        <w:t>Act</w:t>
      </w:r>
      <w:r>
        <w:rPr>
          <w:rFonts w:ascii="Times New Roman" w:hAnsi="Times New Roman" w:cs="Times New Roman"/>
          <w:sz w:val="24"/>
          <w:szCs w:val="24"/>
        </w:rPr>
        <w:t xml:space="preserve">, </w:t>
      </w:r>
      <w:r w:rsidRPr="00CC588A">
        <w:rPr>
          <w:rFonts w:ascii="Times New Roman" w:hAnsi="Times New Roman" w:cs="Times New Roman"/>
          <w:b/>
          <w:sz w:val="24"/>
          <w:szCs w:val="24"/>
        </w:rPr>
        <w:t>section 38</w:t>
      </w:r>
      <w:r>
        <w:rPr>
          <w:rFonts w:ascii="Times New Roman" w:hAnsi="Times New Roman" w:cs="Times New Roman"/>
          <w:sz w:val="24"/>
          <w:szCs w:val="24"/>
        </w:rPr>
        <w:t xml:space="preserve"> of the </w:t>
      </w:r>
      <w:r w:rsidRPr="00CC588A">
        <w:rPr>
          <w:rFonts w:ascii="Times New Roman" w:hAnsi="Times New Roman" w:cs="Times New Roman"/>
          <w:b/>
          <w:sz w:val="24"/>
          <w:szCs w:val="24"/>
        </w:rPr>
        <w:t>Land Act</w:t>
      </w:r>
      <w:r>
        <w:rPr>
          <w:rFonts w:ascii="Times New Roman" w:hAnsi="Times New Roman" w:cs="Times New Roman"/>
          <w:sz w:val="24"/>
          <w:szCs w:val="24"/>
        </w:rPr>
        <w:t xml:space="preserve"> and </w:t>
      </w:r>
      <w:r w:rsidRPr="00CC588A">
        <w:rPr>
          <w:rFonts w:ascii="Times New Roman" w:hAnsi="Times New Roman" w:cs="Times New Roman"/>
          <w:b/>
          <w:sz w:val="24"/>
          <w:szCs w:val="24"/>
        </w:rPr>
        <w:t>section 44</w:t>
      </w:r>
      <w:r>
        <w:rPr>
          <w:rFonts w:ascii="Times New Roman" w:hAnsi="Times New Roman" w:cs="Times New Roman"/>
          <w:sz w:val="24"/>
          <w:szCs w:val="24"/>
        </w:rPr>
        <w:t xml:space="preserve"> of the </w:t>
      </w:r>
      <w:r w:rsidRPr="00CC588A">
        <w:rPr>
          <w:rFonts w:ascii="Times New Roman" w:hAnsi="Times New Roman" w:cs="Times New Roman"/>
          <w:b/>
          <w:sz w:val="24"/>
          <w:szCs w:val="24"/>
        </w:rPr>
        <w:t>Land Registration Act.</w:t>
      </w:r>
      <w:r>
        <w:rPr>
          <w:rFonts w:ascii="Times New Roman" w:hAnsi="Times New Roman" w:cs="Times New Roman"/>
          <w:b/>
          <w:sz w:val="24"/>
          <w:szCs w:val="24"/>
        </w:rPr>
        <w:t xml:space="preserve"> </w:t>
      </w:r>
      <w:r>
        <w:rPr>
          <w:rFonts w:ascii="Times New Roman" w:hAnsi="Times New Roman" w:cs="Times New Roman"/>
          <w:sz w:val="24"/>
          <w:szCs w:val="24"/>
        </w:rPr>
        <w:t xml:space="preserve">With regard to the </w:t>
      </w:r>
      <w:r>
        <w:rPr>
          <w:rFonts w:ascii="Times New Roman" w:hAnsi="Times New Roman" w:cs="Times New Roman"/>
          <w:i/>
          <w:sz w:val="24"/>
          <w:szCs w:val="24"/>
        </w:rPr>
        <w:t>Mapis Case,</w:t>
      </w:r>
      <w:r>
        <w:rPr>
          <w:rFonts w:ascii="Times New Roman" w:hAnsi="Times New Roman" w:cs="Times New Roman"/>
          <w:sz w:val="24"/>
          <w:szCs w:val="24"/>
        </w:rPr>
        <w:t xml:space="preserve"> the contract entered into by Mapis Investment Limited and Kenya Railways Corporation was unwritten thus contravening this principle.</w:t>
      </w:r>
      <w:r w:rsidR="009B4BC2">
        <w:rPr>
          <w:rFonts w:ascii="Times New Roman" w:hAnsi="Times New Roman" w:cs="Times New Roman"/>
          <w:sz w:val="24"/>
          <w:szCs w:val="24"/>
        </w:rPr>
        <w:t xml:space="preserve"> It could therefore not be enforced in view of the said defectiveness. </w:t>
      </w:r>
    </w:p>
    <w:p w:rsidR="00226D34" w:rsidRDefault="00226D34" w:rsidP="00226D34">
      <w:pPr>
        <w:rPr>
          <w:rFonts w:ascii="Times New Roman" w:hAnsi="Times New Roman" w:cs="Times New Roman"/>
          <w:b/>
          <w:sz w:val="24"/>
          <w:szCs w:val="24"/>
        </w:rPr>
      </w:pPr>
    </w:p>
    <w:p w:rsidR="00226D34" w:rsidRDefault="00226D34" w:rsidP="00226D34">
      <w:pPr>
        <w:rPr>
          <w:rFonts w:ascii="Times New Roman" w:hAnsi="Times New Roman" w:cs="Times New Roman"/>
          <w:b/>
          <w:sz w:val="24"/>
          <w:szCs w:val="24"/>
        </w:rPr>
      </w:pPr>
    </w:p>
    <w:p w:rsidR="00226D34" w:rsidRDefault="00226D34" w:rsidP="00226D34">
      <w:pPr>
        <w:rPr>
          <w:rFonts w:ascii="Times New Roman" w:hAnsi="Times New Roman" w:cs="Times New Roman"/>
          <w:b/>
          <w:sz w:val="24"/>
          <w:szCs w:val="24"/>
        </w:rPr>
      </w:pPr>
    </w:p>
    <w:p w:rsidR="00226D34" w:rsidRDefault="00226D34" w:rsidP="00226D34">
      <w:pPr>
        <w:rPr>
          <w:rFonts w:ascii="Times New Roman" w:hAnsi="Times New Roman" w:cs="Times New Roman"/>
          <w:b/>
          <w:sz w:val="24"/>
          <w:szCs w:val="24"/>
        </w:rPr>
      </w:pPr>
    </w:p>
    <w:p w:rsidR="00226D34" w:rsidRDefault="00226D34" w:rsidP="00226D34">
      <w:pPr>
        <w:rPr>
          <w:rFonts w:ascii="Times New Roman" w:hAnsi="Times New Roman" w:cs="Times New Roman"/>
          <w:b/>
          <w:sz w:val="24"/>
          <w:szCs w:val="24"/>
        </w:rPr>
      </w:pPr>
    </w:p>
    <w:p w:rsidR="00226D34" w:rsidRDefault="00226D34" w:rsidP="00226D34">
      <w:pPr>
        <w:rPr>
          <w:rFonts w:ascii="Times New Roman" w:hAnsi="Times New Roman" w:cs="Times New Roman"/>
          <w:b/>
          <w:sz w:val="24"/>
          <w:szCs w:val="24"/>
        </w:rPr>
      </w:pPr>
    </w:p>
    <w:p w:rsidR="00226D34" w:rsidRDefault="00226D34" w:rsidP="00226D34">
      <w:pPr>
        <w:rPr>
          <w:rFonts w:ascii="Times New Roman" w:hAnsi="Times New Roman" w:cs="Times New Roman"/>
          <w:b/>
          <w:sz w:val="24"/>
          <w:szCs w:val="24"/>
        </w:rPr>
      </w:pPr>
    </w:p>
    <w:p w:rsidR="00226D34" w:rsidRPr="009B4BC2" w:rsidRDefault="00226D34" w:rsidP="00A97EFC">
      <w:pPr>
        <w:jc w:val="center"/>
        <w:rPr>
          <w:rFonts w:ascii="Times New Roman" w:hAnsi="Times New Roman" w:cs="Times New Roman"/>
          <w:sz w:val="24"/>
          <w:szCs w:val="24"/>
        </w:rPr>
      </w:pPr>
      <w:r w:rsidRPr="009B4BC2">
        <w:rPr>
          <w:rFonts w:ascii="Times New Roman" w:hAnsi="Times New Roman" w:cs="Times New Roman"/>
          <w:b/>
          <w:sz w:val="24"/>
          <w:szCs w:val="24"/>
        </w:rPr>
        <w:t>Gitwany Investment Limited v T</w:t>
      </w:r>
      <w:r w:rsidR="00FB6EB2" w:rsidRPr="009B4BC2">
        <w:rPr>
          <w:rFonts w:ascii="Times New Roman" w:hAnsi="Times New Roman" w:cs="Times New Roman"/>
          <w:b/>
          <w:sz w:val="24"/>
          <w:szCs w:val="24"/>
        </w:rPr>
        <w:t>ajmal Limited and 3 Others (2006</w:t>
      </w:r>
      <w:r w:rsidRPr="009B4BC2">
        <w:rPr>
          <w:rFonts w:ascii="Times New Roman" w:hAnsi="Times New Roman" w:cs="Times New Roman"/>
          <w:b/>
          <w:sz w:val="24"/>
          <w:szCs w:val="24"/>
        </w:rPr>
        <w:t>) eKLR</w:t>
      </w:r>
      <w:r w:rsidR="00A97EFC" w:rsidRPr="009B4BC2">
        <w:rPr>
          <w:rStyle w:val="FootnoteReference"/>
          <w:rFonts w:ascii="Times New Roman" w:hAnsi="Times New Roman" w:cs="Times New Roman"/>
          <w:b/>
          <w:sz w:val="24"/>
          <w:szCs w:val="24"/>
        </w:rPr>
        <w:footnoteReference w:id="2"/>
      </w:r>
    </w:p>
    <w:p w:rsidR="00226D34" w:rsidRDefault="00226D34" w:rsidP="00226D34">
      <w:pPr>
        <w:rPr>
          <w:rFonts w:ascii="Times New Roman" w:hAnsi="Times New Roman" w:cs="Times New Roman"/>
          <w:sz w:val="24"/>
          <w:szCs w:val="24"/>
        </w:rPr>
      </w:pPr>
      <w:r>
        <w:rPr>
          <w:rFonts w:ascii="Times New Roman" w:hAnsi="Times New Roman" w:cs="Times New Roman"/>
          <w:sz w:val="24"/>
          <w:szCs w:val="24"/>
        </w:rPr>
        <w:t xml:space="preserve">This case </w:t>
      </w:r>
      <w:r w:rsidR="009B4BC2">
        <w:rPr>
          <w:rFonts w:ascii="Times New Roman" w:hAnsi="Times New Roman" w:cs="Times New Roman"/>
          <w:sz w:val="24"/>
          <w:szCs w:val="24"/>
        </w:rPr>
        <w:t>was heard at the high court of Kenya at Nairobi before J</w:t>
      </w:r>
      <w:r>
        <w:rPr>
          <w:rFonts w:ascii="Times New Roman" w:hAnsi="Times New Roman" w:cs="Times New Roman"/>
          <w:sz w:val="24"/>
          <w:szCs w:val="24"/>
        </w:rPr>
        <w:t xml:space="preserve">ustice Lenaola (as he then was). </w:t>
      </w:r>
      <w:r w:rsidR="009B4BC2">
        <w:rPr>
          <w:rFonts w:ascii="Times New Roman" w:hAnsi="Times New Roman" w:cs="Times New Roman"/>
          <w:sz w:val="24"/>
          <w:szCs w:val="24"/>
        </w:rPr>
        <w:t>It is important to note the parties and their claims to make the analysis more useful. Accordingly, t</w:t>
      </w:r>
      <w:r>
        <w:rPr>
          <w:rFonts w:ascii="Times New Roman" w:hAnsi="Times New Roman" w:cs="Times New Roman"/>
          <w:sz w:val="24"/>
          <w:szCs w:val="24"/>
        </w:rPr>
        <w:t>he parties</w:t>
      </w:r>
      <w:r w:rsidR="009B4BC2">
        <w:rPr>
          <w:rFonts w:ascii="Times New Roman" w:hAnsi="Times New Roman" w:cs="Times New Roman"/>
          <w:sz w:val="24"/>
          <w:szCs w:val="24"/>
        </w:rPr>
        <w:t xml:space="preserve"> in the case are as follows; </w:t>
      </w:r>
      <w:r>
        <w:rPr>
          <w:rFonts w:ascii="Times New Roman" w:hAnsi="Times New Roman" w:cs="Times New Roman"/>
          <w:sz w:val="24"/>
          <w:szCs w:val="24"/>
        </w:rPr>
        <w:t xml:space="preserve"> </w:t>
      </w:r>
    </w:p>
    <w:p w:rsidR="00226D34" w:rsidRDefault="00226D34" w:rsidP="00226D34">
      <w:pPr>
        <w:rPr>
          <w:rFonts w:ascii="Times New Roman" w:hAnsi="Times New Roman" w:cs="Times New Roman"/>
          <w:sz w:val="24"/>
          <w:szCs w:val="24"/>
        </w:rPr>
      </w:pPr>
      <w:r>
        <w:rPr>
          <w:rFonts w:ascii="Times New Roman" w:hAnsi="Times New Roman" w:cs="Times New Roman"/>
          <w:sz w:val="24"/>
          <w:szCs w:val="24"/>
        </w:rPr>
        <w:tab/>
        <w:t>Gitwany Investement Limited…… Plaintiff</w:t>
      </w:r>
    </w:p>
    <w:p w:rsidR="00226D34" w:rsidRDefault="00226D34" w:rsidP="00226D34">
      <w:pPr>
        <w:rPr>
          <w:rFonts w:ascii="Times New Roman" w:hAnsi="Times New Roman" w:cs="Times New Roman"/>
          <w:sz w:val="24"/>
          <w:szCs w:val="24"/>
        </w:rPr>
      </w:pPr>
      <w:r>
        <w:rPr>
          <w:rFonts w:ascii="Times New Roman" w:hAnsi="Times New Roman" w:cs="Times New Roman"/>
          <w:sz w:val="24"/>
          <w:szCs w:val="24"/>
        </w:rPr>
        <w:tab/>
        <w:t>Tajmal Limited……………</w:t>
      </w:r>
      <w:r w:rsidR="009B4BC2">
        <w:rPr>
          <w:rFonts w:ascii="Times New Roman" w:hAnsi="Times New Roman" w:cs="Times New Roman"/>
          <w:sz w:val="24"/>
          <w:szCs w:val="24"/>
        </w:rPr>
        <w:t xml:space="preserve">………... First Defendant </w:t>
      </w:r>
      <w:r>
        <w:rPr>
          <w:rFonts w:ascii="Times New Roman" w:hAnsi="Times New Roman" w:cs="Times New Roman"/>
          <w:sz w:val="24"/>
          <w:szCs w:val="24"/>
        </w:rPr>
        <w:t xml:space="preserve"> </w:t>
      </w:r>
    </w:p>
    <w:p w:rsidR="00226D34" w:rsidRDefault="00226D34" w:rsidP="00226D34">
      <w:pPr>
        <w:rPr>
          <w:rFonts w:ascii="Times New Roman" w:hAnsi="Times New Roman" w:cs="Times New Roman"/>
          <w:sz w:val="24"/>
          <w:szCs w:val="24"/>
        </w:rPr>
      </w:pPr>
      <w:r>
        <w:rPr>
          <w:rFonts w:ascii="Times New Roman" w:hAnsi="Times New Roman" w:cs="Times New Roman"/>
          <w:sz w:val="24"/>
          <w:szCs w:val="24"/>
        </w:rPr>
        <w:tab/>
        <w:t xml:space="preserve">Goefrey Njage………. Second Defendant </w:t>
      </w:r>
    </w:p>
    <w:p w:rsidR="00FC13F0" w:rsidRDefault="00FC13F0" w:rsidP="00226D34">
      <w:pPr>
        <w:rPr>
          <w:rFonts w:ascii="Times New Roman" w:hAnsi="Times New Roman" w:cs="Times New Roman"/>
          <w:sz w:val="24"/>
          <w:szCs w:val="24"/>
        </w:rPr>
      </w:pPr>
      <w:r>
        <w:rPr>
          <w:rFonts w:ascii="Times New Roman" w:hAnsi="Times New Roman" w:cs="Times New Roman"/>
          <w:sz w:val="24"/>
          <w:szCs w:val="24"/>
        </w:rPr>
        <w:tab/>
        <w:t xml:space="preserve">Max Towers Limited……………... Third Defendant </w:t>
      </w:r>
    </w:p>
    <w:p w:rsidR="00FC13F0" w:rsidRDefault="00FC13F0" w:rsidP="00FC13F0">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AND </w:t>
      </w:r>
    </w:p>
    <w:p w:rsidR="00FC13F0" w:rsidRDefault="00FC13F0" w:rsidP="00FC13F0">
      <w:pPr>
        <w:rPr>
          <w:rFonts w:ascii="Times New Roman" w:hAnsi="Times New Roman" w:cs="Times New Roman"/>
          <w:sz w:val="24"/>
          <w:szCs w:val="24"/>
        </w:rPr>
      </w:pPr>
      <w:r>
        <w:rPr>
          <w:rFonts w:ascii="Times New Roman" w:hAnsi="Times New Roman" w:cs="Times New Roman"/>
          <w:sz w:val="24"/>
          <w:szCs w:val="24"/>
        </w:rPr>
        <w:tab/>
        <w:t xml:space="preserve">Commissioner for Lands Thro’ the Attorney General </w:t>
      </w:r>
    </w:p>
    <w:p w:rsidR="00FC13F0" w:rsidRDefault="00FC13F0" w:rsidP="00FC13F0">
      <w:pPr>
        <w:rPr>
          <w:rFonts w:ascii="Times New Roman" w:hAnsi="Times New Roman" w:cs="Times New Roman"/>
          <w:b/>
          <w:sz w:val="24"/>
          <w:szCs w:val="24"/>
        </w:rPr>
      </w:pPr>
      <w:r>
        <w:rPr>
          <w:rFonts w:ascii="Times New Roman" w:hAnsi="Times New Roman" w:cs="Times New Roman"/>
          <w:b/>
          <w:sz w:val="24"/>
          <w:szCs w:val="24"/>
        </w:rPr>
        <w:t xml:space="preserve">Brief Facts of the Case </w:t>
      </w:r>
    </w:p>
    <w:p w:rsidR="00FC13F0" w:rsidRDefault="00FC13F0" w:rsidP="00FC13F0">
      <w:pPr>
        <w:rPr>
          <w:rFonts w:ascii="Times New Roman" w:hAnsi="Times New Roman" w:cs="Times New Roman"/>
          <w:sz w:val="24"/>
          <w:szCs w:val="24"/>
        </w:rPr>
      </w:pPr>
      <w:r>
        <w:rPr>
          <w:rFonts w:ascii="Times New Roman" w:hAnsi="Times New Roman" w:cs="Times New Roman"/>
          <w:sz w:val="24"/>
          <w:szCs w:val="24"/>
        </w:rPr>
        <w:t xml:space="preserve">The case involved a conflict on the ownership of land on Githunguri Road, Kileleshwa. The land was previously a government land upon which civil servant quarters were erected. </w:t>
      </w:r>
    </w:p>
    <w:p w:rsidR="00FC13F0" w:rsidRDefault="00FC13F0" w:rsidP="00FC13F0">
      <w:pPr>
        <w:rPr>
          <w:rFonts w:ascii="Times New Roman" w:hAnsi="Times New Roman" w:cs="Times New Roman"/>
          <w:sz w:val="24"/>
          <w:szCs w:val="24"/>
        </w:rPr>
      </w:pPr>
      <w:r>
        <w:rPr>
          <w:rFonts w:ascii="Times New Roman" w:hAnsi="Times New Roman" w:cs="Times New Roman"/>
          <w:sz w:val="24"/>
          <w:szCs w:val="24"/>
        </w:rPr>
        <w:t xml:space="preserve">The land had multiple registration/reference numbers </w:t>
      </w:r>
      <w:r w:rsidR="009B4BC2">
        <w:rPr>
          <w:rFonts w:ascii="Times New Roman" w:hAnsi="Times New Roman" w:cs="Times New Roman"/>
          <w:sz w:val="24"/>
          <w:szCs w:val="24"/>
        </w:rPr>
        <w:t xml:space="preserve">namely </w:t>
      </w:r>
      <w:r>
        <w:rPr>
          <w:rFonts w:ascii="Times New Roman" w:hAnsi="Times New Roman" w:cs="Times New Roman"/>
          <w:sz w:val="24"/>
          <w:szCs w:val="24"/>
        </w:rPr>
        <w:t xml:space="preserve">LR. No. 209/12004, also LR. No. 209/3088. </w:t>
      </w:r>
    </w:p>
    <w:p w:rsidR="009B4BC2" w:rsidRDefault="009B4BC2" w:rsidP="009B4BC2">
      <w:pPr>
        <w:rPr>
          <w:rFonts w:ascii="Times New Roman" w:hAnsi="Times New Roman" w:cs="Times New Roman"/>
          <w:sz w:val="24"/>
          <w:szCs w:val="24"/>
        </w:rPr>
      </w:pPr>
      <w:r>
        <w:rPr>
          <w:rFonts w:ascii="Times New Roman" w:hAnsi="Times New Roman" w:cs="Times New Roman"/>
          <w:sz w:val="24"/>
          <w:szCs w:val="24"/>
        </w:rPr>
        <w:t xml:space="preserve">The land was a government land first allotted to </w:t>
      </w:r>
      <w:r>
        <w:rPr>
          <w:rFonts w:ascii="Optima" w:hAnsi="Optima" w:cs="Optima"/>
          <w:sz w:val="24"/>
          <w:szCs w:val="24"/>
        </w:rPr>
        <w:t>O.M. Nzwilli and Tata joint Services</w:t>
      </w:r>
      <w:r>
        <w:rPr>
          <w:rFonts w:ascii="Times New Roman" w:hAnsi="Times New Roman" w:cs="Times New Roman"/>
          <w:sz w:val="24"/>
          <w:szCs w:val="24"/>
        </w:rPr>
        <w:t xml:space="preserve"> in 1994. The land was then valued at Ksh. 340, 000 by an undated valuation availed at the time. Neverteless an allotment laster was given later in the year recoding the land as “</w:t>
      </w:r>
      <w:r>
        <w:rPr>
          <w:rFonts w:ascii="Optima" w:hAnsi="Optima" w:cs="Optima"/>
          <w:sz w:val="24"/>
          <w:szCs w:val="24"/>
        </w:rPr>
        <w:t xml:space="preserve">residential plot L.R. No. 209/3088 Kileleshwa Nairobi” and the Allottees were required to pay Ksh. 404,846 which they paid. In 1995 through a subsequent transfer signed by the registrar, the land was transferred to Gitwany Investment ltd.  at a consideration of Ksh. 2 million. Afterwards, the registrar wrote to Gitwany requiring them to pay more premium stand and annual rent and here the land “L.R. No. 209/12004 (formerly 209/3088 – KILELESHWA NAIROBI” upon “resurvey” had decreased from 0.464 ha to 0.3861 ha. The registrar had allegedly leased out the land to Gitwany ltd for 99 years. It is also noteworthy as at 2002 the land had a conflicting valuation of Ksh. 47, 300,000 and 106, 500,000 given by different firms. </w:t>
      </w:r>
    </w:p>
    <w:p w:rsidR="00FC13F0" w:rsidRDefault="00FC13F0" w:rsidP="00FC13F0">
      <w:pPr>
        <w:rPr>
          <w:rFonts w:ascii="Times New Roman" w:hAnsi="Times New Roman" w:cs="Times New Roman"/>
          <w:sz w:val="24"/>
          <w:szCs w:val="24"/>
        </w:rPr>
      </w:pPr>
      <w:r>
        <w:rPr>
          <w:rFonts w:ascii="Times New Roman" w:hAnsi="Times New Roman" w:cs="Times New Roman"/>
          <w:sz w:val="24"/>
          <w:szCs w:val="24"/>
        </w:rPr>
        <w:t xml:space="preserve">The plaintiff’s case included </w:t>
      </w:r>
      <w:r w:rsidR="009B4BC2">
        <w:rPr>
          <w:rFonts w:ascii="Times New Roman" w:hAnsi="Times New Roman" w:cs="Times New Roman"/>
          <w:sz w:val="24"/>
          <w:szCs w:val="24"/>
        </w:rPr>
        <w:t xml:space="preserve">prayers for </w:t>
      </w:r>
      <w:r>
        <w:rPr>
          <w:rFonts w:ascii="Times New Roman" w:hAnsi="Times New Roman" w:cs="Times New Roman"/>
          <w:sz w:val="24"/>
          <w:szCs w:val="24"/>
        </w:rPr>
        <w:t xml:space="preserve">orders for; </w:t>
      </w:r>
    </w:p>
    <w:p w:rsidR="00FC13F0" w:rsidRDefault="009B4BC2" w:rsidP="00FC13F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A </w:t>
      </w:r>
      <w:r w:rsidR="006820D0">
        <w:rPr>
          <w:rFonts w:ascii="Times New Roman" w:hAnsi="Times New Roman" w:cs="Times New Roman"/>
          <w:sz w:val="24"/>
          <w:szCs w:val="24"/>
        </w:rPr>
        <w:t>Permanent</w:t>
      </w:r>
      <w:r w:rsidR="00FC13F0">
        <w:rPr>
          <w:rFonts w:ascii="Times New Roman" w:hAnsi="Times New Roman" w:cs="Times New Roman"/>
          <w:sz w:val="24"/>
          <w:szCs w:val="24"/>
        </w:rPr>
        <w:t xml:space="preserve"> injunction barring the defendant from accessing or otherwise using the land. </w:t>
      </w:r>
    </w:p>
    <w:p w:rsidR="009B4BC2" w:rsidRDefault="009B4BC2" w:rsidP="00FC13F0">
      <w:pPr>
        <w:pStyle w:val="ListParagraph"/>
        <w:numPr>
          <w:ilvl w:val="0"/>
          <w:numId w:val="5"/>
        </w:numPr>
        <w:rPr>
          <w:rFonts w:ascii="Times New Roman" w:hAnsi="Times New Roman" w:cs="Times New Roman"/>
          <w:sz w:val="24"/>
          <w:szCs w:val="24"/>
        </w:rPr>
      </w:pPr>
      <w:r>
        <w:rPr>
          <w:rFonts w:ascii="Optima" w:hAnsi="Optima" w:cs="Optima"/>
          <w:sz w:val="24"/>
          <w:szCs w:val="24"/>
        </w:rPr>
        <w:t xml:space="preserve"> A declaration that the plaintiff is the bona fide title holder of L.R No. 209/12004 formerly known as L.R.209/3088 and the Defendants have no rights whatsoever over the same</w:t>
      </w:r>
    </w:p>
    <w:p w:rsidR="00FC13F0" w:rsidRDefault="00FC13F0" w:rsidP="00FC13F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Demolition of all the defendants’ structures on the land;</w:t>
      </w:r>
    </w:p>
    <w:p w:rsidR="00FC13F0" w:rsidRDefault="00FC13F0" w:rsidP="00FC13F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Special and general damages</w:t>
      </w:r>
      <w:r w:rsidR="009B4BC2">
        <w:rPr>
          <w:rFonts w:ascii="Times New Roman" w:hAnsi="Times New Roman" w:cs="Times New Roman"/>
          <w:sz w:val="24"/>
          <w:szCs w:val="24"/>
        </w:rPr>
        <w:t xml:space="preserve">, and mesne profit </w:t>
      </w:r>
      <w:r>
        <w:rPr>
          <w:rFonts w:ascii="Times New Roman" w:hAnsi="Times New Roman" w:cs="Times New Roman"/>
          <w:sz w:val="24"/>
          <w:szCs w:val="24"/>
        </w:rPr>
        <w:t xml:space="preserve"> </w:t>
      </w:r>
    </w:p>
    <w:p w:rsidR="00FC13F0" w:rsidRDefault="00FC13F0" w:rsidP="00FC13F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Costs </w:t>
      </w:r>
    </w:p>
    <w:p w:rsidR="009B4BC2" w:rsidRPr="009B4BC2" w:rsidRDefault="009B4BC2" w:rsidP="009B4BC2">
      <w:pPr>
        <w:rPr>
          <w:rFonts w:ascii="Times New Roman" w:hAnsi="Times New Roman" w:cs="Times New Roman"/>
          <w:b/>
          <w:sz w:val="24"/>
          <w:szCs w:val="24"/>
        </w:rPr>
      </w:pPr>
      <w:r w:rsidRPr="009B4BC2">
        <w:rPr>
          <w:rFonts w:ascii="Times New Roman" w:hAnsi="Times New Roman" w:cs="Times New Roman"/>
          <w:b/>
          <w:sz w:val="24"/>
          <w:szCs w:val="24"/>
        </w:rPr>
        <w:t xml:space="preserve">The Defendant’s Case </w:t>
      </w:r>
    </w:p>
    <w:p w:rsidR="009B4BC2" w:rsidRPr="009B4BC2" w:rsidRDefault="009B4BC2" w:rsidP="009B4BC2">
      <w:pPr>
        <w:rPr>
          <w:rFonts w:ascii="Times New Roman" w:hAnsi="Times New Roman" w:cs="Times New Roman"/>
          <w:sz w:val="24"/>
          <w:szCs w:val="24"/>
        </w:rPr>
      </w:pPr>
      <w:r w:rsidRPr="009B4BC2">
        <w:rPr>
          <w:rFonts w:ascii="Times New Roman" w:hAnsi="Times New Roman" w:cs="Times New Roman"/>
          <w:sz w:val="24"/>
          <w:szCs w:val="24"/>
        </w:rPr>
        <w:t>The 1</w:t>
      </w:r>
      <w:r w:rsidRPr="009B4BC2">
        <w:rPr>
          <w:rFonts w:ascii="Times New Roman" w:hAnsi="Times New Roman" w:cs="Times New Roman"/>
          <w:sz w:val="24"/>
          <w:szCs w:val="24"/>
          <w:vertAlign w:val="superscript"/>
        </w:rPr>
        <w:t>st</w:t>
      </w:r>
      <w:r w:rsidRPr="009B4BC2">
        <w:rPr>
          <w:rFonts w:ascii="Times New Roman" w:hAnsi="Times New Roman" w:cs="Times New Roman"/>
          <w:sz w:val="24"/>
          <w:szCs w:val="24"/>
        </w:rPr>
        <w:t xml:space="preserve"> Defendant on its part filed a Statement of Defence denying that it had committed any wrongful act as claimed by Gitwany also stated that it had bought the suit property legally and was therefore a bona fide purchaser of it.  It then raised a Counter Claim for Ksh. 160,500,000/-, interest thereon at 19% per annum from the date of filing </w:t>
      </w:r>
      <w:r>
        <w:rPr>
          <w:rFonts w:ascii="Times New Roman" w:hAnsi="Times New Roman" w:cs="Times New Roman"/>
          <w:sz w:val="24"/>
          <w:szCs w:val="24"/>
        </w:rPr>
        <w:t>suit till payment in full</w:t>
      </w:r>
      <w:r w:rsidRPr="009B4BC2">
        <w:rPr>
          <w:rFonts w:ascii="Times New Roman" w:hAnsi="Times New Roman" w:cs="Times New Roman"/>
          <w:sz w:val="24"/>
          <w:szCs w:val="24"/>
        </w:rPr>
        <w:t>, general damages and in the alternative a declaration that it is entitled to the sum of Ksh. 151,500,000/- plus interest as claimed.</w:t>
      </w:r>
    </w:p>
    <w:p w:rsidR="009B4BC2" w:rsidRPr="009B4BC2" w:rsidRDefault="009B4BC2" w:rsidP="009B4BC2">
      <w:pPr>
        <w:rPr>
          <w:rFonts w:ascii="Times New Roman" w:hAnsi="Times New Roman" w:cs="Times New Roman"/>
          <w:sz w:val="24"/>
          <w:szCs w:val="24"/>
        </w:rPr>
      </w:pPr>
      <w:r w:rsidRPr="009B4BC2">
        <w:rPr>
          <w:rFonts w:ascii="Times New Roman" w:hAnsi="Times New Roman" w:cs="Times New Roman"/>
          <w:sz w:val="24"/>
          <w:szCs w:val="24"/>
        </w:rPr>
        <w:t>The 2</w:t>
      </w:r>
      <w:r w:rsidRPr="009B4BC2">
        <w:rPr>
          <w:rFonts w:ascii="Times New Roman" w:hAnsi="Times New Roman" w:cs="Times New Roman"/>
          <w:sz w:val="24"/>
          <w:szCs w:val="24"/>
          <w:vertAlign w:val="superscript"/>
        </w:rPr>
        <w:t>nd</w:t>
      </w:r>
      <w:r w:rsidRPr="009B4BC2">
        <w:rPr>
          <w:rFonts w:ascii="Times New Roman" w:hAnsi="Times New Roman" w:cs="Times New Roman"/>
          <w:sz w:val="24"/>
          <w:szCs w:val="24"/>
        </w:rPr>
        <w:t xml:space="preserve"> Defendant, Geoffrey Njage was served with Summons to Enter Appearance</w:t>
      </w:r>
      <w:r>
        <w:rPr>
          <w:rFonts w:ascii="Times New Roman" w:hAnsi="Times New Roman" w:cs="Times New Roman"/>
          <w:sz w:val="24"/>
          <w:szCs w:val="24"/>
        </w:rPr>
        <w:t xml:space="preserve"> but </w:t>
      </w:r>
      <w:r w:rsidRPr="009B4BC2">
        <w:rPr>
          <w:rFonts w:ascii="Times New Roman" w:hAnsi="Times New Roman" w:cs="Times New Roman"/>
          <w:sz w:val="24"/>
          <w:szCs w:val="24"/>
        </w:rPr>
        <w:t xml:space="preserve">never entered appearance nor did he file any Statement of Defence and did not participate in the </w:t>
      </w:r>
      <w:r>
        <w:rPr>
          <w:rFonts w:ascii="Times New Roman" w:hAnsi="Times New Roman" w:cs="Times New Roman"/>
          <w:sz w:val="24"/>
          <w:szCs w:val="24"/>
        </w:rPr>
        <w:t>proceedings whatsoever.</w:t>
      </w:r>
      <w:r w:rsidRPr="009B4BC2">
        <w:rPr>
          <w:rFonts w:ascii="Times New Roman" w:hAnsi="Times New Roman" w:cs="Times New Roman"/>
          <w:sz w:val="24"/>
          <w:szCs w:val="24"/>
        </w:rPr>
        <w:t xml:space="preserve">  The 3</w:t>
      </w:r>
      <w:r w:rsidRPr="009B4BC2">
        <w:rPr>
          <w:rFonts w:ascii="Times New Roman" w:hAnsi="Times New Roman" w:cs="Times New Roman"/>
          <w:sz w:val="24"/>
          <w:szCs w:val="24"/>
          <w:vertAlign w:val="superscript"/>
        </w:rPr>
        <w:t>rd</w:t>
      </w:r>
      <w:r w:rsidRPr="009B4BC2">
        <w:rPr>
          <w:rFonts w:ascii="Times New Roman" w:hAnsi="Times New Roman" w:cs="Times New Roman"/>
          <w:sz w:val="24"/>
          <w:szCs w:val="24"/>
        </w:rPr>
        <w:t xml:space="preserve"> Defendant, Max Towers Limited was also served with Summons to Enter Appearance on 2.8.2002 through one of its Directors identified as one Mr. Enock who said that the company had been “dissolved” some years prior to that date but nevertheless he accepted the summons but refused to sign in ackn</w:t>
      </w:r>
      <w:r>
        <w:rPr>
          <w:rFonts w:ascii="Times New Roman" w:hAnsi="Times New Roman" w:cs="Times New Roman"/>
          <w:sz w:val="24"/>
          <w:szCs w:val="24"/>
        </w:rPr>
        <w:t>owledgment. Additionally, p</w:t>
      </w:r>
      <w:r w:rsidRPr="009B4BC2">
        <w:rPr>
          <w:rFonts w:ascii="Times New Roman" w:hAnsi="Times New Roman" w:cs="Times New Roman"/>
          <w:sz w:val="24"/>
          <w:szCs w:val="24"/>
        </w:rPr>
        <w:t>ursuant to a Third Party Notice issued by the 1</w:t>
      </w:r>
      <w:r w:rsidRPr="009B4BC2">
        <w:rPr>
          <w:rFonts w:ascii="Times New Roman" w:hAnsi="Times New Roman" w:cs="Times New Roman"/>
          <w:sz w:val="24"/>
          <w:szCs w:val="24"/>
          <w:vertAlign w:val="superscript"/>
        </w:rPr>
        <w:t>st</w:t>
      </w:r>
      <w:r w:rsidRPr="009B4BC2">
        <w:rPr>
          <w:rFonts w:ascii="Times New Roman" w:hAnsi="Times New Roman" w:cs="Times New Roman"/>
          <w:sz w:val="24"/>
          <w:szCs w:val="24"/>
        </w:rPr>
        <w:t xml:space="preserve"> Defendant, Tajmal Limited and addressed to the Attorney General, the Commissioner of Lands through the said Attorney General was enjoined as a 3</w:t>
      </w:r>
      <w:r w:rsidRPr="009B4BC2">
        <w:rPr>
          <w:rFonts w:ascii="Times New Roman" w:hAnsi="Times New Roman" w:cs="Times New Roman"/>
          <w:sz w:val="24"/>
          <w:szCs w:val="24"/>
          <w:vertAlign w:val="superscript"/>
        </w:rPr>
        <w:t>rd</w:t>
      </w:r>
      <w:r w:rsidRPr="009B4BC2">
        <w:rPr>
          <w:rFonts w:ascii="Times New Roman" w:hAnsi="Times New Roman" w:cs="Times New Roman"/>
          <w:sz w:val="24"/>
          <w:szCs w:val="24"/>
        </w:rPr>
        <w:t xml:space="preserve"> party to the suit and the Attorney General filed a Third P</w:t>
      </w:r>
      <w:r>
        <w:rPr>
          <w:rFonts w:ascii="Times New Roman" w:hAnsi="Times New Roman" w:cs="Times New Roman"/>
          <w:sz w:val="24"/>
          <w:szCs w:val="24"/>
        </w:rPr>
        <w:t>arty Defence</w:t>
      </w:r>
      <w:r w:rsidRPr="009B4BC2">
        <w:rPr>
          <w:rFonts w:ascii="Times New Roman" w:hAnsi="Times New Roman" w:cs="Times New Roman"/>
          <w:sz w:val="24"/>
          <w:szCs w:val="24"/>
        </w:rPr>
        <w:t xml:space="preserve"> admitting that a mistake was made when two title deeds were issued in respect of the same parcel of land.  That it was Gitwany which contributed to the magnitude of the mistake and was partly to blame for that costly mistake as will become apparent later in this judgment.</w:t>
      </w:r>
    </w:p>
    <w:p w:rsidR="009B4BC2" w:rsidRDefault="009B4BC2" w:rsidP="009B4BC2">
      <w:pPr>
        <w:rPr>
          <w:rFonts w:ascii="Times New Roman" w:hAnsi="Times New Roman" w:cs="Times New Roman"/>
          <w:sz w:val="24"/>
          <w:szCs w:val="24"/>
        </w:rPr>
      </w:pPr>
      <w:r>
        <w:rPr>
          <w:rFonts w:ascii="Times New Roman" w:hAnsi="Times New Roman" w:cs="Times New Roman"/>
          <w:sz w:val="24"/>
          <w:szCs w:val="24"/>
        </w:rPr>
        <w:t xml:space="preserve">The court listed the following issues for determination; </w:t>
      </w:r>
    </w:p>
    <w:p w:rsidR="009B4BC2" w:rsidRPr="009B4BC2" w:rsidRDefault="009B4BC2" w:rsidP="009B4BC2">
      <w:pPr>
        <w:rPr>
          <w:rFonts w:ascii="Times New Roman" w:hAnsi="Times New Roman" w:cs="Times New Roman"/>
          <w:sz w:val="24"/>
          <w:szCs w:val="24"/>
        </w:rPr>
      </w:pPr>
      <w:r w:rsidRPr="009B4BC2">
        <w:rPr>
          <w:rFonts w:ascii="Times New Roman" w:hAnsi="Times New Roman" w:cs="Times New Roman"/>
          <w:sz w:val="24"/>
          <w:szCs w:val="24"/>
        </w:rPr>
        <w:t xml:space="preserve">  </w:t>
      </w:r>
      <w:r>
        <w:rPr>
          <w:rFonts w:ascii="Times New Roman" w:hAnsi="Times New Roman" w:cs="Times New Roman"/>
          <w:sz w:val="24"/>
          <w:szCs w:val="24"/>
        </w:rPr>
        <w:t xml:space="preserve">i)        </w:t>
      </w:r>
      <w:r w:rsidRPr="009B4BC2">
        <w:rPr>
          <w:rFonts w:ascii="Times New Roman" w:hAnsi="Times New Roman" w:cs="Times New Roman"/>
          <w:sz w:val="24"/>
          <w:szCs w:val="24"/>
        </w:rPr>
        <w:t>Is L.R. No. 209/3088 the same as L.R. No. 209/12004 or L.R.No.12004"</w:t>
      </w:r>
    </w:p>
    <w:p w:rsidR="009B4BC2" w:rsidRPr="009B4BC2" w:rsidRDefault="009B4BC2" w:rsidP="009B4BC2">
      <w:pPr>
        <w:rPr>
          <w:rFonts w:ascii="Times New Roman" w:hAnsi="Times New Roman" w:cs="Times New Roman"/>
          <w:sz w:val="24"/>
          <w:szCs w:val="24"/>
        </w:rPr>
      </w:pPr>
      <w:r w:rsidRPr="009B4BC2">
        <w:rPr>
          <w:rFonts w:ascii="Times New Roman" w:hAnsi="Times New Roman" w:cs="Times New Roman"/>
          <w:sz w:val="24"/>
          <w:szCs w:val="24"/>
        </w:rPr>
        <w:t xml:space="preserve"> ii)         If so, who is the lawfully registered proprietor thereof"</w:t>
      </w:r>
    </w:p>
    <w:p w:rsidR="009B4BC2" w:rsidRPr="009B4BC2" w:rsidRDefault="009B4BC2" w:rsidP="009B4BC2">
      <w:pPr>
        <w:rPr>
          <w:rFonts w:ascii="Times New Roman" w:hAnsi="Times New Roman" w:cs="Times New Roman"/>
          <w:sz w:val="24"/>
          <w:szCs w:val="24"/>
        </w:rPr>
      </w:pPr>
      <w:r w:rsidRPr="009B4BC2">
        <w:rPr>
          <w:rFonts w:ascii="Times New Roman" w:hAnsi="Times New Roman" w:cs="Times New Roman"/>
          <w:sz w:val="24"/>
          <w:szCs w:val="24"/>
        </w:rPr>
        <w:t xml:space="preserve"> iii)        Was any party fraudulent in the acquisition of title to the disputed land"</w:t>
      </w:r>
    </w:p>
    <w:p w:rsidR="009B4BC2" w:rsidRPr="009B4BC2" w:rsidRDefault="009B4BC2" w:rsidP="009B4BC2">
      <w:pPr>
        <w:rPr>
          <w:rFonts w:ascii="Times New Roman" w:hAnsi="Times New Roman" w:cs="Times New Roman"/>
          <w:sz w:val="24"/>
          <w:szCs w:val="24"/>
        </w:rPr>
      </w:pPr>
      <w:r w:rsidRPr="009B4BC2">
        <w:rPr>
          <w:rFonts w:ascii="Times New Roman" w:hAnsi="Times New Roman" w:cs="Times New Roman"/>
          <w:sz w:val="24"/>
          <w:szCs w:val="24"/>
        </w:rPr>
        <w:t xml:space="preserve"> iv)        Is the 1</w:t>
      </w:r>
      <w:r w:rsidRPr="009B4BC2">
        <w:rPr>
          <w:rFonts w:ascii="Times New Roman" w:hAnsi="Times New Roman" w:cs="Times New Roman"/>
          <w:sz w:val="24"/>
          <w:szCs w:val="24"/>
          <w:vertAlign w:val="superscript"/>
        </w:rPr>
        <w:t>st</w:t>
      </w:r>
      <w:r w:rsidRPr="009B4BC2">
        <w:rPr>
          <w:rFonts w:ascii="Times New Roman" w:hAnsi="Times New Roman" w:cs="Times New Roman"/>
          <w:sz w:val="24"/>
          <w:szCs w:val="24"/>
        </w:rPr>
        <w:t xml:space="preserve"> Defendant a trespasser on the land"</w:t>
      </w:r>
    </w:p>
    <w:p w:rsidR="009B4BC2" w:rsidRPr="009B4BC2" w:rsidRDefault="009B4BC2" w:rsidP="009B4BC2">
      <w:pPr>
        <w:rPr>
          <w:rFonts w:ascii="Times New Roman" w:hAnsi="Times New Roman" w:cs="Times New Roman"/>
          <w:sz w:val="24"/>
          <w:szCs w:val="24"/>
        </w:rPr>
      </w:pPr>
      <w:r w:rsidRPr="009B4BC2">
        <w:rPr>
          <w:rFonts w:ascii="Times New Roman" w:hAnsi="Times New Roman" w:cs="Times New Roman"/>
          <w:sz w:val="24"/>
          <w:szCs w:val="24"/>
        </w:rPr>
        <w:t xml:space="preserve"> v)         Is the Plaintiff entitled to its reliefs"</w:t>
      </w:r>
    </w:p>
    <w:p w:rsidR="009B4BC2" w:rsidRPr="009B4BC2" w:rsidRDefault="009B4BC2" w:rsidP="009B4BC2">
      <w:pPr>
        <w:rPr>
          <w:rFonts w:ascii="Times New Roman" w:hAnsi="Times New Roman" w:cs="Times New Roman"/>
          <w:sz w:val="24"/>
          <w:szCs w:val="24"/>
        </w:rPr>
      </w:pPr>
      <w:r w:rsidRPr="009B4BC2">
        <w:rPr>
          <w:rFonts w:ascii="Times New Roman" w:hAnsi="Times New Roman" w:cs="Times New Roman"/>
          <w:sz w:val="24"/>
          <w:szCs w:val="24"/>
        </w:rPr>
        <w:t xml:space="preserve"> vi)        Is the 1</w:t>
      </w:r>
      <w:r w:rsidRPr="009B4BC2">
        <w:rPr>
          <w:rFonts w:ascii="Times New Roman" w:hAnsi="Times New Roman" w:cs="Times New Roman"/>
          <w:sz w:val="24"/>
          <w:szCs w:val="24"/>
          <w:vertAlign w:val="superscript"/>
        </w:rPr>
        <w:t>st</w:t>
      </w:r>
      <w:r w:rsidRPr="009B4BC2">
        <w:rPr>
          <w:rFonts w:ascii="Times New Roman" w:hAnsi="Times New Roman" w:cs="Times New Roman"/>
          <w:sz w:val="24"/>
          <w:szCs w:val="24"/>
        </w:rPr>
        <w:t xml:space="preserve"> Defendants counter-claim valid"</w:t>
      </w:r>
    </w:p>
    <w:p w:rsidR="009B4BC2" w:rsidRPr="009B4BC2" w:rsidRDefault="009B4BC2" w:rsidP="009B4BC2">
      <w:pPr>
        <w:rPr>
          <w:rFonts w:ascii="Times New Roman" w:hAnsi="Times New Roman" w:cs="Times New Roman"/>
          <w:sz w:val="24"/>
          <w:szCs w:val="24"/>
        </w:rPr>
      </w:pPr>
      <w:r w:rsidRPr="009B4BC2">
        <w:rPr>
          <w:rFonts w:ascii="Times New Roman" w:hAnsi="Times New Roman" w:cs="Times New Roman"/>
          <w:sz w:val="24"/>
          <w:szCs w:val="24"/>
        </w:rPr>
        <w:t xml:space="preserve"> vii)       Is the 3</w:t>
      </w:r>
      <w:r w:rsidRPr="009B4BC2">
        <w:rPr>
          <w:rFonts w:ascii="Times New Roman" w:hAnsi="Times New Roman" w:cs="Times New Roman"/>
          <w:sz w:val="24"/>
          <w:szCs w:val="24"/>
          <w:vertAlign w:val="superscript"/>
        </w:rPr>
        <w:t>rd</w:t>
      </w:r>
      <w:r w:rsidRPr="009B4BC2">
        <w:rPr>
          <w:rFonts w:ascii="Times New Roman" w:hAnsi="Times New Roman" w:cs="Times New Roman"/>
          <w:sz w:val="24"/>
          <w:szCs w:val="24"/>
        </w:rPr>
        <w:t xml:space="preserve"> party liable to the 1</w:t>
      </w:r>
      <w:r w:rsidRPr="009B4BC2">
        <w:rPr>
          <w:rFonts w:ascii="Times New Roman" w:hAnsi="Times New Roman" w:cs="Times New Roman"/>
          <w:sz w:val="24"/>
          <w:szCs w:val="24"/>
          <w:vertAlign w:val="superscript"/>
        </w:rPr>
        <w:t>st</w:t>
      </w:r>
      <w:r w:rsidRPr="009B4BC2">
        <w:rPr>
          <w:rFonts w:ascii="Times New Roman" w:hAnsi="Times New Roman" w:cs="Times New Roman"/>
          <w:sz w:val="24"/>
          <w:szCs w:val="24"/>
        </w:rPr>
        <w:t xml:space="preserve"> Defendant as stated in the 3</w:t>
      </w:r>
      <w:r w:rsidRPr="009B4BC2">
        <w:rPr>
          <w:rFonts w:ascii="Times New Roman" w:hAnsi="Times New Roman" w:cs="Times New Roman"/>
          <w:sz w:val="24"/>
          <w:szCs w:val="24"/>
          <w:vertAlign w:val="superscript"/>
        </w:rPr>
        <w:t>rd</w:t>
      </w:r>
      <w:r w:rsidRPr="009B4BC2">
        <w:rPr>
          <w:rFonts w:ascii="Times New Roman" w:hAnsi="Times New Roman" w:cs="Times New Roman"/>
          <w:sz w:val="24"/>
          <w:szCs w:val="24"/>
        </w:rPr>
        <w:t xml:space="preserve"> party Notice"</w:t>
      </w:r>
    </w:p>
    <w:p w:rsidR="00FC13F0" w:rsidRDefault="009B4BC2" w:rsidP="00FC13F0">
      <w:pPr>
        <w:rPr>
          <w:rFonts w:ascii="Times New Roman" w:hAnsi="Times New Roman" w:cs="Times New Roman"/>
          <w:sz w:val="24"/>
          <w:szCs w:val="24"/>
        </w:rPr>
      </w:pPr>
      <w:r w:rsidRPr="009B4BC2">
        <w:rPr>
          <w:rFonts w:ascii="Times New Roman" w:hAnsi="Times New Roman" w:cs="Times New Roman"/>
          <w:sz w:val="24"/>
          <w:szCs w:val="24"/>
        </w:rPr>
        <w:t xml:space="preserve"> viii)      Costs.</w:t>
      </w:r>
    </w:p>
    <w:p w:rsidR="009B4BC2" w:rsidRDefault="009B4BC2" w:rsidP="00FC13F0">
      <w:pPr>
        <w:rPr>
          <w:rFonts w:ascii="Times New Roman" w:hAnsi="Times New Roman" w:cs="Times New Roman"/>
          <w:sz w:val="24"/>
          <w:szCs w:val="24"/>
        </w:rPr>
      </w:pPr>
    </w:p>
    <w:p w:rsidR="00FC13F0" w:rsidRDefault="00FC13F0" w:rsidP="00FC13F0">
      <w:pPr>
        <w:rPr>
          <w:rFonts w:ascii="Times New Roman" w:hAnsi="Times New Roman" w:cs="Times New Roman"/>
          <w:sz w:val="24"/>
          <w:szCs w:val="24"/>
        </w:rPr>
      </w:pPr>
      <w:r>
        <w:rPr>
          <w:rFonts w:ascii="Times New Roman" w:hAnsi="Times New Roman" w:cs="Times New Roman"/>
          <w:sz w:val="24"/>
          <w:szCs w:val="24"/>
        </w:rPr>
        <w:t xml:space="preserve">Arising from the analysis of the case, the following pointers arise as key areas of interest for this case analysis; </w:t>
      </w:r>
    </w:p>
    <w:p w:rsidR="00FC13F0" w:rsidRDefault="00FC13F0" w:rsidP="00FC13F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There were two allotment letters issued in reference to t</w:t>
      </w:r>
      <w:r w:rsidR="006820D0">
        <w:rPr>
          <w:rFonts w:ascii="Times New Roman" w:hAnsi="Times New Roman" w:cs="Times New Roman"/>
          <w:sz w:val="24"/>
          <w:szCs w:val="24"/>
        </w:rPr>
        <w:t xml:space="preserve">he land in question, one to O.M </w:t>
      </w:r>
      <w:r w:rsidR="00A97EFC">
        <w:rPr>
          <w:rFonts w:ascii="Times New Roman" w:hAnsi="Times New Roman" w:cs="Times New Roman"/>
          <w:sz w:val="24"/>
          <w:szCs w:val="24"/>
        </w:rPr>
        <w:t>Nzili &amp;</w:t>
      </w:r>
      <w:r w:rsidR="006820D0">
        <w:rPr>
          <w:rFonts w:ascii="Times New Roman" w:hAnsi="Times New Roman" w:cs="Times New Roman"/>
          <w:sz w:val="24"/>
          <w:szCs w:val="24"/>
        </w:rPr>
        <w:t xml:space="preserve"> Tata Joint Services and the second to Maxtioners Limited and Georfry Njage. </w:t>
      </w:r>
    </w:p>
    <w:p w:rsidR="006820D0" w:rsidRDefault="006820D0" w:rsidP="00FC13F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There is inconsistency on the actual size of the land and two conflicting figures of 0.404 ha and 0.386 ha are presented. </w:t>
      </w:r>
    </w:p>
    <w:p w:rsidR="006820D0" w:rsidRDefault="006820D0" w:rsidP="00FC13F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Deed plan which always should accompany every title showed different details form those in the title. </w:t>
      </w:r>
    </w:p>
    <w:p w:rsidR="006820D0" w:rsidRDefault="006820D0" w:rsidP="00FC13F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Title deed held by Gitwany stated falsely that L.R No 12004 appear on the deed plan despite the deed reading L.R. No 209/12004 meaning it was not for the said parcel. </w:t>
      </w:r>
    </w:p>
    <w:p w:rsidR="006820D0" w:rsidRDefault="006820D0" w:rsidP="00FC13F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On a reevaluation, the price of the land short from Ksh, 47 million to 165 million which was an anomaly since all this happened in a single day thereby increasing eyebrows. </w:t>
      </w:r>
    </w:p>
    <w:p w:rsidR="00A97EFC" w:rsidRDefault="00A97EFC" w:rsidP="00A97EFC">
      <w:pPr>
        <w:rPr>
          <w:rFonts w:ascii="Times New Roman" w:hAnsi="Times New Roman" w:cs="Times New Roman"/>
          <w:b/>
          <w:sz w:val="24"/>
          <w:szCs w:val="24"/>
        </w:rPr>
      </w:pPr>
      <w:r>
        <w:rPr>
          <w:rFonts w:ascii="Times New Roman" w:hAnsi="Times New Roman" w:cs="Times New Roman"/>
          <w:b/>
          <w:sz w:val="24"/>
          <w:szCs w:val="24"/>
        </w:rPr>
        <w:t xml:space="preserve">Court’s Holding </w:t>
      </w:r>
    </w:p>
    <w:p w:rsidR="00A97EFC" w:rsidRPr="00A97EFC" w:rsidRDefault="00A97EFC" w:rsidP="00A97EFC">
      <w:pPr>
        <w:rPr>
          <w:rFonts w:ascii="Times New Roman" w:hAnsi="Times New Roman" w:cs="Times New Roman"/>
          <w:sz w:val="24"/>
          <w:szCs w:val="24"/>
        </w:rPr>
      </w:pPr>
      <w:r>
        <w:rPr>
          <w:rFonts w:ascii="Times New Roman" w:hAnsi="Times New Roman" w:cs="Times New Roman"/>
          <w:sz w:val="24"/>
          <w:szCs w:val="24"/>
        </w:rPr>
        <w:t xml:space="preserve">The court held that the plaintiff (Gitwany Investment ltd.) was the bona fide owner of land L.R. 209/12004 formally land L.R. 209/3088. The court also found that the title that Tajmal ltd. claim over the land is invalid and ordered the registrar of land to cancel it within three months. </w:t>
      </w:r>
      <w:r w:rsidR="009B4BC2">
        <w:rPr>
          <w:rFonts w:ascii="Times New Roman" w:hAnsi="Times New Roman" w:cs="Times New Roman"/>
          <w:sz w:val="24"/>
          <w:szCs w:val="24"/>
        </w:rPr>
        <w:t xml:space="preserve">Accordingly, they were ordered to cease their occupation of the land and take down their properties within 90 days. </w:t>
      </w:r>
      <w:r>
        <w:rPr>
          <w:rFonts w:ascii="Times New Roman" w:hAnsi="Times New Roman" w:cs="Times New Roman"/>
          <w:sz w:val="24"/>
          <w:szCs w:val="24"/>
        </w:rPr>
        <w:t xml:space="preserve">The court further issued a permanent injunction against the first defendant form further erecting any structures or fences, engaging in any construction in the suit land. </w:t>
      </w:r>
      <w:r w:rsidR="009B4BC2">
        <w:rPr>
          <w:rFonts w:ascii="Times New Roman" w:hAnsi="Times New Roman" w:cs="Times New Roman"/>
          <w:sz w:val="24"/>
          <w:szCs w:val="24"/>
        </w:rPr>
        <w:t xml:space="preserve">The third party (Registrar) was also ordered to take care of all the demolition costs and refund the First defendant an amount of </w:t>
      </w:r>
      <w:r w:rsidR="009B4BC2">
        <w:rPr>
          <w:rFonts w:ascii="Optima" w:hAnsi="Optima" w:cs="Optima"/>
          <w:sz w:val="24"/>
          <w:szCs w:val="24"/>
        </w:rPr>
        <w:t>Ksh. 151,500,000/= being the costs and expenses incurred in the purchase and improvements of the suit land</w:t>
      </w:r>
      <w:r w:rsidR="009B4BC2">
        <w:rPr>
          <w:rFonts w:ascii="Times New Roman" w:hAnsi="Times New Roman" w:cs="Times New Roman"/>
          <w:sz w:val="24"/>
          <w:szCs w:val="24"/>
        </w:rPr>
        <w:t xml:space="preserve"> </w:t>
      </w:r>
    </w:p>
    <w:p w:rsidR="006820D0" w:rsidRDefault="006820D0" w:rsidP="006820D0">
      <w:pPr>
        <w:rPr>
          <w:rFonts w:ascii="Times New Roman" w:hAnsi="Times New Roman" w:cs="Times New Roman"/>
          <w:b/>
          <w:sz w:val="24"/>
          <w:szCs w:val="24"/>
        </w:rPr>
      </w:pPr>
      <w:r>
        <w:rPr>
          <w:rFonts w:ascii="Times New Roman" w:hAnsi="Times New Roman" w:cs="Times New Roman"/>
          <w:b/>
          <w:sz w:val="24"/>
          <w:szCs w:val="24"/>
        </w:rPr>
        <w:t xml:space="preserve">Basic Principles of Conveyancing Evident in the Case </w:t>
      </w:r>
    </w:p>
    <w:p w:rsidR="006820D0" w:rsidRDefault="006820D0" w:rsidP="006820D0">
      <w:pPr>
        <w:pStyle w:val="ListParagraph"/>
        <w:numPr>
          <w:ilvl w:val="0"/>
          <w:numId w:val="7"/>
        </w:numPr>
        <w:rPr>
          <w:rFonts w:ascii="Times New Roman" w:hAnsi="Times New Roman" w:cs="Times New Roman"/>
          <w:b/>
          <w:sz w:val="24"/>
          <w:szCs w:val="24"/>
        </w:rPr>
      </w:pPr>
      <w:r>
        <w:rPr>
          <w:rFonts w:ascii="Times New Roman" w:hAnsi="Times New Roman" w:cs="Times New Roman"/>
          <w:b/>
          <w:sz w:val="24"/>
          <w:szCs w:val="24"/>
        </w:rPr>
        <w:t xml:space="preserve">Indefeasibility of Title </w:t>
      </w:r>
    </w:p>
    <w:p w:rsidR="006820D0" w:rsidRDefault="006820D0" w:rsidP="006820D0">
      <w:pPr>
        <w:rPr>
          <w:rFonts w:ascii="Times New Roman" w:hAnsi="Times New Roman" w:cs="Times New Roman"/>
          <w:sz w:val="24"/>
          <w:szCs w:val="24"/>
        </w:rPr>
      </w:pPr>
      <w:r>
        <w:rPr>
          <w:rFonts w:ascii="Times New Roman" w:hAnsi="Times New Roman" w:cs="Times New Roman"/>
          <w:sz w:val="24"/>
          <w:szCs w:val="24"/>
        </w:rPr>
        <w:t xml:space="preserve">This principle protects the interests of the title holder. In the past regime, it was enshrined in section 23 of the RTA and equity. </w:t>
      </w:r>
      <w:r w:rsidR="009B4BC2">
        <w:rPr>
          <w:rFonts w:ascii="Times New Roman" w:hAnsi="Times New Roman" w:cs="Times New Roman"/>
          <w:sz w:val="24"/>
          <w:szCs w:val="24"/>
        </w:rPr>
        <w:t xml:space="preserve">This provision is replicated in sections 24, 25, 26 and 27 of the LRA. </w:t>
      </w:r>
    </w:p>
    <w:p w:rsidR="009B4BC2" w:rsidRDefault="009B4BC2" w:rsidP="009B4BC2">
      <w:pPr>
        <w:rPr>
          <w:rFonts w:ascii="Times New Roman" w:hAnsi="Times New Roman" w:cs="Times New Roman"/>
          <w:i/>
          <w:sz w:val="24"/>
          <w:szCs w:val="24"/>
        </w:rPr>
      </w:pPr>
      <w:r w:rsidRPr="009B4BC2">
        <w:rPr>
          <w:rFonts w:ascii="Times New Roman" w:hAnsi="Times New Roman" w:cs="Times New Roman"/>
          <w:i/>
          <w:sz w:val="24"/>
          <w:szCs w:val="24"/>
        </w:rPr>
        <w:t>“The certificate of title issued by the registrar to a purchaser of land upon a transfer or transmission by the proprietor thereof shall be taken by all courts as conclusive evidence that the person named therein as proprietor of the land is the absolute and indefeasible owner thereof, subject to the encumbrances, easements restrictions and conditions contained therein or endorsed  thereon, and the title of that proprietor shall not be subject to challenge, except on the ground of fraud or misrepresentation to which he is proved to be a party.”</w:t>
      </w:r>
    </w:p>
    <w:p w:rsidR="009736FF" w:rsidRPr="009736FF" w:rsidRDefault="009736FF" w:rsidP="009B4BC2">
      <w:pPr>
        <w:rPr>
          <w:rFonts w:ascii="Times New Roman" w:hAnsi="Times New Roman" w:cs="Times New Roman"/>
          <w:sz w:val="24"/>
          <w:szCs w:val="24"/>
        </w:rPr>
      </w:pPr>
    </w:p>
    <w:p w:rsidR="006820D0" w:rsidRDefault="006820D0" w:rsidP="006820D0">
      <w:pPr>
        <w:pStyle w:val="ListParagraph"/>
        <w:numPr>
          <w:ilvl w:val="0"/>
          <w:numId w:val="7"/>
        </w:numPr>
        <w:rPr>
          <w:rFonts w:ascii="Times New Roman" w:hAnsi="Times New Roman" w:cs="Times New Roman"/>
          <w:b/>
          <w:sz w:val="24"/>
          <w:szCs w:val="24"/>
        </w:rPr>
      </w:pPr>
      <w:r>
        <w:rPr>
          <w:rFonts w:ascii="Times New Roman" w:hAnsi="Times New Roman" w:cs="Times New Roman"/>
          <w:b/>
          <w:sz w:val="24"/>
          <w:szCs w:val="24"/>
        </w:rPr>
        <w:t xml:space="preserve">Application of Equitable Principles </w:t>
      </w:r>
    </w:p>
    <w:p w:rsidR="006820D0" w:rsidRDefault="00FB6EB2" w:rsidP="006820D0">
      <w:pPr>
        <w:rPr>
          <w:rFonts w:ascii="Times New Roman" w:hAnsi="Times New Roman" w:cs="Times New Roman"/>
          <w:i/>
          <w:sz w:val="24"/>
          <w:szCs w:val="24"/>
        </w:rPr>
      </w:pPr>
      <w:r>
        <w:rPr>
          <w:rFonts w:ascii="Times New Roman" w:hAnsi="Times New Roman" w:cs="Times New Roman"/>
          <w:sz w:val="24"/>
          <w:szCs w:val="24"/>
        </w:rPr>
        <w:t xml:space="preserve">This case used the equitable principle that first in time prevails. In making this finding, justice Lenaola stated that “if it was legal, procedural and only with the mistake that the proprietor is not party to, then the title should stand.” This was the holding in </w:t>
      </w:r>
      <w:r>
        <w:rPr>
          <w:rFonts w:ascii="Times New Roman" w:hAnsi="Times New Roman" w:cs="Times New Roman"/>
          <w:i/>
          <w:sz w:val="24"/>
          <w:szCs w:val="24"/>
        </w:rPr>
        <w:t>Faraj Maharus V JB Martin Glass Industries &amp; 3 others</w:t>
      </w:r>
      <w:r>
        <w:rPr>
          <w:rStyle w:val="FootnoteReference"/>
          <w:rFonts w:ascii="Times New Roman" w:hAnsi="Times New Roman" w:cs="Times New Roman"/>
          <w:i/>
          <w:sz w:val="24"/>
          <w:szCs w:val="24"/>
        </w:rPr>
        <w:footnoteReference w:id="3"/>
      </w:r>
    </w:p>
    <w:p w:rsidR="00822EFC" w:rsidRDefault="009B4BC2" w:rsidP="00822EFC">
      <w:pPr>
        <w:rPr>
          <w:rFonts w:ascii="Times New Roman" w:hAnsi="Times New Roman" w:cs="Times New Roman"/>
          <w:sz w:val="24"/>
          <w:szCs w:val="24"/>
        </w:rPr>
      </w:pPr>
      <w:r>
        <w:rPr>
          <w:rFonts w:ascii="Times New Roman" w:hAnsi="Times New Roman" w:cs="Times New Roman"/>
          <w:sz w:val="24"/>
          <w:szCs w:val="24"/>
        </w:rPr>
        <w:t>Regarding the issue of</w:t>
      </w:r>
      <w:r>
        <w:rPr>
          <w:rFonts w:ascii="Times New Roman" w:hAnsi="Times New Roman" w:cs="Times New Roman"/>
          <w:b/>
          <w:sz w:val="24"/>
          <w:szCs w:val="24"/>
        </w:rPr>
        <w:t xml:space="preserve"> Mesne Profit, </w:t>
      </w:r>
      <w:r>
        <w:rPr>
          <w:rFonts w:ascii="Times New Roman" w:hAnsi="Times New Roman" w:cs="Times New Roman"/>
          <w:sz w:val="24"/>
          <w:szCs w:val="24"/>
        </w:rPr>
        <w:t>the court declined the invitation since it was not properly founded.  Again, it could not be applicable sinc</w:t>
      </w:r>
      <w:r w:rsidR="00822EFC">
        <w:rPr>
          <w:rFonts w:ascii="Times New Roman" w:hAnsi="Times New Roman" w:cs="Times New Roman"/>
          <w:sz w:val="24"/>
          <w:szCs w:val="24"/>
        </w:rPr>
        <w:t>e the court established all fault lie with the land registrar.</w:t>
      </w:r>
    </w:p>
    <w:p w:rsidR="00FB6EB2" w:rsidRPr="00FB6EB2" w:rsidRDefault="00FB6EB2" w:rsidP="00822EFC">
      <w:pPr>
        <w:rPr>
          <w:rFonts w:ascii="Times New Roman" w:hAnsi="Times New Roman" w:cs="Times New Roman"/>
          <w:b/>
          <w:sz w:val="24"/>
          <w:szCs w:val="24"/>
        </w:rPr>
      </w:pPr>
      <w:r>
        <w:rPr>
          <w:rFonts w:ascii="Times New Roman" w:hAnsi="Times New Roman" w:cs="Times New Roman"/>
          <w:b/>
          <w:sz w:val="24"/>
          <w:szCs w:val="24"/>
        </w:rPr>
        <w:t xml:space="preserve">Mandatory Due Diligence </w:t>
      </w:r>
    </w:p>
    <w:p w:rsidR="009B4BC2" w:rsidRDefault="009B4BC2" w:rsidP="00226D34">
      <w:pPr>
        <w:rPr>
          <w:rFonts w:ascii="Times New Roman" w:hAnsi="Times New Roman" w:cs="Times New Roman"/>
          <w:sz w:val="24"/>
          <w:szCs w:val="24"/>
        </w:rPr>
      </w:pPr>
      <w:r>
        <w:rPr>
          <w:rFonts w:ascii="Times New Roman" w:hAnsi="Times New Roman" w:cs="Times New Roman"/>
          <w:sz w:val="24"/>
          <w:szCs w:val="24"/>
        </w:rPr>
        <w:t xml:space="preserve">Mandatory due diligence is the process of investigating the ownership of the property before entering a contract. It serves the obvious purposes of making parties enter into contracts with the full and sufficient information they need. Mandatory due diligence involves; </w:t>
      </w:r>
    </w:p>
    <w:p w:rsidR="009B4BC2" w:rsidRDefault="009B4BC2" w:rsidP="009B4BC2">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Searches; official searches, historical searches. Personal searches not preferred. </w:t>
      </w:r>
    </w:p>
    <w:p w:rsidR="009B4BC2" w:rsidRDefault="009B4BC2" w:rsidP="009B4BC2">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Pre- Contract Inquiry- relates to physical condition of the property, its location and how well the contractual values represents it. </w:t>
      </w:r>
    </w:p>
    <w:p w:rsidR="009B4BC2" w:rsidRPr="009B4BC2" w:rsidRDefault="009B4BC2" w:rsidP="009B4BC2">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Requisitions; conversation with another lawyer about the condition of the property, rates, charges, or any other encumbrances. </w:t>
      </w:r>
    </w:p>
    <w:p w:rsidR="00226D34" w:rsidRDefault="009B4BC2" w:rsidP="00226D34">
      <w:pPr>
        <w:rPr>
          <w:rFonts w:ascii="Times New Roman" w:hAnsi="Times New Roman" w:cs="Times New Roman"/>
          <w:sz w:val="24"/>
          <w:szCs w:val="24"/>
        </w:rPr>
      </w:pPr>
      <w:r>
        <w:rPr>
          <w:rFonts w:ascii="Times New Roman" w:hAnsi="Times New Roman" w:cs="Times New Roman"/>
          <w:sz w:val="24"/>
          <w:szCs w:val="24"/>
        </w:rPr>
        <w:t xml:space="preserve">There is a glaring lack of mandatory due diligence in the case. The First defendant did not conduct proper searches to establish the ownership of the land thus entering into a contract for sale of land which was already owned by another person. </w:t>
      </w:r>
    </w:p>
    <w:p w:rsidR="009B4BC2" w:rsidRPr="00226D34" w:rsidRDefault="009B4BC2" w:rsidP="00226D34">
      <w:pPr>
        <w:rPr>
          <w:rFonts w:ascii="Times New Roman" w:hAnsi="Times New Roman" w:cs="Times New Roman"/>
          <w:sz w:val="24"/>
          <w:szCs w:val="24"/>
        </w:rPr>
      </w:pPr>
      <w:r>
        <w:rPr>
          <w:rFonts w:ascii="Times New Roman" w:hAnsi="Times New Roman" w:cs="Times New Roman"/>
          <w:sz w:val="24"/>
          <w:szCs w:val="24"/>
        </w:rPr>
        <w:t xml:space="preserve">The summary of the case is that </w:t>
      </w:r>
      <w:r>
        <w:rPr>
          <w:rFonts w:ascii="Optima" w:hAnsi="Optima" w:cs="Optima"/>
          <w:sz w:val="24"/>
          <w:szCs w:val="24"/>
        </w:rPr>
        <w:t xml:space="preserve">where the Commissioner of Lands issued a title to different parties without canceling the prior existing and validly acquired title by the plaintiff-validity of titles. </w:t>
      </w:r>
    </w:p>
    <w:sectPr w:rsidR="009B4BC2" w:rsidRPr="00226D3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3622B" w:rsidRDefault="00A3622B" w:rsidP="00226D34">
      <w:pPr>
        <w:spacing w:after="0" w:line="240" w:lineRule="auto"/>
      </w:pPr>
      <w:r>
        <w:separator/>
      </w:r>
    </w:p>
  </w:endnote>
  <w:endnote w:type="continuationSeparator" w:id="0">
    <w:p w:rsidR="00A3622B" w:rsidRDefault="00A3622B" w:rsidP="00226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02FF" w:usb1="4000ACFF" w:usb2="00000001" w:usb3="00000000" w:csb0="0000019F" w:csb1="00000000"/>
  </w:font>
  <w:font w:name="Optima">
    <w:altName w:val="Times New Roman"/>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3622B" w:rsidRDefault="00A3622B" w:rsidP="00226D34">
      <w:pPr>
        <w:spacing w:after="0" w:line="240" w:lineRule="auto"/>
      </w:pPr>
      <w:r>
        <w:separator/>
      </w:r>
    </w:p>
  </w:footnote>
  <w:footnote w:type="continuationSeparator" w:id="0">
    <w:p w:rsidR="00A3622B" w:rsidRDefault="00A3622B" w:rsidP="00226D34">
      <w:pPr>
        <w:spacing w:after="0" w:line="240" w:lineRule="auto"/>
      </w:pPr>
      <w:r>
        <w:continuationSeparator/>
      </w:r>
    </w:p>
  </w:footnote>
  <w:footnote w:id="1">
    <w:p w:rsidR="00226D34" w:rsidRPr="00B16E16" w:rsidRDefault="00226D34" w:rsidP="00226D34">
      <w:pPr>
        <w:pStyle w:val="FootnoteText"/>
        <w:rPr>
          <w:rFonts w:ascii="Times New Roman" w:hAnsi="Times New Roman" w:cs="Times New Roman"/>
        </w:rPr>
      </w:pPr>
      <w:r w:rsidRPr="00B16E16">
        <w:rPr>
          <w:rStyle w:val="FootnoteReference"/>
          <w:rFonts w:ascii="Times New Roman" w:hAnsi="Times New Roman" w:cs="Times New Roman"/>
        </w:rPr>
        <w:footnoteRef/>
      </w:r>
      <w:r w:rsidRPr="00B16E16">
        <w:rPr>
          <w:rFonts w:ascii="Times New Roman" w:hAnsi="Times New Roman" w:cs="Times New Roman"/>
        </w:rPr>
        <w:t xml:space="preserve"> Chapter 23, Laws of Kenya</w:t>
      </w:r>
    </w:p>
  </w:footnote>
  <w:footnote w:id="2">
    <w:p w:rsidR="00A97EFC" w:rsidRDefault="00A97EFC">
      <w:pPr>
        <w:pStyle w:val="FootnoteText"/>
      </w:pPr>
      <w:r>
        <w:rPr>
          <w:rStyle w:val="FootnoteReference"/>
        </w:rPr>
        <w:footnoteRef/>
      </w:r>
      <w:r>
        <w:t xml:space="preserve"> </w:t>
      </w:r>
      <w:r w:rsidRPr="00A97EFC">
        <w:t>Civil Suit 1114 of 2002</w:t>
      </w:r>
    </w:p>
  </w:footnote>
  <w:footnote w:id="3">
    <w:p w:rsidR="00FB6EB2" w:rsidRDefault="00FB6EB2">
      <w:pPr>
        <w:pStyle w:val="FootnoteText"/>
      </w:pPr>
      <w:r>
        <w:rPr>
          <w:rStyle w:val="FootnoteReference"/>
        </w:rPr>
        <w:footnoteRef/>
      </w:r>
      <w:r>
        <w:t xml:space="preserve"> CA 1020/2003 (Unreported).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3920717"/>
      <w:docPartObj>
        <w:docPartGallery w:val="Page Numbers (Top of Page)"/>
        <w:docPartUnique/>
      </w:docPartObj>
    </w:sdtPr>
    <w:sdtEndPr>
      <w:rPr>
        <w:noProof/>
      </w:rPr>
    </w:sdtEndPr>
    <w:sdtContent>
      <w:p w:rsidR="00226D34" w:rsidRDefault="00226D34">
        <w:pPr>
          <w:pStyle w:val="Header"/>
          <w:jc w:val="right"/>
        </w:pPr>
        <w:r w:rsidRPr="00226D34">
          <w:rPr>
            <w:rFonts w:ascii="Times New Roman" w:hAnsi="Times New Roman" w:cs="Times New Roman"/>
            <w:sz w:val="24"/>
            <w:szCs w:val="24"/>
          </w:rPr>
          <w:fldChar w:fldCharType="begin"/>
        </w:r>
        <w:r w:rsidRPr="00226D34">
          <w:rPr>
            <w:rFonts w:ascii="Times New Roman" w:hAnsi="Times New Roman" w:cs="Times New Roman"/>
            <w:sz w:val="24"/>
            <w:szCs w:val="24"/>
          </w:rPr>
          <w:instrText xml:space="preserve"> PAGE   \* MERGEFORMAT </w:instrText>
        </w:r>
        <w:r w:rsidRPr="00226D34">
          <w:rPr>
            <w:rFonts w:ascii="Times New Roman" w:hAnsi="Times New Roman" w:cs="Times New Roman"/>
            <w:sz w:val="24"/>
            <w:szCs w:val="24"/>
          </w:rPr>
          <w:fldChar w:fldCharType="separate"/>
        </w:r>
        <w:r w:rsidR="008A290F">
          <w:rPr>
            <w:rFonts w:ascii="Times New Roman" w:hAnsi="Times New Roman" w:cs="Times New Roman"/>
            <w:noProof/>
            <w:sz w:val="24"/>
            <w:szCs w:val="24"/>
          </w:rPr>
          <w:t>2</w:t>
        </w:r>
        <w:r w:rsidRPr="00226D34">
          <w:rPr>
            <w:rFonts w:ascii="Times New Roman" w:hAnsi="Times New Roman" w:cs="Times New Roman"/>
            <w:noProof/>
            <w:sz w:val="24"/>
            <w:szCs w:val="24"/>
          </w:rPr>
          <w:fldChar w:fldCharType="end"/>
        </w:r>
      </w:p>
    </w:sdtContent>
  </w:sdt>
  <w:p w:rsidR="00226D34" w:rsidRDefault="00226D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D56E4"/>
    <w:multiLevelType w:val="hybridMultilevel"/>
    <w:tmpl w:val="7EC256F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F5C0218"/>
    <w:multiLevelType w:val="hybridMultilevel"/>
    <w:tmpl w:val="18B09CD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4C27AAC"/>
    <w:multiLevelType w:val="hybridMultilevel"/>
    <w:tmpl w:val="BC56BCC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FF24DF1"/>
    <w:multiLevelType w:val="hybridMultilevel"/>
    <w:tmpl w:val="F67ED5F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CDB7B2C"/>
    <w:multiLevelType w:val="hybridMultilevel"/>
    <w:tmpl w:val="5434A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2E54FD"/>
    <w:multiLevelType w:val="hybridMultilevel"/>
    <w:tmpl w:val="C3AC53EC"/>
    <w:lvl w:ilvl="0" w:tplc="0186B8DA">
      <w:start w:val="1"/>
      <w:numFmt w:val="decimal"/>
      <w:lvlText w:val="%1."/>
      <w:lvlJc w:val="left"/>
      <w:pPr>
        <w:ind w:left="720" w:hanging="360"/>
      </w:pPr>
      <w:rPr>
        <w:rFonts w:ascii="Palatino Linotype" w:eastAsiaTheme="minorHAnsi" w:hAnsi="Palatino Linotype"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092F93"/>
    <w:multiLevelType w:val="hybridMultilevel"/>
    <w:tmpl w:val="AEBAB744"/>
    <w:lvl w:ilvl="0" w:tplc="0409001B">
      <w:start w:val="1"/>
      <w:numFmt w:val="lowerRoman"/>
      <w:lvlText w:val="%1."/>
      <w:lvlJc w:val="righ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7" w15:restartNumberingAfterBreak="0">
    <w:nsid w:val="4A5C705B"/>
    <w:multiLevelType w:val="hybridMultilevel"/>
    <w:tmpl w:val="742C3B26"/>
    <w:lvl w:ilvl="0" w:tplc="28220D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0874AE"/>
    <w:multiLevelType w:val="hybridMultilevel"/>
    <w:tmpl w:val="C6425396"/>
    <w:lvl w:ilvl="0" w:tplc="4C0E0A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7215CE"/>
    <w:multiLevelType w:val="hybridMultilevel"/>
    <w:tmpl w:val="8856EED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43692977">
    <w:abstractNumId w:val="5"/>
  </w:num>
  <w:num w:numId="2" w16cid:durableId="1973947676">
    <w:abstractNumId w:val="2"/>
  </w:num>
  <w:num w:numId="3" w16cid:durableId="333921152">
    <w:abstractNumId w:val="4"/>
  </w:num>
  <w:num w:numId="4" w16cid:durableId="1890609145">
    <w:abstractNumId w:val="3"/>
  </w:num>
  <w:num w:numId="5" w16cid:durableId="562523962">
    <w:abstractNumId w:val="6"/>
  </w:num>
  <w:num w:numId="6" w16cid:durableId="1565066834">
    <w:abstractNumId w:val="9"/>
  </w:num>
  <w:num w:numId="7" w16cid:durableId="304168013">
    <w:abstractNumId w:val="7"/>
  </w:num>
  <w:num w:numId="8" w16cid:durableId="1897737615">
    <w:abstractNumId w:val="1"/>
  </w:num>
  <w:num w:numId="9" w16cid:durableId="1709986664">
    <w:abstractNumId w:val="0"/>
  </w:num>
  <w:num w:numId="10" w16cid:durableId="17360781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91C"/>
    <w:rsid w:val="001348A4"/>
    <w:rsid w:val="00226D34"/>
    <w:rsid w:val="003515CE"/>
    <w:rsid w:val="00626A92"/>
    <w:rsid w:val="006820D0"/>
    <w:rsid w:val="00822EFC"/>
    <w:rsid w:val="008A290F"/>
    <w:rsid w:val="009736FF"/>
    <w:rsid w:val="009B4BC2"/>
    <w:rsid w:val="00A3622B"/>
    <w:rsid w:val="00A97EFC"/>
    <w:rsid w:val="00EE691C"/>
    <w:rsid w:val="00FB6EB2"/>
    <w:rsid w:val="00FC13F0"/>
    <w:rsid w:val="00FC7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894F1D-552D-4F06-AB8C-7B7F641DA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6D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6D34"/>
  </w:style>
  <w:style w:type="paragraph" w:styleId="Footer">
    <w:name w:val="footer"/>
    <w:basedOn w:val="Normal"/>
    <w:link w:val="FooterChar"/>
    <w:uiPriority w:val="99"/>
    <w:unhideWhenUsed/>
    <w:rsid w:val="00226D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D34"/>
  </w:style>
  <w:style w:type="paragraph" w:styleId="ListParagraph">
    <w:name w:val="List Paragraph"/>
    <w:basedOn w:val="Normal"/>
    <w:uiPriority w:val="34"/>
    <w:qFormat/>
    <w:rsid w:val="00226D34"/>
    <w:pPr>
      <w:ind w:left="720"/>
      <w:contextualSpacing/>
    </w:pPr>
  </w:style>
  <w:style w:type="paragraph" w:styleId="FootnoteText">
    <w:name w:val="footnote text"/>
    <w:basedOn w:val="Normal"/>
    <w:link w:val="FootnoteTextChar"/>
    <w:uiPriority w:val="99"/>
    <w:semiHidden/>
    <w:unhideWhenUsed/>
    <w:rsid w:val="00226D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26D34"/>
    <w:rPr>
      <w:sz w:val="20"/>
      <w:szCs w:val="20"/>
    </w:rPr>
  </w:style>
  <w:style w:type="character" w:styleId="FootnoteReference">
    <w:name w:val="footnote reference"/>
    <w:basedOn w:val="DefaultParagraphFont"/>
    <w:uiPriority w:val="99"/>
    <w:semiHidden/>
    <w:unhideWhenUsed/>
    <w:rsid w:val="00226D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63DC018-E6AE-4DFD-AAF5-98BC59C1F92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2847</Words>
  <Characters>16231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lvg lvg</cp:lastModifiedBy>
  <cp:revision>2</cp:revision>
  <dcterms:created xsi:type="dcterms:W3CDTF">2022-08-05T12:48:00Z</dcterms:created>
  <dcterms:modified xsi:type="dcterms:W3CDTF">2022-08-05T12:48:00Z</dcterms:modified>
</cp:coreProperties>
</file>