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4"/>
          <w:szCs w:val="24"/>
        </w:rPr>
        <w:id w:val="1202438674"/>
        <w:docPartObj>
          <w:docPartGallery w:val="Cover Pages"/>
          <w:docPartUnique/>
        </w:docPartObj>
      </w:sdtPr>
      <w:sdtEndPr>
        <w:rPr>
          <w:b/>
        </w:rPr>
      </w:sdtEndPr>
      <w:sdtContent>
        <w:p w14:paraId="304D429A" w14:textId="77777777" w:rsidR="00B9067F" w:rsidRPr="00756CB9" w:rsidRDefault="00B9067F" w:rsidP="00B9067F">
          <w:pPr>
            <w:rPr>
              <w:rFonts w:ascii="Times New Roman" w:hAnsi="Times New Roman" w:cs="Times New Roman"/>
              <w:sz w:val="24"/>
              <w:szCs w:val="24"/>
            </w:rPr>
          </w:pPr>
        </w:p>
        <w:p w14:paraId="1F00CE9C" w14:textId="77777777" w:rsidR="00B9067F" w:rsidRPr="00756CB9" w:rsidRDefault="00B9067F" w:rsidP="00B9067F">
          <w:pPr>
            <w:spacing w:line="360" w:lineRule="auto"/>
            <w:jc w:val="center"/>
            <w:rPr>
              <w:rFonts w:ascii="Times New Roman" w:hAnsi="Times New Roman" w:cs="Times New Roman"/>
              <w:sz w:val="24"/>
              <w:szCs w:val="24"/>
            </w:rPr>
          </w:pPr>
          <w:r w:rsidRPr="00756CB9">
            <w:rPr>
              <w:rFonts w:ascii="Times New Roman" w:hAnsi="Times New Roman" w:cs="Times New Roman"/>
              <w:noProof/>
              <w:sz w:val="24"/>
              <w:szCs w:val="24"/>
              <w:lang w:val="en-US" w:eastAsia="en-US"/>
            </w:rPr>
            <w:drawing>
              <wp:inline distT="0" distB="0" distL="0" distR="0" wp14:anchorId="4EFC6D03" wp14:editId="44EEE0D5">
                <wp:extent cx="1435100" cy="1155700"/>
                <wp:effectExtent l="0" t="0" r="0" b="6350"/>
                <wp:docPr id="72" name="Picture 72" descr="page1image3116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31166944"/>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435100" cy="1155700"/>
                        </a:xfrm>
                        <a:prstGeom prst="rect">
                          <a:avLst/>
                        </a:prstGeom>
                        <a:noFill/>
                        <a:ln>
                          <a:noFill/>
                        </a:ln>
                      </pic:spPr>
                    </pic:pic>
                  </a:graphicData>
                </a:graphic>
              </wp:inline>
            </w:drawing>
          </w:r>
        </w:p>
        <w:p w14:paraId="7D030724" w14:textId="77777777" w:rsidR="00B9067F" w:rsidRPr="00756CB9" w:rsidRDefault="00B9067F" w:rsidP="00B9067F">
          <w:pPr>
            <w:spacing w:before="100" w:beforeAutospacing="1" w:line="360" w:lineRule="auto"/>
            <w:jc w:val="center"/>
            <w:rPr>
              <w:rFonts w:ascii="Times New Roman" w:hAnsi="Times New Roman" w:cs="Times New Roman"/>
              <w:sz w:val="24"/>
              <w:szCs w:val="24"/>
            </w:rPr>
          </w:pPr>
          <w:r w:rsidRPr="00756CB9">
            <w:rPr>
              <w:rFonts w:ascii="Times New Roman" w:hAnsi="Times New Roman" w:cs="Times New Roman"/>
              <w:b/>
              <w:sz w:val="24"/>
              <w:szCs w:val="24"/>
            </w:rPr>
            <w:t>KENYA SCHOOL OF LAW</w:t>
          </w:r>
        </w:p>
        <w:p w14:paraId="7835F36D" w14:textId="77777777" w:rsidR="00B9067F" w:rsidRPr="00756CB9" w:rsidRDefault="00B9067F" w:rsidP="00B9067F">
          <w:pPr>
            <w:widowControl w:val="0"/>
            <w:suppressLineNumbers/>
            <w:spacing w:line="276" w:lineRule="auto"/>
            <w:jc w:val="center"/>
            <w:rPr>
              <w:rFonts w:ascii="Times New Roman" w:hAnsi="Times New Roman" w:cs="Times New Roman"/>
              <w:b/>
              <w:sz w:val="24"/>
              <w:szCs w:val="24"/>
            </w:rPr>
          </w:pPr>
          <w:r w:rsidRPr="00756CB9">
            <w:rPr>
              <w:rFonts w:ascii="Times New Roman" w:hAnsi="Times New Roman" w:cs="Times New Roman"/>
              <w:b/>
              <w:sz w:val="24"/>
              <w:szCs w:val="24"/>
            </w:rPr>
            <w:t>CLASS E FIRM 22</w:t>
          </w:r>
        </w:p>
        <w:p w14:paraId="48C88679" w14:textId="77777777" w:rsidR="00B9067F" w:rsidRPr="00756CB9" w:rsidRDefault="00B9067F" w:rsidP="00B9067F">
          <w:pPr>
            <w:spacing w:before="100" w:beforeAutospacing="1" w:line="276" w:lineRule="auto"/>
            <w:jc w:val="center"/>
            <w:rPr>
              <w:rFonts w:ascii="Times New Roman" w:hAnsi="Times New Roman" w:cs="Times New Roman"/>
              <w:b/>
              <w:bCs/>
              <w:sz w:val="24"/>
              <w:szCs w:val="24"/>
            </w:rPr>
          </w:pPr>
          <w:r w:rsidRPr="00756CB9">
            <w:rPr>
              <w:rFonts w:ascii="Times New Roman" w:hAnsi="Times New Roman" w:cs="Times New Roman"/>
              <w:b/>
              <w:bCs/>
              <w:sz w:val="24"/>
              <w:szCs w:val="24"/>
            </w:rPr>
            <w:t>ACADEMIC YEAR 2022/2023</w:t>
          </w:r>
        </w:p>
        <w:p w14:paraId="4FDB9CC2" w14:textId="77777777" w:rsidR="00B9067F" w:rsidRPr="00756CB9" w:rsidRDefault="00B9067F" w:rsidP="00B9067F">
          <w:pPr>
            <w:widowControl w:val="0"/>
            <w:suppressLineNumbers/>
            <w:spacing w:line="276" w:lineRule="auto"/>
            <w:jc w:val="center"/>
            <w:rPr>
              <w:rFonts w:ascii="Times New Roman" w:hAnsi="Times New Roman" w:cs="Times New Roman"/>
              <w:b/>
              <w:sz w:val="24"/>
              <w:szCs w:val="24"/>
            </w:rPr>
          </w:pPr>
          <w:r w:rsidRPr="00756CB9">
            <w:rPr>
              <w:rFonts w:ascii="Times New Roman" w:hAnsi="Times New Roman" w:cs="Times New Roman"/>
              <w:b/>
              <w:sz w:val="24"/>
              <w:szCs w:val="24"/>
            </w:rPr>
            <w:t>ATP 107 CONVEYANCING</w:t>
          </w:r>
        </w:p>
        <w:p w14:paraId="37199F49" w14:textId="77777777" w:rsidR="00B9067F" w:rsidRPr="00756CB9" w:rsidRDefault="00B9067F" w:rsidP="00B9067F">
          <w:pPr>
            <w:widowControl w:val="0"/>
            <w:suppressLineNumbers/>
            <w:spacing w:line="360" w:lineRule="auto"/>
            <w:jc w:val="center"/>
            <w:rPr>
              <w:rFonts w:ascii="Times New Roman" w:hAnsi="Times New Roman" w:cs="Times New Roman"/>
              <w:b/>
              <w:sz w:val="24"/>
              <w:szCs w:val="24"/>
            </w:rPr>
          </w:pPr>
          <w:r w:rsidRPr="00756CB9">
            <w:rPr>
              <w:rFonts w:ascii="Times New Roman" w:hAnsi="Times New Roman" w:cs="Times New Roman"/>
              <w:b/>
              <w:sz w:val="24"/>
              <w:szCs w:val="24"/>
            </w:rPr>
            <w:t>COURSE LECTURER: MS. LEAH KIGUATHA</w:t>
          </w:r>
        </w:p>
      </w:sdtContent>
    </w:sdt>
    <w:tbl>
      <w:tblPr>
        <w:tblStyle w:val="TableGrid"/>
        <w:tblW w:w="6886" w:type="dxa"/>
        <w:tblInd w:w="1063" w:type="dxa"/>
        <w:tblLook w:val="04A0" w:firstRow="1" w:lastRow="0" w:firstColumn="1" w:lastColumn="0" w:noHBand="0" w:noVBand="1"/>
      </w:tblPr>
      <w:tblGrid>
        <w:gridCol w:w="3443"/>
        <w:gridCol w:w="3443"/>
      </w:tblGrid>
      <w:tr w:rsidR="00756CB9" w:rsidRPr="00756CB9" w14:paraId="1B963CE3" w14:textId="77777777" w:rsidTr="00B9067F">
        <w:trPr>
          <w:trHeight w:val="651"/>
        </w:trPr>
        <w:tc>
          <w:tcPr>
            <w:tcW w:w="3443" w:type="dxa"/>
            <w:tcBorders>
              <w:top w:val="single" w:sz="4" w:space="0" w:color="auto"/>
              <w:left w:val="single" w:sz="4" w:space="0" w:color="auto"/>
              <w:bottom w:val="single" w:sz="4" w:space="0" w:color="auto"/>
              <w:right w:val="single" w:sz="4" w:space="0" w:color="auto"/>
            </w:tcBorders>
            <w:hideMark/>
          </w:tcPr>
          <w:p w14:paraId="6D008111" w14:textId="77777777" w:rsidR="00B9067F" w:rsidRPr="00756CB9" w:rsidRDefault="00B9067F" w:rsidP="002E06D1">
            <w:pPr>
              <w:widowControl w:val="0"/>
              <w:suppressLineNumbers/>
              <w:spacing w:line="360" w:lineRule="auto"/>
              <w:rPr>
                <w:rFonts w:ascii="Times New Roman" w:hAnsi="Times New Roman" w:cs="Times New Roman"/>
                <w:b/>
                <w:bCs/>
              </w:rPr>
            </w:pPr>
            <w:bookmarkStart w:id="0" w:name="_3znysh7" w:colFirst="0" w:colLast="0"/>
            <w:bookmarkEnd w:id="0"/>
            <w:r w:rsidRPr="00756CB9">
              <w:rPr>
                <w:rFonts w:ascii="Times New Roman" w:hAnsi="Times New Roman" w:cs="Times New Roman"/>
                <w:b/>
              </w:rPr>
              <w:t xml:space="preserve">FIRM MEMBERS </w:t>
            </w:r>
          </w:p>
        </w:tc>
        <w:tc>
          <w:tcPr>
            <w:tcW w:w="3443" w:type="dxa"/>
            <w:tcBorders>
              <w:top w:val="single" w:sz="4" w:space="0" w:color="auto"/>
              <w:left w:val="single" w:sz="4" w:space="0" w:color="auto"/>
              <w:bottom w:val="single" w:sz="4" w:space="0" w:color="auto"/>
              <w:right w:val="single" w:sz="4" w:space="0" w:color="auto"/>
            </w:tcBorders>
            <w:hideMark/>
          </w:tcPr>
          <w:p w14:paraId="7228A030"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b/>
                <w:bCs/>
                <w:noProof/>
                <w:lang w:val="en-US" w:eastAsia="en-US"/>
              </w:rPr>
              <w:drawing>
                <wp:anchor distT="0" distB="0" distL="114300" distR="114300" simplePos="0" relativeHeight="251661312" behindDoc="1" locked="0" layoutInCell="1" allowOverlap="1" wp14:anchorId="1B3435EE" wp14:editId="17C958AC">
                  <wp:simplePos x="0" y="0"/>
                  <wp:positionH relativeFrom="page">
                    <wp:posOffset>-151130</wp:posOffset>
                  </wp:positionH>
                  <wp:positionV relativeFrom="page">
                    <wp:posOffset>80645</wp:posOffset>
                  </wp:positionV>
                  <wp:extent cx="1295400" cy="1085850"/>
                  <wp:effectExtent l="0" t="0" r="0" b="952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95400" cy="1085850"/>
                          </a:xfrm>
                          <a:prstGeom prst="rect">
                            <a:avLst/>
                          </a:prstGeom>
                          <a:noFill/>
                        </pic:spPr>
                      </pic:pic>
                    </a:graphicData>
                  </a:graphic>
                  <wp14:sizeRelH relativeFrom="page">
                    <wp14:pctWidth>0</wp14:pctWidth>
                  </wp14:sizeRelH>
                  <wp14:sizeRelV relativeFrom="page">
                    <wp14:pctHeight>0</wp14:pctHeight>
                  </wp14:sizeRelV>
                </wp:anchor>
              </w:drawing>
            </w:r>
            <w:r w:rsidRPr="00756CB9">
              <w:rPr>
                <w:rFonts w:ascii="Times New Roman" w:hAnsi="Times New Roman" w:cs="Times New Roman"/>
                <w:b/>
              </w:rPr>
              <w:t xml:space="preserve">SIGNATURE </w:t>
            </w:r>
          </w:p>
        </w:tc>
      </w:tr>
      <w:tr w:rsidR="00756CB9" w:rsidRPr="00756CB9" w14:paraId="61FB4886" w14:textId="77777777" w:rsidTr="00B9067F">
        <w:trPr>
          <w:trHeight w:val="691"/>
        </w:trPr>
        <w:tc>
          <w:tcPr>
            <w:tcW w:w="3443" w:type="dxa"/>
            <w:tcBorders>
              <w:top w:val="single" w:sz="4" w:space="0" w:color="auto"/>
              <w:left w:val="single" w:sz="4" w:space="0" w:color="auto"/>
              <w:bottom w:val="single" w:sz="4" w:space="0" w:color="auto"/>
              <w:right w:val="single" w:sz="4" w:space="0" w:color="auto"/>
            </w:tcBorders>
          </w:tcPr>
          <w:p w14:paraId="6DAA9638"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 xml:space="preserve">RUBY NJOKI KAGWE </w:t>
            </w:r>
          </w:p>
        </w:tc>
        <w:tc>
          <w:tcPr>
            <w:tcW w:w="3443" w:type="dxa"/>
            <w:tcBorders>
              <w:top w:val="single" w:sz="4" w:space="0" w:color="auto"/>
              <w:left w:val="single" w:sz="4" w:space="0" w:color="auto"/>
              <w:bottom w:val="single" w:sz="4" w:space="0" w:color="auto"/>
              <w:right w:val="single" w:sz="4" w:space="0" w:color="auto"/>
            </w:tcBorders>
          </w:tcPr>
          <w:p w14:paraId="150AFF92" w14:textId="77777777" w:rsidR="00B9067F" w:rsidRPr="00756CB9" w:rsidRDefault="00B9067F" w:rsidP="002E06D1">
            <w:pPr>
              <w:widowControl w:val="0"/>
              <w:suppressLineNumbers/>
              <w:spacing w:line="360" w:lineRule="auto"/>
              <w:rPr>
                <w:rFonts w:ascii="Times New Roman" w:hAnsi="Times New Roman" w:cs="Times New Roman"/>
                <w:b/>
                <w:bCs/>
              </w:rPr>
            </w:pPr>
          </w:p>
        </w:tc>
      </w:tr>
      <w:tr w:rsidR="00756CB9" w:rsidRPr="00756CB9" w14:paraId="24E1C49A" w14:textId="77777777" w:rsidTr="00B9067F">
        <w:trPr>
          <w:trHeight w:val="651"/>
        </w:trPr>
        <w:tc>
          <w:tcPr>
            <w:tcW w:w="3443" w:type="dxa"/>
            <w:tcBorders>
              <w:top w:val="single" w:sz="4" w:space="0" w:color="auto"/>
              <w:left w:val="single" w:sz="4" w:space="0" w:color="auto"/>
              <w:bottom w:val="single" w:sz="4" w:space="0" w:color="auto"/>
              <w:right w:val="single" w:sz="4" w:space="0" w:color="auto"/>
            </w:tcBorders>
          </w:tcPr>
          <w:p w14:paraId="001A1746" w14:textId="77777777" w:rsidR="00B9067F" w:rsidRPr="00756CB9" w:rsidRDefault="00B9067F" w:rsidP="002E06D1">
            <w:pPr>
              <w:widowControl w:val="0"/>
              <w:suppressLineNumbers/>
              <w:spacing w:line="360" w:lineRule="auto"/>
              <w:jc w:val="left"/>
              <w:rPr>
                <w:rFonts w:ascii="Times New Roman" w:hAnsi="Times New Roman" w:cs="Times New Roman"/>
                <w:b/>
                <w:bCs/>
              </w:rPr>
            </w:pPr>
            <w:r w:rsidRPr="00756CB9">
              <w:rPr>
                <w:rFonts w:ascii="Times New Roman" w:hAnsi="Times New Roman" w:cs="Times New Roman"/>
              </w:rPr>
              <w:t xml:space="preserve">GRACE MWIHAKI WAMAE </w:t>
            </w:r>
          </w:p>
        </w:tc>
        <w:tc>
          <w:tcPr>
            <w:tcW w:w="3443" w:type="dxa"/>
            <w:tcBorders>
              <w:top w:val="single" w:sz="4" w:space="0" w:color="auto"/>
              <w:left w:val="single" w:sz="4" w:space="0" w:color="auto"/>
              <w:bottom w:val="single" w:sz="4" w:space="0" w:color="auto"/>
              <w:right w:val="single" w:sz="4" w:space="0" w:color="auto"/>
            </w:tcBorders>
          </w:tcPr>
          <w:p w14:paraId="61EB8F35"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1D5E5B77" wp14:editId="47E792E9">
                  <wp:extent cx="892885" cy="2702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alphaModFix/>
                            <a:extLst>
                              <a:ext uri="{BEBA8EAE-BF5A-486C-A8C5-ECC9F3942E4B}">
                                <a14:imgProps xmlns:a14="http://schemas.microsoft.com/office/drawing/2010/main">
                                  <a14:imgLayer r:embed="rId9">
                                    <a14:imgEffect>
                                      <a14:backgroundRemoval t="10000" b="90000" l="10000" r="90000"/>
                                    </a14:imgEffect>
                                    <a14:imgEffect>
                                      <a14:saturation sat="0"/>
                                    </a14:imgEffect>
                                    <a14:imgEffect>
                                      <a14:brightnessContrast bright="20000" contrast="40000"/>
                                    </a14:imgEffect>
                                  </a14:imgLayer>
                                </a14:imgProps>
                              </a:ext>
                            </a:extLst>
                          </a:blip>
                          <a:stretch>
                            <a:fillRect/>
                          </a:stretch>
                        </pic:blipFill>
                        <pic:spPr>
                          <a:xfrm>
                            <a:off x="0" y="0"/>
                            <a:ext cx="975141" cy="295108"/>
                          </a:xfrm>
                          <a:prstGeom prst="rect">
                            <a:avLst/>
                          </a:prstGeom>
                        </pic:spPr>
                      </pic:pic>
                    </a:graphicData>
                  </a:graphic>
                </wp:inline>
              </w:drawing>
            </w:r>
          </w:p>
        </w:tc>
      </w:tr>
      <w:tr w:rsidR="00756CB9" w:rsidRPr="00756CB9" w14:paraId="27F8941A" w14:textId="77777777" w:rsidTr="00B9067F">
        <w:trPr>
          <w:trHeight w:val="691"/>
        </w:trPr>
        <w:tc>
          <w:tcPr>
            <w:tcW w:w="3443" w:type="dxa"/>
            <w:tcBorders>
              <w:top w:val="single" w:sz="4" w:space="0" w:color="auto"/>
              <w:left w:val="single" w:sz="4" w:space="0" w:color="auto"/>
              <w:bottom w:val="single" w:sz="4" w:space="0" w:color="auto"/>
              <w:right w:val="single" w:sz="4" w:space="0" w:color="auto"/>
            </w:tcBorders>
          </w:tcPr>
          <w:p w14:paraId="043FFB33"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DENIS FRANK KALWALE</w:t>
            </w:r>
          </w:p>
        </w:tc>
        <w:tc>
          <w:tcPr>
            <w:tcW w:w="3443" w:type="dxa"/>
            <w:tcBorders>
              <w:top w:val="single" w:sz="4" w:space="0" w:color="auto"/>
              <w:left w:val="single" w:sz="4" w:space="0" w:color="auto"/>
              <w:bottom w:val="single" w:sz="4" w:space="0" w:color="auto"/>
              <w:right w:val="single" w:sz="4" w:space="0" w:color="auto"/>
            </w:tcBorders>
          </w:tcPr>
          <w:p w14:paraId="4F707300"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19FBD4B5" wp14:editId="6D1BD1FB">
                  <wp:extent cx="1000461" cy="282816"/>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aturation sat="33000"/>
                                    </a14:imgEffect>
                                    <a14:imgEffect>
                                      <a14:brightnessContrast bright="40000" contrast="40000"/>
                                    </a14:imgEffect>
                                  </a14:imgLayer>
                                </a14:imgProps>
                              </a:ext>
                            </a:extLst>
                          </a:blip>
                          <a:stretch>
                            <a:fillRect/>
                          </a:stretch>
                        </pic:blipFill>
                        <pic:spPr>
                          <a:xfrm>
                            <a:off x="0" y="0"/>
                            <a:ext cx="1049575" cy="296700"/>
                          </a:xfrm>
                          <a:prstGeom prst="rect">
                            <a:avLst/>
                          </a:prstGeom>
                        </pic:spPr>
                      </pic:pic>
                    </a:graphicData>
                  </a:graphic>
                </wp:inline>
              </w:drawing>
            </w:r>
          </w:p>
        </w:tc>
      </w:tr>
      <w:tr w:rsidR="00756CB9" w:rsidRPr="00756CB9" w14:paraId="12971A80" w14:textId="77777777" w:rsidTr="00B9067F">
        <w:trPr>
          <w:trHeight w:val="651"/>
        </w:trPr>
        <w:tc>
          <w:tcPr>
            <w:tcW w:w="3443" w:type="dxa"/>
            <w:tcBorders>
              <w:top w:val="single" w:sz="4" w:space="0" w:color="auto"/>
              <w:left w:val="single" w:sz="4" w:space="0" w:color="auto"/>
              <w:bottom w:val="single" w:sz="4" w:space="0" w:color="auto"/>
              <w:right w:val="single" w:sz="4" w:space="0" w:color="auto"/>
            </w:tcBorders>
          </w:tcPr>
          <w:p w14:paraId="06567FC4"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RANDY ATTOGOH OMONDI</w:t>
            </w:r>
          </w:p>
        </w:tc>
        <w:tc>
          <w:tcPr>
            <w:tcW w:w="3443" w:type="dxa"/>
            <w:tcBorders>
              <w:top w:val="single" w:sz="4" w:space="0" w:color="auto"/>
              <w:left w:val="single" w:sz="4" w:space="0" w:color="auto"/>
              <w:bottom w:val="single" w:sz="4" w:space="0" w:color="auto"/>
              <w:right w:val="single" w:sz="4" w:space="0" w:color="auto"/>
            </w:tcBorders>
            <w:shd w:val="clear" w:color="auto" w:fill="FFFFFF" w:themeFill="background1"/>
          </w:tcPr>
          <w:p w14:paraId="50381554"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5F538D28" wp14:editId="235B24DB">
                  <wp:extent cx="1233170" cy="355003"/>
                  <wp:effectExtent l="25400" t="0" r="24130" b="260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alphaModFix/>
                            <a:extLst>
                              <a:ext uri="{BEBA8EAE-BF5A-486C-A8C5-ECC9F3942E4B}">
                                <a14:imgProps xmlns:a14="http://schemas.microsoft.com/office/drawing/2010/main">
                                  <a14:imgLayer r:embed="rId13">
                                    <a14:imgEffect>
                                      <a14:brightnessContrast bright="40000" contrast="40000"/>
                                    </a14:imgEffect>
                                  </a14:imgLayer>
                                </a14:imgProps>
                              </a:ext>
                            </a:extLst>
                          </a:blip>
                          <a:stretch>
                            <a:fillRect/>
                          </a:stretch>
                        </pic:blipFill>
                        <pic:spPr>
                          <a:xfrm>
                            <a:off x="0" y="0"/>
                            <a:ext cx="1253830" cy="360951"/>
                          </a:xfrm>
                          <a:prstGeom prst="rect">
                            <a:avLst/>
                          </a:prstGeom>
                          <a:effectLst>
                            <a:outerShdw blurRad="50800" dist="50800" dir="5400000" algn="ctr" rotWithShape="0">
                              <a:schemeClr val="bg1">
                                <a:alpha val="0"/>
                              </a:schemeClr>
                            </a:outerShdw>
                          </a:effectLst>
                        </pic:spPr>
                      </pic:pic>
                    </a:graphicData>
                  </a:graphic>
                </wp:inline>
              </w:drawing>
            </w:r>
          </w:p>
        </w:tc>
      </w:tr>
      <w:tr w:rsidR="00756CB9" w:rsidRPr="00756CB9" w14:paraId="1F2BBA03" w14:textId="77777777" w:rsidTr="00B9067F">
        <w:trPr>
          <w:trHeight w:val="651"/>
        </w:trPr>
        <w:tc>
          <w:tcPr>
            <w:tcW w:w="3443" w:type="dxa"/>
            <w:tcBorders>
              <w:top w:val="single" w:sz="4" w:space="0" w:color="auto"/>
              <w:left w:val="single" w:sz="4" w:space="0" w:color="auto"/>
              <w:bottom w:val="single" w:sz="4" w:space="0" w:color="auto"/>
              <w:right w:val="single" w:sz="4" w:space="0" w:color="auto"/>
            </w:tcBorders>
          </w:tcPr>
          <w:p w14:paraId="49E051F4"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LYNNE LINTEI TURASHA</w:t>
            </w:r>
          </w:p>
        </w:tc>
        <w:tc>
          <w:tcPr>
            <w:tcW w:w="3443" w:type="dxa"/>
            <w:tcBorders>
              <w:top w:val="single" w:sz="4" w:space="0" w:color="auto"/>
              <w:left w:val="single" w:sz="4" w:space="0" w:color="auto"/>
              <w:bottom w:val="single" w:sz="4" w:space="0" w:color="auto"/>
              <w:right w:val="single" w:sz="4" w:space="0" w:color="auto"/>
            </w:tcBorders>
          </w:tcPr>
          <w:p w14:paraId="5D0EE31D"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7AA1998E" wp14:editId="248CDF0A">
                  <wp:extent cx="895276" cy="301214"/>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alphaModFix/>
                            <a:grayscl/>
                            <a:extLst>
                              <a:ext uri="{BEBA8EAE-BF5A-486C-A8C5-ECC9F3942E4B}">
                                <a14:imgProps xmlns:a14="http://schemas.microsoft.com/office/drawing/2010/main">
                                  <a14:imgLayer r:embed="rId15">
                                    <a14:imgEffect>
                                      <a14:sharpenSoften amount="25000"/>
                                    </a14:imgEffect>
                                    <a14:imgEffect>
                                      <a14:brightnessContrast bright="40000" contrast="40000"/>
                                    </a14:imgEffect>
                                  </a14:imgLayer>
                                </a14:imgProps>
                              </a:ext>
                            </a:extLst>
                          </a:blip>
                          <a:stretch>
                            <a:fillRect/>
                          </a:stretch>
                        </pic:blipFill>
                        <pic:spPr>
                          <a:xfrm>
                            <a:off x="0" y="0"/>
                            <a:ext cx="927025" cy="311896"/>
                          </a:xfrm>
                          <a:prstGeom prst="rect">
                            <a:avLst/>
                          </a:prstGeom>
                        </pic:spPr>
                      </pic:pic>
                    </a:graphicData>
                  </a:graphic>
                </wp:inline>
              </w:drawing>
            </w:r>
          </w:p>
        </w:tc>
      </w:tr>
      <w:tr w:rsidR="00756CB9" w:rsidRPr="00756CB9" w14:paraId="3F9CD9F0" w14:textId="77777777" w:rsidTr="00B9067F">
        <w:trPr>
          <w:trHeight w:val="691"/>
        </w:trPr>
        <w:tc>
          <w:tcPr>
            <w:tcW w:w="3443" w:type="dxa"/>
            <w:tcBorders>
              <w:top w:val="single" w:sz="4" w:space="0" w:color="auto"/>
              <w:left w:val="single" w:sz="4" w:space="0" w:color="auto"/>
              <w:bottom w:val="single" w:sz="4" w:space="0" w:color="auto"/>
              <w:right w:val="single" w:sz="4" w:space="0" w:color="auto"/>
            </w:tcBorders>
          </w:tcPr>
          <w:p w14:paraId="6B8BBCD6"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MWANGI DOREEN WANJIRU</w:t>
            </w:r>
          </w:p>
        </w:tc>
        <w:tc>
          <w:tcPr>
            <w:tcW w:w="3443" w:type="dxa"/>
            <w:tcBorders>
              <w:top w:val="single" w:sz="4" w:space="0" w:color="auto"/>
              <w:left w:val="single" w:sz="4" w:space="0" w:color="auto"/>
              <w:bottom w:val="single" w:sz="4" w:space="0" w:color="auto"/>
              <w:right w:val="single" w:sz="4" w:space="0" w:color="auto"/>
            </w:tcBorders>
          </w:tcPr>
          <w:p w14:paraId="04A81791"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4B553F40" wp14:editId="20685211">
                  <wp:extent cx="926811" cy="301214"/>
                  <wp:effectExtent l="25400" t="0" r="26035" b="292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grayscl/>
                            <a:alphaModFix/>
                            <a:extLst>
                              <a:ext uri="{BEBA8EAE-BF5A-486C-A8C5-ECC9F3942E4B}">
                                <a14:imgProps xmlns:a14="http://schemas.microsoft.com/office/drawing/2010/main">
                                  <a14:imgLayer r:embed="rId17">
                                    <a14:imgEffect>
                                      <a14:artisticMarker/>
                                    </a14:imgEffect>
                                    <a14:imgEffect>
                                      <a14:sharpenSoften amount="-50000"/>
                                    </a14:imgEffect>
                                    <a14:imgEffect>
                                      <a14:colorTemperature colorTemp="1500"/>
                                    </a14:imgEffect>
                                    <a14:imgEffect>
                                      <a14:saturation sat="400000"/>
                                    </a14:imgEffect>
                                    <a14:imgEffect>
                                      <a14:brightnessContrast bright="40000" contrast="40000"/>
                                    </a14:imgEffect>
                                  </a14:imgLayer>
                                </a14:imgProps>
                              </a:ext>
                            </a:extLst>
                          </a:blip>
                          <a:stretch>
                            <a:fillRect/>
                          </a:stretch>
                        </pic:blipFill>
                        <pic:spPr>
                          <a:xfrm>
                            <a:off x="0" y="0"/>
                            <a:ext cx="1064036" cy="345812"/>
                          </a:xfrm>
                          <a:prstGeom prst="rect">
                            <a:avLst/>
                          </a:prstGeom>
                          <a:effectLst>
                            <a:outerShdw blurRad="50800" dist="50800" dir="5400000" algn="ctr" rotWithShape="0">
                              <a:schemeClr val="bg1">
                                <a:alpha val="0"/>
                              </a:schemeClr>
                            </a:outerShdw>
                          </a:effectLst>
                        </pic:spPr>
                      </pic:pic>
                    </a:graphicData>
                  </a:graphic>
                </wp:inline>
              </w:drawing>
            </w:r>
          </w:p>
        </w:tc>
      </w:tr>
      <w:tr w:rsidR="00756CB9" w:rsidRPr="00756CB9" w14:paraId="51628B10" w14:textId="77777777" w:rsidTr="00B9067F">
        <w:trPr>
          <w:trHeight w:val="651"/>
        </w:trPr>
        <w:tc>
          <w:tcPr>
            <w:tcW w:w="3443" w:type="dxa"/>
            <w:tcBorders>
              <w:top w:val="single" w:sz="4" w:space="0" w:color="auto"/>
              <w:left w:val="single" w:sz="4" w:space="0" w:color="auto"/>
              <w:bottom w:val="single" w:sz="4" w:space="0" w:color="auto"/>
              <w:right w:val="single" w:sz="4" w:space="0" w:color="auto"/>
            </w:tcBorders>
          </w:tcPr>
          <w:p w14:paraId="7F6191DE"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OGANGA EFFIE ATIENO</w:t>
            </w:r>
          </w:p>
        </w:tc>
        <w:tc>
          <w:tcPr>
            <w:tcW w:w="3443" w:type="dxa"/>
            <w:tcBorders>
              <w:top w:val="single" w:sz="4" w:space="0" w:color="auto"/>
              <w:left w:val="single" w:sz="4" w:space="0" w:color="auto"/>
              <w:bottom w:val="single" w:sz="4" w:space="0" w:color="auto"/>
              <w:right w:val="single" w:sz="4" w:space="0" w:color="auto"/>
            </w:tcBorders>
          </w:tcPr>
          <w:p w14:paraId="134ECEDC"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5D212B85" wp14:editId="5C8F62E2">
                  <wp:extent cx="1001842" cy="279699"/>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biLevel thresh="25000"/>
                            <a:extLst>
                              <a:ext uri="{BEBA8EAE-BF5A-486C-A8C5-ECC9F3942E4B}">
                                <a14:imgProps xmlns:a14="http://schemas.microsoft.com/office/drawing/2010/main">
                                  <a14:imgLayer r:embed="rId19">
                                    <a14:imgEffect>
                                      <a14:saturation sat="86000"/>
                                    </a14:imgEffect>
                                  </a14:imgLayer>
                                </a14:imgProps>
                              </a:ext>
                            </a:extLst>
                          </a:blip>
                          <a:stretch>
                            <a:fillRect/>
                          </a:stretch>
                        </pic:blipFill>
                        <pic:spPr>
                          <a:xfrm>
                            <a:off x="0" y="0"/>
                            <a:ext cx="1218590" cy="340212"/>
                          </a:xfrm>
                          <a:prstGeom prst="rect">
                            <a:avLst/>
                          </a:prstGeom>
                        </pic:spPr>
                      </pic:pic>
                    </a:graphicData>
                  </a:graphic>
                </wp:inline>
              </w:drawing>
            </w:r>
          </w:p>
        </w:tc>
      </w:tr>
      <w:tr w:rsidR="00756CB9" w:rsidRPr="00756CB9" w14:paraId="7A9C8392" w14:textId="77777777" w:rsidTr="00B9067F">
        <w:trPr>
          <w:trHeight w:val="651"/>
        </w:trPr>
        <w:tc>
          <w:tcPr>
            <w:tcW w:w="3443" w:type="dxa"/>
            <w:tcBorders>
              <w:top w:val="single" w:sz="4" w:space="0" w:color="auto"/>
              <w:left w:val="single" w:sz="4" w:space="0" w:color="auto"/>
              <w:bottom w:val="single" w:sz="4" w:space="0" w:color="auto"/>
              <w:right w:val="single" w:sz="4" w:space="0" w:color="auto"/>
            </w:tcBorders>
          </w:tcPr>
          <w:p w14:paraId="4C7DC70B"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RUTH KEMUNTO NYABARO</w:t>
            </w:r>
          </w:p>
        </w:tc>
        <w:tc>
          <w:tcPr>
            <w:tcW w:w="3443" w:type="dxa"/>
            <w:tcBorders>
              <w:top w:val="single" w:sz="4" w:space="0" w:color="auto"/>
              <w:left w:val="single" w:sz="4" w:space="0" w:color="auto"/>
              <w:bottom w:val="single" w:sz="4" w:space="0" w:color="auto"/>
              <w:right w:val="single" w:sz="4" w:space="0" w:color="auto"/>
            </w:tcBorders>
          </w:tcPr>
          <w:p w14:paraId="7AB7DCBF"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03D16294" wp14:editId="12BF7F84">
                  <wp:extent cx="1086522" cy="301565"/>
                  <wp:effectExtent l="0" t="0" r="0" b="3810"/>
                  <wp:docPr id="67" name="Picture 6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0">
                            <a:biLevel thresh="25000"/>
                          </a:blip>
                          <a:stretch>
                            <a:fillRect/>
                          </a:stretch>
                        </pic:blipFill>
                        <pic:spPr>
                          <a:xfrm>
                            <a:off x="0" y="0"/>
                            <a:ext cx="1177475" cy="326809"/>
                          </a:xfrm>
                          <a:prstGeom prst="rect">
                            <a:avLst/>
                          </a:prstGeom>
                        </pic:spPr>
                      </pic:pic>
                    </a:graphicData>
                  </a:graphic>
                </wp:inline>
              </w:drawing>
            </w:r>
          </w:p>
        </w:tc>
      </w:tr>
      <w:tr w:rsidR="00756CB9" w:rsidRPr="00756CB9" w14:paraId="45B86B62" w14:textId="77777777" w:rsidTr="00B9067F">
        <w:trPr>
          <w:trHeight w:val="651"/>
        </w:trPr>
        <w:tc>
          <w:tcPr>
            <w:tcW w:w="3443" w:type="dxa"/>
            <w:tcBorders>
              <w:top w:val="single" w:sz="4" w:space="0" w:color="auto"/>
              <w:left w:val="single" w:sz="4" w:space="0" w:color="auto"/>
              <w:bottom w:val="single" w:sz="4" w:space="0" w:color="auto"/>
              <w:right w:val="single" w:sz="4" w:space="0" w:color="auto"/>
            </w:tcBorders>
          </w:tcPr>
          <w:p w14:paraId="61705F5D"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rPr>
              <w:t>KOSGEI RACHAEL JEPLETING</w:t>
            </w:r>
          </w:p>
        </w:tc>
        <w:tc>
          <w:tcPr>
            <w:tcW w:w="3443" w:type="dxa"/>
            <w:tcBorders>
              <w:top w:val="single" w:sz="4" w:space="0" w:color="auto"/>
              <w:left w:val="single" w:sz="4" w:space="0" w:color="auto"/>
              <w:bottom w:val="single" w:sz="4" w:space="0" w:color="auto"/>
              <w:right w:val="single" w:sz="4" w:space="0" w:color="auto"/>
            </w:tcBorders>
          </w:tcPr>
          <w:p w14:paraId="48DC47B9" w14:textId="77777777" w:rsidR="00B9067F" w:rsidRPr="00756CB9" w:rsidRDefault="00B9067F" w:rsidP="002E06D1">
            <w:pPr>
              <w:widowControl w:val="0"/>
              <w:suppressLineNumbers/>
              <w:spacing w:line="360" w:lineRule="auto"/>
              <w:rPr>
                <w:rFonts w:ascii="Times New Roman" w:hAnsi="Times New Roman" w:cs="Times New Roman"/>
                <w:b/>
                <w:bCs/>
              </w:rPr>
            </w:pPr>
            <w:r w:rsidRPr="00756CB9">
              <w:rPr>
                <w:rFonts w:ascii="Times New Roman" w:hAnsi="Times New Roman" w:cs="Times New Roman"/>
                <w:noProof/>
                <w:lang w:val="en-US" w:eastAsia="en-US"/>
              </w:rPr>
              <w:drawing>
                <wp:inline distT="0" distB="0" distL="0" distR="0" wp14:anchorId="578BA3D3" wp14:editId="2318AA53">
                  <wp:extent cx="871220" cy="359410"/>
                  <wp:effectExtent l="0" t="0" r="508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biLevel thresh="25000"/>
                          </a:blip>
                          <a:stretch>
                            <a:fillRect/>
                          </a:stretch>
                        </pic:blipFill>
                        <pic:spPr>
                          <a:xfrm>
                            <a:off x="0" y="0"/>
                            <a:ext cx="956418" cy="394557"/>
                          </a:xfrm>
                          <a:prstGeom prst="rect">
                            <a:avLst/>
                          </a:prstGeom>
                        </pic:spPr>
                      </pic:pic>
                    </a:graphicData>
                  </a:graphic>
                </wp:inline>
              </w:drawing>
            </w:r>
          </w:p>
        </w:tc>
      </w:tr>
    </w:tbl>
    <w:p w14:paraId="2D03EFF1" w14:textId="77777777" w:rsidR="00B9067F" w:rsidRPr="00756CB9" w:rsidRDefault="00B9067F">
      <w:pPr>
        <w:rPr>
          <w:rFonts w:ascii="Times New Roman" w:hAnsi="Times New Roman" w:cs="Times New Roman"/>
          <w:sz w:val="24"/>
          <w:szCs w:val="24"/>
        </w:rPr>
        <w:sectPr w:rsidR="00B9067F" w:rsidRPr="00756CB9">
          <w:pgSz w:w="11906" w:h="16838"/>
          <w:pgMar w:top="1440" w:right="1440" w:bottom="1440" w:left="1440" w:header="708" w:footer="708" w:gutter="0"/>
          <w:cols w:space="708"/>
          <w:docGrid w:linePitch="360"/>
        </w:sectPr>
      </w:pPr>
    </w:p>
    <w:p w14:paraId="1D2F037B" w14:textId="77777777" w:rsidR="00085DC4" w:rsidRPr="00756CB9" w:rsidRDefault="00085DC4" w:rsidP="00085DC4">
      <w:pPr>
        <w:pStyle w:val="NormalWeb"/>
        <w:spacing w:before="0" w:beforeAutospacing="0" w:after="200" w:afterAutospacing="0" w:line="360" w:lineRule="auto"/>
        <w:jc w:val="both"/>
        <w:rPr>
          <w:b/>
          <w:bCs/>
          <w:u w:val="single"/>
        </w:rPr>
      </w:pPr>
      <w:r w:rsidRPr="00756CB9">
        <w:rPr>
          <w:b/>
          <w:bCs/>
          <w:u w:val="single"/>
        </w:rPr>
        <w:lastRenderedPageBreak/>
        <w:t>HEADING/CAPTION</w:t>
      </w:r>
    </w:p>
    <w:p w14:paraId="2FA537BD" w14:textId="28C273CD" w:rsidR="00085DC4" w:rsidRPr="003365BD" w:rsidRDefault="00085DC4" w:rsidP="00085DC4">
      <w:pPr>
        <w:pStyle w:val="NormalWeb"/>
        <w:spacing w:before="0" w:beforeAutospacing="0" w:after="200" w:afterAutospacing="0" w:line="360" w:lineRule="auto"/>
        <w:jc w:val="both"/>
      </w:pPr>
      <w:r w:rsidRPr="00756CB9">
        <w:rPr>
          <w:b/>
          <w:bCs/>
        </w:rPr>
        <w:t>Case Name</w:t>
      </w:r>
      <w:r w:rsidRPr="00756CB9">
        <w:t xml:space="preserve">: </w:t>
      </w:r>
      <w:proofErr w:type="spellStart"/>
      <w:r w:rsidRPr="003365BD">
        <w:rPr>
          <w:bCs/>
          <w:shd w:val="clear" w:color="auto" w:fill="FFFFFF"/>
        </w:rPr>
        <w:t>Olkasasi</w:t>
      </w:r>
      <w:proofErr w:type="spellEnd"/>
      <w:r w:rsidRPr="003365BD">
        <w:rPr>
          <w:bCs/>
          <w:shd w:val="clear" w:color="auto" w:fill="FFFFFF"/>
        </w:rPr>
        <w:t xml:space="preserve"> Limited v Equity Bank Limited [2015] </w:t>
      </w:r>
      <w:proofErr w:type="spellStart"/>
      <w:r w:rsidRPr="003365BD">
        <w:rPr>
          <w:bCs/>
          <w:shd w:val="clear" w:color="auto" w:fill="FFFFFF"/>
        </w:rPr>
        <w:t>eKLR</w:t>
      </w:r>
      <w:proofErr w:type="spellEnd"/>
    </w:p>
    <w:p w14:paraId="7D1ED724" w14:textId="7DB12155" w:rsidR="00085DC4" w:rsidRPr="00756CB9" w:rsidRDefault="00085DC4" w:rsidP="00085DC4">
      <w:pPr>
        <w:pStyle w:val="NormalWeb"/>
        <w:spacing w:before="0" w:beforeAutospacing="0" w:after="200" w:afterAutospacing="0" w:line="360" w:lineRule="auto"/>
        <w:jc w:val="both"/>
      </w:pPr>
      <w:r w:rsidRPr="00756CB9">
        <w:rPr>
          <w:b/>
          <w:bCs/>
        </w:rPr>
        <w:t xml:space="preserve">Case Number: </w:t>
      </w:r>
      <w:r w:rsidRPr="003365BD">
        <w:rPr>
          <w:rStyle w:val="Strong"/>
          <w:b w:val="0"/>
          <w:shd w:val="clear" w:color="auto" w:fill="FFFFFF"/>
        </w:rPr>
        <w:t>C</w:t>
      </w:r>
      <w:r w:rsidR="003365BD" w:rsidRPr="003365BD">
        <w:rPr>
          <w:rStyle w:val="Strong"/>
          <w:b w:val="0"/>
          <w:shd w:val="clear" w:color="auto" w:fill="FFFFFF"/>
        </w:rPr>
        <w:t>ivil Suit</w:t>
      </w:r>
      <w:r w:rsidRPr="003365BD">
        <w:rPr>
          <w:rStyle w:val="Strong"/>
          <w:b w:val="0"/>
          <w:shd w:val="clear" w:color="auto" w:fill="FFFFFF"/>
        </w:rPr>
        <w:t xml:space="preserve"> N</w:t>
      </w:r>
      <w:r w:rsidR="003365BD" w:rsidRPr="003365BD">
        <w:rPr>
          <w:rStyle w:val="Strong"/>
          <w:b w:val="0"/>
          <w:shd w:val="clear" w:color="auto" w:fill="FFFFFF"/>
        </w:rPr>
        <w:t>o</w:t>
      </w:r>
      <w:r w:rsidRPr="003365BD">
        <w:rPr>
          <w:rStyle w:val="Strong"/>
          <w:b w:val="0"/>
          <w:shd w:val="clear" w:color="auto" w:fill="FFFFFF"/>
        </w:rPr>
        <w:t xml:space="preserve">. 222 </w:t>
      </w:r>
      <w:r w:rsidR="003365BD" w:rsidRPr="003365BD">
        <w:rPr>
          <w:rStyle w:val="Strong"/>
          <w:b w:val="0"/>
          <w:shd w:val="clear" w:color="auto" w:fill="FFFFFF"/>
        </w:rPr>
        <w:t xml:space="preserve">of </w:t>
      </w:r>
      <w:r w:rsidRPr="003365BD">
        <w:rPr>
          <w:rStyle w:val="Strong"/>
          <w:b w:val="0"/>
          <w:shd w:val="clear" w:color="auto" w:fill="FFFFFF"/>
        </w:rPr>
        <w:t>2014</w:t>
      </w:r>
    </w:p>
    <w:p w14:paraId="23306DB3" w14:textId="74EDB65A" w:rsidR="00085DC4" w:rsidRPr="00756CB9" w:rsidRDefault="00085DC4" w:rsidP="00085DC4">
      <w:pPr>
        <w:pStyle w:val="NormalWeb"/>
        <w:spacing w:before="0" w:beforeAutospacing="0" w:after="200" w:afterAutospacing="0" w:line="360" w:lineRule="auto"/>
        <w:jc w:val="both"/>
      </w:pPr>
      <w:r w:rsidRPr="00756CB9">
        <w:rPr>
          <w:b/>
          <w:bCs/>
        </w:rPr>
        <w:t xml:space="preserve">Court: </w:t>
      </w:r>
      <w:r w:rsidR="003365BD" w:rsidRPr="003365BD">
        <w:rPr>
          <w:bCs/>
        </w:rPr>
        <w:t xml:space="preserve">In the </w:t>
      </w:r>
      <w:r w:rsidRPr="003365BD">
        <w:t>High Court</w:t>
      </w:r>
      <w:r w:rsidR="003365BD" w:rsidRPr="003365BD">
        <w:t xml:space="preserve"> of Kenya</w:t>
      </w:r>
      <w:r w:rsidRPr="003365BD">
        <w:t xml:space="preserve"> at Nairobi</w:t>
      </w:r>
      <w:r w:rsidRPr="00756CB9">
        <w:t xml:space="preserve"> </w:t>
      </w:r>
    </w:p>
    <w:p w14:paraId="13ED3BFB" w14:textId="609A6A06" w:rsidR="00085DC4" w:rsidRPr="003365BD" w:rsidRDefault="00085DC4" w:rsidP="00085DC4">
      <w:pPr>
        <w:pStyle w:val="NormalWeb"/>
        <w:spacing w:before="0" w:beforeAutospacing="0" w:after="200" w:afterAutospacing="0" w:line="360" w:lineRule="auto"/>
        <w:jc w:val="both"/>
        <w:rPr>
          <w:b/>
        </w:rPr>
      </w:pPr>
      <w:r w:rsidRPr="00756CB9">
        <w:rPr>
          <w:b/>
          <w:bCs/>
        </w:rPr>
        <w:t xml:space="preserve">Court division: </w:t>
      </w:r>
      <w:r w:rsidRPr="003365BD">
        <w:rPr>
          <w:rStyle w:val="Strong"/>
          <w:b w:val="0"/>
          <w:shd w:val="clear" w:color="auto" w:fill="FFFFFF"/>
        </w:rPr>
        <w:t>C</w:t>
      </w:r>
      <w:r w:rsidR="003365BD" w:rsidRPr="003365BD">
        <w:rPr>
          <w:rStyle w:val="Strong"/>
          <w:b w:val="0"/>
          <w:shd w:val="clear" w:color="auto" w:fill="FFFFFF"/>
        </w:rPr>
        <w:t xml:space="preserve">ommercial </w:t>
      </w:r>
      <w:r w:rsidRPr="003365BD">
        <w:rPr>
          <w:rStyle w:val="Strong"/>
          <w:b w:val="0"/>
          <w:shd w:val="clear" w:color="auto" w:fill="FFFFFF"/>
        </w:rPr>
        <w:t>&amp; A</w:t>
      </w:r>
      <w:r w:rsidR="003365BD" w:rsidRPr="003365BD">
        <w:rPr>
          <w:rStyle w:val="Strong"/>
          <w:b w:val="0"/>
          <w:shd w:val="clear" w:color="auto" w:fill="FFFFFF"/>
        </w:rPr>
        <w:t>dmiralty</w:t>
      </w:r>
      <w:r w:rsidRPr="003365BD">
        <w:rPr>
          <w:rStyle w:val="Strong"/>
          <w:b w:val="0"/>
          <w:shd w:val="clear" w:color="auto" w:fill="FFFFFF"/>
        </w:rPr>
        <w:t xml:space="preserve"> D</w:t>
      </w:r>
      <w:r w:rsidR="003365BD" w:rsidRPr="003365BD">
        <w:rPr>
          <w:rStyle w:val="Strong"/>
          <w:b w:val="0"/>
          <w:shd w:val="clear" w:color="auto" w:fill="FFFFFF"/>
        </w:rPr>
        <w:t>ivisions</w:t>
      </w:r>
    </w:p>
    <w:p w14:paraId="0F22B865" w14:textId="34A7E533" w:rsidR="00085DC4" w:rsidRPr="00756CB9" w:rsidRDefault="00085DC4" w:rsidP="00085DC4">
      <w:pPr>
        <w:pStyle w:val="NormalWeb"/>
        <w:spacing w:before="0" w:beforeAutospacing="0" w:after="200" w:afterAutospacing="0" w:line="360" w:lineRule="auto"/>
        <w:jc w:val="both"/>
      </w:pPr>
      <w:r w:rsidRPr="00756CB9">
        <w:rPr>
          <w:b/>
          <w:bCs/>
        </w:rPr>
        <w:t xml:space="preserve">Date of ruling: </w:t>
      </w:r>
      <w:r w:rsidRPr="003365BD">
        <w:rPr>
          <w:rStyle w:val="Strong"/>
          <w:b w:val="0"/>
          <w:shd w:val="clear" w:color="auto" w:fill="FFFFFF"/>
        </w:rPr>
        <w:t>26</w:t>
      </w:r>
      <w:r w:rsidRPr="003365BD">
        <w:rPr>
          <w:rStyle w:val="Strong"/>
          <w:b w:val="0"/>
          <w:shd w:val="clear" w:color="auto" w:fill="FFFFFF"/>
          <w:vertAlign w:val="superscript"/>
        </w:rPr>
        <w:t>th</w:t>
      </w:r>
      <w:r w:rsidRPr="003365BD">
        <w:rPr>
          <w:rStyle w:val="Strong"/>
          <w:b w:val="0"/>
          <w:shd w:val="clear" w:color="auto" w:fill="FFFFFF"/>
        </w:rPr>
        <w:t> day of March 2015</w:t>
      </w:r>
    </w:p>
    <w:p w14:paraId="4208B49C" w14:textId="3EE82A23" w:rsidR="00085DC4" w:rsidRPr="00756CB9" w:rsidRDefault="00085DC4" w:rsidP="00085DC4">
      <w:pPr>
        <w:pStyle w:val="NormalWeb"/>
        <w:spacing w:before="0" w:beforeAutospacing="0" w:after="200" w:afterAutospacing="0" w:line="360" w:lineRule="auto"/>
        <w:jc w:val="both"/>
        <w:rPr>
          <w:rStyle w:val="Strong"/>
          <w:shd w:val="clear" w:color="auto" w:fill="FFFFFF"/>
        </w:rPr>
      </w:pPr>
      <w:r w:rsidRPr="00756CB9">
        <w:rPr>
          <w:b/>
          <w:bCs/>
        </w:rPr>
        <w:t xml:space="preserve">Judge: </w:t>
      </w:r>
      <w:r w:rsidRPr="003365BD">
        <w:rPr>
          <w:rStyle w:val="Strong"/>
          <w:b w:val="0"/>
          <w:shd w:val="clear" w:color="auto" w:fill="FFFFFF"/>
        </w:rPr>
        <w:t>F. GIKONYO</w:t>
      </w:r>
    </w:p>
    <w:p w14:paraId="7D96EE4A" w14:textId="0E610BBA" w:rsidR="007A24ED" w:rsidRPr="00756CB9" w:rsidRDefault="00085DC4" w:rsidP="00085DC4">
      <w:pPr>
        <w:pStyle w:val="NormalWeb"/>
        <w:spacing w:before="0" w:beforeAutospacing="0" w:after="200" w:afterAutospacing="0" w:line="360" w:lineRule="auto"/>
        <w:jc w:val="both"/>
        <w:rPr>
          <w:b/>
          <w:u w:val="single"/>
        </w:rPr>
      </w:pPr>
      <w:r w:rsidRPr="00756CB9">
        <w:rPr>
          <w:b/>
          <w:u w:val="single"/>
        </w:rPr>
        <w:t xml:space="preserve">BRIEF FACTS </w:t>
      </w:r>
    </w:p>
    <w:p w14:paraId="3C0B9079" w14:textId="5684FE31" w:rsidR="0061424B" w:rsidRPr="00756CB9" w:rsidRDefault="0061424B" w:rsidP="00085DC4">
      <w:pPr>
        <w:pStyle w:val="NormalWeb"/>
        <w:spacing w:before="0" w:beforeAutospacing="0" w:after="200" w:afterAutospacing="0" w:line="360" w:lineRule="auto"/>
        <w:jc w:val="both"/>
        <w:rPr>
          <w:shd w:val="clear" w:color="auto" w:fill="FFFFFF"/>
        </w:rPr>
      </w:pPr>
      <w:r w:rsidRPr="00756CB9">
        <w:rPr>
          <w:shd w:val="clear" w:color="auto" w:fill="FFFFFF"/>
        </w:rPr>
        <w:t xml:space="preserve">This application </w:t>
      </w:r>
      <w:r w:rsidR="003365BD">
        <w:rPr>
          <w:shd w:val="clear" w:color="auto" w:fill="FFFFFF"/>
        </w:rPr>
        <w:t>sought</w:t>
      </w:r>
      <w:r w:rsidRPr="00756CB9">
        <w:rPr>
          <w:shd w:val="clear" w:color="auto" w:fill="FFFFFF"/>
        </w:rPr>
        <w:t xml:space="preserve"> the court to restrain, by way of an injunction, the </w:t>
      </w:r>
      <w:proofErr w:type="spellStart"/>
      <w:r w:rsidR="003365BD">
        <w:rPr>
          <w:shd w:val="clear" w:color="auto" w:fill="FFFFFF"/>
        </w:rPr>
        <w:t>chargee</w:t>
      </w:r>
      <w:proofErr w:type="spellEnd"/>
      <w:r w:rsidRPr="00756CB9">
        <w:rPr>
          <w:shd w:val="clear" w:color="auto" w:fill="FFFFFF"/>
        </w:rPr>
        <w:t xml:space="preserve"> from exercising its power of sale.</w:t>
      </w:r>
    </w:p>
    <w:p w14:paraId="5F0B72C5" w14:textId="54138878" w:rsidR="00CD141A" w:rsidRPr="00756CB9" w:rsidRDefault="00CD141A" w:rsidP="00085DC4">
      <w:pPr>
        <w:pStyle w:val="NormalWeb"/>
        <w:spacing w:before="0" w:beforeAutospacing="0" w:after="200" w:afterAutospacing="0" w:line="360" w:lineRule="auto"/>
        <w:jc w:val="both"/>
        <w:rPr>
          <w:shd w:val="clear" w:color="auto" w:fill="FFFFFF"/>
        </w:rPr>
      </w:pPr>
      <w:r w:rsidRPr="00756CB9">
        <w:t xml:space="preserve">Equity Bank Limited, </w:t>
      </w:r>
      <w:r w:rsidR="00085DC4" w:rsidRPr="00756CB9">
        <w:rPr>
          <w:shd w:val="clear" w:color="auto" w:fill="FFFFFF"/>
        </w:rPr>
        <w:t>the Respondent advanced a loan of </w:t>
      </w:r>
      <w:proofErr w:type="spellStart"/>
      <w:r w:rsidR="00085DC4" w:rsidRPr="00756CB9">
        <w:rPr>
          <w:rStyle w:val="Strong"/>
          <w:shd w:val="clear" w:color="auto" w:fill="FFFFFF"/>
        </w:rPr>
        <w:t>Kshs</w:t>
      </w:r>
      <w:proofErr w:type="spellEnd"/>
      <w:r w:rsidR="00085DC4" w:rsidRPr="00756CB9">
        <w:rPr>
          <w:rStyle w:val="Strong"/>
          <w:shd w:val="clear" w:color="auto" w:fill="FFFFFF"/>
        </w:rPr>
        <w:t>. 5,600,000/-</w:t>
      </w:r>
      <w:r w:rsidR="00085DC4" w:rsidRPr="00756CB9">
        <w:rPr>
          <w:shd w:val="clear" w:color="auto" w:fill="FFFFFF"/>
        </w:rPr>
        <w:t xml:space="preserve">to Unique Distributors Kenya Limited, (hereinafter the borrower). The loan was secured by a legal charge on the Applicant's property known as KAJIADO/KITENGELA/27303 (hereinafter “the suit property”). </w:t>
      </w:r>
      <w:r w:rsidRPr="00756CB9">
        <w:rPr>
          <w:shd w:val="clear" w:color="auto" w:fill="FFFFFF"/>
        </w:rPr>
        <w:t xml:space="preserve">The Applicant </w:t>
      </w:r>
      <w:r w:rsidR="003365BD">
        <w:rPr>
          <w:shd w:val="clear" w:color="auto" w:fill="FFFFFF"/>
        </w:rPr>
        <w:t>wa</w:t>
      </w:r>
      <w:r w:rsidRPr="00756CB9">
        <w:rPr>
          <w:shd w:val="clear" w:color="auto" w:fill="FFFFFF"/>
        </w:rPr>
        <w:t xml:space="preserve">s the registered owner of the charged property and a guarantor of the </w:t>
      </w:r>
      <w:r w:rsidR="003365BD">
        <w:rPr>
          <w:shd w:val="clear" w:color="auto" w:fill="FFFFFF"/>
        </w:rPr>
        <w:t>l</w:t>
      </w:r>
      <w:r w:rsidRPr="00756CB9">
        <w:rPr>
          <w:shd w:val="clear" w:color="auto" w:fill="FFFFFF"/>
        </w:rPr>
        <w:t>oan advanced to the Borrower.</w:t>
      </w:r>
    </w:p>
    <w:p w14:paraId="1EEA7E72" w14:textId="1C15E01B" w:rsidR="00085DC4" w:rsidRPr="00756CB9" w:rsidRDefault="00085DC4" w:rsidP="00085DC4">
      <w:pPr>
        <w:pStyle w:val="NormalWeb"/>
        <w:spacing w:before="0" w:beforeAutospacing="0" w:after="200" w:afterAutospacing="0" w:line="360" w:lineRule="auto"/>
        <w:jc w:val="both"/>
        <w:rPr>
          <w:shd w:val="clear" w:color="auto" w:fill="FFFFFF"/>
        </w:rPr>
      </w:pPr>
      <w:r w:rsidRPr="00756CB9">
        <w:rPr>
          <w:shd w:val="clear" w:color="auto" w:fill="FFFFFF"/>
        </w:rPr>
        <w:t xml:space="preserve">On or about November 2013 the Applicant received a notice of exercise of statutory power of sale from the Respondent. </w:t>
      </w:r>
      <w:r w:rsidR="003365BD">
        <w:rPr>
          <w:shd w:val="clear" w:color="auto" w:fill="FFFFFF"/>
        </w:rPr>
        <w:t>However</w:t>
      </w:r>
      <w:r w:rsidRPr="00756CB9">
        <w:rPr>
          <w:shd w:val="clear" w:color="auto" w:fill="FFFFFF"/>
        </w:rPr>
        <w:t>, despite the Applicant</w:t>
      </w:r>
      <w:r w:rsidR="007166E7">
        <w:rPr>
          <w:shd w:val="clear" w:color="auto" w:fill="FFFFFF"/>
        </w:rPr>
        <w:t>’</w:t>
      </w:r>
      <w:r w:rsidRPr="00756CB9">
        <w:rPr>
          <w:shd w:val="clear" w:color="auto" w:fill="FFFFFF"/>
        </w:rPr>
        <w:t xml:space="preserve">s </w:t>
      </w:r>
      <w:r w:rsidR="007166E7">
        <w:rPr>
          <w:shd w:val="clear" w:color="auto" w:fill="FFFFFF"/>
        </w:rPr>
        <w:t>admittance of the</w:t>
      </w:r>
      <w:r w:rsidRPr="00756CB9">
        <w:rPr>
          <w:shd w:val="clear" w:color="auto" w:fill="FFFFFF"/>
        </w:rPr>
        <w:t xml:space="preserve"> best effort to ensure that the borrower complied with the terms of the loan facility, the borrower failed and or neglected to pay. As a result of the default, the Applicant was served with a Notification of Sale of the Applicant’s suit property by </w:t>
      </w:r>
      <w:proofErr w:type="spellStart"/>
      <w:r w:rsidRPr="00756CB9">
        <w:rPr>
          <w:shd w:val="clear" w:color="auto" w:fill="FFFFFF"/>
        </w:rPr>
        <w:t>Keysian</w:t>
      </w:r>
      <w:proofErr w:type="spellEnd"/>
      <w:r w:rsidRPr="00756CB9">
        <w:rPr>
          <w:shd w:val="clear" w:color="auto" w:fill="FFFFFF"/>
        </w:rPr>
        <w:t xml:space="preserve"> auctioneers setting the sale of the suit property to be on 30</w:t>
      </w:r>
      <w:r w:rsidRPr="00756CB9">
        <w:rPr>
          <w:shd w:val="clear" w:color="auto" w:fill="FFFFFF"/>
          <w:vertAlign w:val="superscript"/>
        </w:rPr>
        <w:t>th</w:t>
      </w:r>
      <w:r w:rsidRPr="00756CB9">
        <w:rPr>
          <w:shd w:val="clear" w:color="auto" w:fill="FFFFFF"/>
        </w:rPr>
        <w:t> May 2014</w:t>
      </w:r>
      <w:r w:rsidR="00CD141A" w:rsidRPr="00756CB9">
        <w:rPr>
          <w:shd w:val="clear" w:color="auto" w:fill="FFFFFF"/>
        </w:rPr>
        <w:t>.</w:t>
      </w:r>
    </w:p>
    <w:p w14:paraId="4A113827" w14:textId="4F7DC04C" w:rsidR="007166E7" w:rsidRDefault="00CD141A" w:rsidP="00085DC4">
      <w:pPr>
        <w:pStyle w:val="NormalWeb"/>
        <w:spacing w:before="0" w:beforeAutospacing="0" w:after="200" w:afterAutospacing="0" w:line="360" w:lineRule="auto"/>
        <w:jc w:val="both"/>
        <w:rPr>
          <w:shd w:val="clear" w:color="auto" w:fill="FFFFFF"/>
        </w:rPr>
      </w:pPr>
      <w:r w:rsidRPr="00756CB9">
        <w:rPr>
          <w:shd w:val="clear" w:color="auto" w:fill="FFFFFF"/>
        </w:rPr>
        <w:t>I</w:t>
      </w:r>
      <w:r w:rsidR="007166E7">
        <w:rPr>
          <w:shd w:val="clear" w:color="auto" w:fill="FFFFFF"/>
        </w:rPr>
        <w:t>nterestingly, i</w:t>
      </w:r>
      <w:r w:rsidRPr="00756CB9">
        <w:rPr>
          <w:shd w:val="clear" w:color="auto" w:fill="FFFFFF"/>
        </w:rPr>
        <w:t xml:space="preserve">t </w:t>
      </w:r>
      <w:r w:rsidR="007166E7">
        <w:rPr>
          <w:shd w:val="clear" w:color="auto" w:fill="FFFFFF"/>
        </w:rPr>
        <w:t>was</w:t>
      </w:r>
      <w:r w:rsidRPr="00756CB9">
        <w:rPr>
          <w:shd w:val="clear" w:color="auto" w:fill="FFFFFF"/>
        </w:rPr>
        <w:t xml:space="preserve"> not in dispute that the Applicant’s property </w:t>
      </w:r>
      <w:r w:rsidR="007166E7">
        <w:rPr>
          <w:shd w:val="clear" w:color="auto" w:fill="FFFFFF"/>
        </w:rPr>
        <w:t>wa</w:t>
      </w:r>
      <w:r w:rsidRPr="00756CB9">
        <w:rPr>
          <w:shd w:val="clear" w:color="auto" w:fill="FFFFFF"/>
        </w:rPr>
        <w:t>s being sold upon the terms of the guarantee for loan and charge created thereof. Nobody ha</w:t>
      </w:r>
      <w:r w:rsidR="007166E7">
        <w:rPr>
          <w:shd w:val="clear" w:color="auto" w:fill="FFFFFF"/>
        </w:rPr>
        <w:t>d</w:t>
      </w:r>
      <w:r w:rsidRPr="00756CB9">
        <w:rPr>
          <w:shd w:val="clear" w:color="auto" w:fill="FFFFFF"/>
        </w:rPr>
        <w:t xml:space="preserve"> any quarrel with the course taken by the Respondent, because </w:t>
      </w:r>
      <w:r w:rsidR="007166E7">
        <w:rPr>
          <w:shd w:val="clear" w:color="auto" w:fill="FFFFFF"/>
        </w:rPr>
        <w:t xml:space="preserve">according to the </w:t>
      </w:r>
      <w:r w:rsidR="007166E7" w:rsidRPr="007166E7">
        <w:rPr>
          <w:b/>
          <w:shd w:val="clear" w:color="auto" w:fill="FFFFFF"/>
        </w:rPr>
        <w:t>Law of Contract Act (CAP 23)</w:t>
      </w:r>
      <w:r w:rsidR="007166E7">
        <w:rPr>
          <w:b/>
          <w:shd w:val="clear" w:color="auto" w:fill="FFFFFF"/>
        </w:rPr>
        <w:t>,</w:t>
      </w:r>
      <w:r w:rsidRPr="00756CB9">
        <w:rPr>
          <w:shd w:val="clear" w:color="auto" w:fill="FFFFFF"/>
        </w:rPr>
        <w:t xml:space="preserve"> the Lender has right to proceed against a Guarantor on the guarantee. A guarantee constitutes a separate contract from the borrower’s simple contract for loan and the liability of a Guarantor is separate from that of the Borrower; it arises upon the default by the Borrower to fulfil the terms of the contract for loan. The Guarantor is, therefore, sued and liable on the guarantee. </w:t>
      </w:r>
    </w:p>
    <w:p w14:paraId="7FD010BD" w14:textId="334DC87D" w:rsidR="00CD141A" w:rsidRPr="00756CB9" w:rsidRDefault="00CD141A" w:rsidP="00085DC4">
      <w:pPr>
        <w:pStyle w:val="NormalWeb"/>
        <w:spacing w:before="0" w:beforeAutospacing="0" w:after="200" w:afterAutospacing="0" w:line="360" w:lineRule="auto"/>
        <w:jc w:val="both"/>
        <w:rPr>
          <w:shd w:val="clear" w:color="auto" w:fill="FFFFFF"/>
        </w:rPr>
      </w:pPr>
      <w:r w:rsidRPr="00756CB9">
        <w:rPr>
          <w:shd w:val="clear" w:color="auto" w:fill="FFFFFF"/>
        </w:rPr>
        <w:lastRenderedPageBreak/>
        <w:t xml:space="preserve">Except, however, where the guarantee is also given in form of a charge on immovable property of the Guarantor, the guarantor will benefit from certain provisions of the law available to a </w:t>
      </w:r>
      <w:proofErr w:type="spellStart"/>
      <w:r w:rsidRPr="00756CB9">
        <w:rPr>
          <w:shd w:val="clear" w:color="auto" w:fill="FFFFFF"/>
        </w:rPr>
        <w:t>charg</w:t>
      </w:r>
      <w:r w:rsidR="007166E7">
        <w:rPr>
          <w:shd w:val="clear" w:color="auto" w:fill="FFFFFF"/>
        </w:rPr>
        <w:t>o</w:t>
      </w:r>
      <w:r w:rsidRPr="00756CB9">
        <w:rPr>
          <w:shd w:val="clear" w:color="auto" w:fill="FFFFFF"/>
        </w:rPr>
        <w:t>r</w:t>
      </w:r>
      <w:proofErr w:type="spellEnd"/>
      <w:r w:rsidRPr="00756CB9">
        <w:rPr>
          <w:shd w:val="clear" w:color="auto" w:fill="FFFFFF"/>
        </w:rPr>
        <w:t>.</w:t>
      </w:r>
    </w:p>
    <w:p w14:paraId="2C9CB941" w14:textId="264702C5" w:rsidR="00CD141A" w:rsidRPr="007166E7" w:rsidRDefault="00CD141A" w:rsidP="00085DC4">
      <w:pPr>
        <w:pStyle w:val="NormalWeb"/>
        <w:spacing w:before="0" w:beforeAutospacing="0" w:after="200" w:afterAutospacing="0" w:line="360" w:lineRule="auto"/>
        <w:jc w:val="both"/>
        <w:rPr>
          <w:b/>
          <w:u w:val="single"/>
          <w:shd w:val="clear" w:color="auto" w:fill="FFFFFF"/>
        </w:rPr>
      </w:pPr>
      <w:r w:rsidRPr="007166E7">
        <w:rPr>
          <w:b/>
          <w:u w:val="single"/>
          <w:shd w:val="clear" w:color="auto" w:fill="FFFFFF"/>
        </w:rPr>
        <w:t>ISSUES</w:t>
      </w:r>
      <w:r w:rsidR="007166E7" w:rsidRPr="007166E7">
        <w:rPr>
          <w:b/>
          <w:u w:val="single"/>
          <w:shd w:val="clear" w:color="auto" w:fill="FFFFFF"/>
        </w:rPr>
        <w:t xml:space="preserve"> </w:t>
      </w:r>
      <w:r w:rsidRPr="007166E7">
        <w:rPr>
          <w:b/>
          <w:u w:val="single"/>
          <w:shd w:val="clear" w:color="auto" w:fill="FFFFFF"/>
        </w:rPr>
        <w:t xml:space="preserve"> </w:t>
      </w:r>
    </w:p>
    <w:p w14:paraId="7DF96F53" w14:textId="5CAC64AC" w:rsidR="00CD141A" w:rsidRPr="00756CB9" w:rsidRDefault="00CD141A" w:rsidP="00CD141A">
      <w:pPr>
        <w:pStyle w:val="NormalWeb"/>
        <w:numPr>
          <w:ilvl w:val="0"/>
          <w:numId w:val="1"/>
        </w:numPr>
        <w:spacing w:before="0" w:beforeAutospacing="0" w:after="200" w:afterAutospacing="0" w:line="360" w:lineRule="auto"/>
        <w:jc w:val="both"/>
        <w:rPr>
          <w:shd w:val="clear" w:color="auto" w:fill="FFFFFF"/>
        </w:rPr>
      </w:pPr>
      <w:r w:rsidRPr="00756CB9">
        <w:rPr>
          <w:shd w:val="clear" w:color="auto" w:fill="FFFFFF"/>
        </w:rPr>
        <w:t xml:space="preserve">Whether the Respondent failed to discharge the duty of care under </w:t>
      </w:r>
      <w:r w:rsidRPr="007166E7">
        <w:rPr>
          <w:b/>
          <w:shd w:val="clear" w:color="auto" w:fill="FFFFFF"/>
        </w:rPr>
        <w:t>section 97(2) of the Land Act</w:t>
      </w:r>
      <w:r w:rsidRPr="00756CB9">
        <w:rPr>
          <w:shd w:val="clear" w:color="auto" w:fill="FFFFFF"/>
        </w:rPr>
        <w:t xml:space="preserve"> to undertake valuation of the suit property in order to obtain the best market value of the suit property. </w:t>
      </w:r>
    </w:p>
    <w:p w14:paraId="48217D6E" w14:textId="20913728" w:rsidR="00697256" w:rsidRPr="008476BD" w:rsidRDefault="00CD141A" w:rsidP="00697256">
      <w:pPr>
        <w:pStyle w:val="NormalWeb"/>
        <w:numPr>
          <w:ilvl w:val="0"/>
          <w:numId w:val="1"/>
        </w:numPr>
        <w:spacing w:before="0" w:beforeAutospacing="0" w:after="200" w:afterAutospacing="0" w:line="360" w:lineRule="auto"/>
        <w:jc w:val="both"/>
        <w:rPr>
          <w:b/>
          <w:shd w:val="clear" w:color="auto" w:fill="FFFFFF"/>
        </w:rPr>
      </w:pPr>
      <w:r w:rsidRPr="00756CB9">
        <w:rPr>
          <w:shd w:val="clear" w:color="auto" w:fill="FFFFFF"/>
        </w:rPr>
        <w:t>Whether the Notification of sale of the charged property</w:t>
      </w:r>
      <w:r w:rsidR="00697256" w:rsidRPr="00756CB9">
        <w:rPr>
          <w:shd w:val="clear" w:color="auto" w:fill="FFFFFF"/>
        </w:rPr>
        <w:t xml:space="preserve">, </w:t>
      </w:r>
      <w:r w:rsidRPr="00756CB9">
        <w:rPr>
          <w:shd w:val="clear" w:color="auto" w:fill="FFFFFF"/>
        </w:rPr>
        <w:t xml:space="preserve">was invalid having been issued without the Notice to sell, which notice is provided for under </w:t>
      </w:r>
      <w:r w:rsidRPr="008476BD">
        <w:rPr>
          <w:b/>
          <w:shd w:val="clear" w:color="auto" w:fill="FFFFFF"/>
        </w:rPr>
        <w:t>section 96(2) of the Land Act</w:t>
      </w:r>
      <w:r w:rsidR="00697256" w:rsidRPr="008476BD">
        <w:rPr>
          <w:b/>
          <w:shd w:val="clear" w:color="auto" w:fill="FFFFFF"/>
        </w:rPr>
        <w:t>.</w:t>
      </w:r>
    </w:p>
    <w:p w14:paraId="76123E55" w14:textId="2DBB6497" w:rsidR="00697256" w:rsidRPr="00756CB9" w:rsidRDefault="00697256" w:rsidP="00697256">
      <w:pPr>
        <w:pStyle w:val="NormalWeb"/>
        <w:spacing w:before="0" w:beforeAutospacing="0" w:after="200" w:afterAutospacing="0" w:line="360" w:lineRule="auto"/>
        <w:jc w:val="both"/>
        <w:rPr>
          <w:b/>
          <w:bCs/>
          <w:u w:val="single"/>
        </w:rPr>
      </w:pPr>
      <w:r w:rsidRPr="00756CB9">
        <w:rPr>
          <w:b/>
          <w:bCs/>
          <w:u w:val="single"/>
        </w:rPr>
        <w:t>APPLICABLE LAW</w:t>
      </w:r>
    </w:p>
    <w:p w14:paraId="090EC568" w14:textId="230C2A26" w:rsidR="00697256" w:rsidRPr="00756CB9" w:rsidRDefault="00697256" w:rsidP="00697256">
      <w:pPr>
        <w:pStyle w:val="NormalWeb"/>
        <w:spacing w:before="0" w:beforeAutospacing="0" w:after="200" w:afterAutospacing="0" w:line="360" w:lineRule="auto"/>
        <w:jc w:val="both"/>
        <w:rPr>
          <w:shd w:val="clear" w:color="auto" w:fill="FFFFFF"/>
        </w:rPr>
      </w:pPr>
      <w:r w:rsidRPr="00756CB9">
        <w:rPr>
          <w:shd w:val="clear" w:color="auto" w:fill="FFFFFF"/>
        </w:rPr>
        <w:t>Land Act (No. 6 of 2012)</w:t>
      </w:r>
    </w:p>
    <w:p w14:paraId="24B9C40E" w14:textId="5B567002" w:rsidR="00697256" w:rsidRPr="00756CB9" w:rsidRDefault="00697256" w:rsidP="00697256">
      <w:pPr>
        <w:pStyle w:val="NormalWeb"/>
        <w:spacing w:before="0" w:beforeAutospacing="0" w:after="200" w:afterAutospacing="0" w:line="360" w:lineRule="auto"/>
        <w:jc w:val="both"/>
        <w:rPr>
          <w:shd w:val="clear" w:color="auto" w:fill="FFFFFF"/>
        </w:rPr>
      </w:pPr>
      <w:r w:rsidRPr="00756CB9">
        <w:rPr>
          <w:shd w:val="clear" w:color="auto" w:fill="FFFFFF"/>
        </w:rPr>
        <w:t>Auctioneers Act (No. 5 of 1996)</w:t>
      </w:r>
    </w:p>
    <w:p w14:paraId="5FA422C1" w14:textId="53DC0AB9" w:rsidR="00697256" w:rsidRDefault="00697256" w:rsidP="00697256">
      <w:pPr>
        <w:pStyle w:val="NormalWeb"/>
        <w:spacing w:before="0" w:beforeAutospacing="0" w:after="200" w:afterAutospacing="0" w:line="360" w:lineRule="auto"/>
        <w:jc w:val="both"/>
        <w:rPr>
          <w:b/>
          <w:u w:val="single"/>
          <w:shd w:val="clear" w:color="auto" w:fill="FFFFFF"/>
        </w:rPr>
      </w:pPr>
      <w:r w:rsidRPr="00756CB9">
        <w:rPr>
          <w:b/>
          <w:u w:val="single"/>
          <w:shd w:val="clear" w:color="auto" w:fill="FFFFFF"/>
        </w:rPr>
        <w:t xml:space="preserve">HOLDING </w:t>
      </w:r>
    </w:p>
    <w:p w14:paraId="6664EFC6" w14:textId="31E26BCF" w:rsidR="00727879" w:rsidRPr="00756CB9" w:rsidRDefault="00F45747" w:rsidP="00697256">
      <w:pPr>
        <w:pStyle w:val="NormalWeb"/>
        <w:spacing w:before="0" w:beforeAutospacing="0" w:after="200" w:afterAutospacing="0" w:line="360" w:lineRule="auto"/>
        <w:jc w:val="both"/>
        <w:rPr>
          <w:b/>
          <w:u w:val="single"/>
          <w:shd w:val="clear" w:color="auto" w:fill="FFFFFF"/>
        </w:rPr>
      </w:pPr>
      <w:r>
        <w:rPr>
          <w:shd w:val="clear" w:color="auto" w:fill="FFFFFF"/>
        </w:rPr>
        <w:t>The application for an injunction succeeded.</w:t>
      </w:r>
    </w:p>
    <w:p w14:paraId="66E39ACA" w14:textId="29639983" w:rsidR="00697256" w:rsidRPr="00756CB9" w:rsidRDefault="00697256" w:rsidP="00697256">
      <w:pPr>
        <w:pStyle w:val="NormalWeb"/>
        <w:spacing w:before="0" w:beforeAutospacing="0" w:after="200" w:afterAutospacing="0" w:line="360" w:lineRule="auto"/>
        <w:jc w:val="both"/>
        <w:rPr>
          <w:b/>
          <w:u w:val="single"/>
          <w:shd w:val="clear" w:color="auto" w:fill="FFFFFF"/>
        </w:rPr>
      </w:pPr>
      <w:r w:rsidRPr="00756CB9">
        <w:rPr>
          <w:b/>
          <w:u w:val="single"/>
          <w:shd w:val="clear" w:color="auto" w:fill="FFFFFF"/>
        </w:rPr>
        <w:t>RATIONALE/REASONING</w:t>
      </w:r>
    </w:p>
    <w:p w14:paraId="6D04FED1" w14:textId="54927065" w:rsidR="00697256" w:rsidRPr="00756CB9" w:rsidRDefault="00BB1876" w:rsidP="00BB1876">
      <w:pPr>
        <w:pStyle w:val="NormalWeb"/>
        <w:numPr>
          <w:ilvl w:val="0"/>
          <w:numId w:val="2"/>
        </w:numPr>
        <w:spacing w:before="0" w:beforeAutospacing="0" w:after="200" w:afterAutospacing="0" w:line="360" w:lineRule="auto"/>
        <w:jc w:val="both"/>
        <w:rPr>
          <w:rStyle w:val="Strong"/>
          <w:shd w:val="clear" w:color="auto" w:fill="FFFFFF"/>
        </w:rPr>
      </w:pPr>
      <w:r w:rsidRPr="00756CB9">
        <w:rPr>
          <w:rStyle w:val="Strong"/>
          <w:shd w:val="clear" w:color="auto" w:fill="FFFFFF"/>
        </w:rPr>
        <w:t>Forced valuation</w:t>
      </w:r>
    </w:p>
    <w:p w14:paraId="10EEA81D" w14:textId="473DB96C" w:rsidR="00BB1876" w:rsidRPr="00756CB9" w:rsidRDefault="00BB1876" w:rsidP="00BB1876">
      <w:pPr>
        <w:pStyle w:val="NormalWeb"/>
        <w:spacing w:before="0" w:beforeAutospacing="0" w:after="200" w:afterAutospacing="0" w:line="360" w:lineRule="auto"/>
        <w:jc w:val="both"/>
        <w:rPr>
          <w:shd w:val="clear" w:color="auto" w:fill="FFFFFF"/>
        </w:rPr>
      </w:pPr>
      <w:r w:rsidRPr="00756CB9">
        <w:rPr>
          <w:shd w:val="clear" w:color="auto" w:fill="FFFFFF"/>
        </w:rPr>
        <w:t xml:space="preserve">The Applicant submitted that after the Notification of sale by </w:t>
      </w:r>
      <w:proofErr w:type="spellStart"/>
      <w:r w:rsidRPr="00756CB9">
        <w:rPr>
          <w:shd w:val="clear" w:color="auto" w:fill="FFFFFF"/>
        </w:rPr>
        <w:t>Keysian</w:t>
      </w:r>
      <w:proofErr w:type="spellEnd"/>
      <w:r w:rsidRPr="00756CB9">
        <w:rPr>
          <w:shd w:val="clear" w:color="auto" w:fill="FFFFFF"/>
        </w:rPr>
        <w:t xml:space="preserve"> Auctioneers was served on the</w:t>
      </w:r>
      <w:r w:rsidR="008476BD">
        <w:rPr>
          <w:shd w:val="clear" w:color="auto" w:fill="FFFFFF"/>
        </w:rPr>
        <w:t>m</w:t>
      </w:r>
      <w:r w:rsidRPr="00756CB9">
        <w:rPr>
          <w:shd w:val="clear" w:color="auto" w:fill="FFFFFF"/>
        </w:rPr>
        <w:t xml:space="preserve">, </w:t>
      </w:r>
      <w:r w:rsidR="008476BD">
        <w:rPr>
          <w:shd w:val="clear" w:color="auto" w:fill="FFFFFF"/>
        </w:rPr>
        <w:t>they</w:t>
      </w:r>
      <w:r w:rsidRPr="00756CB9">
        <w:rPr>
          <w:shd w:val="clear" w:color="auto" w:fill="FFFFFF"/>
        </w:rPr>
        <w:t xml:space="preserve"> wrote to the Respondent through a letter requesting the Respondent to undertake valuation before the sale of the suit property and avail a copy of the said valuation so as to be aware of the current market value of the suit property. The Applicant alleged that the Respondent did not respond to the said letter in spite of receiving it and </w:t>
      </w:r>
      <w:r w:rsidR="008476BD">
        <w:rPr>
          <w:shd w:val="clear" w:color="auto" w:fill="FFFFFF"/>
        </w:rPr>
        <w:t>t</w:t>
      </w:r>
      <w:r w:rsidRPr="00756CB9">
        <w:rPr>
          <w:shd w:val="clear" w:color="auto" w:fill="FFFFFF"/>
        </w:rPr>
        <w:t>his failure forced the Applicant to seek protection from this Honourable Court through this suit.</w:t>
      </w:r>
    </w:p>
    <w:p w14:paraId="0A6C7D6B" w14:textId="60A1F10C" w:rsidR="00BB1876" w:rsidRPr="00756CB9" w:rsidRDefault="00BB1876" w:rsidP="00BB1876">
      <w:pPr>
        <w:pStyle w:val="NormalWeb"/>
        <w:spacing w:before="0" w:beforeAutospacing="0" w:after="200" w:afterAutospacing="0" w:line="360" w:lineRule="auto"/>
        <w:jc w:val="both"/>
        <w:rPr>
          <w:shd w:val="clear" w:color="auto" w:fill="FFFFFF"/>
        </w:rPr>
      </w:pPr>
      <w:r w:rsidRPr="00756CB9">
        <w:rPr>
          <w:shd w:val="clear" w:color="auto" w:fill="FFFFFF"/>
        </w:rPr>
        <w:t> The Applicant</w:t>
      </w:r>
      <w:r w:rsidR="008476BD">
        <w:rPr>
          <w:shd w:val="clear" w:color="auto" w:fill="FFFFFF"/>
        </w:rPr>
        <w:t xml:space="preserve"> also</w:t>
      </w:r>
      <w:r w:rsidRPr="00756CB9">
        <w:rPr>
          <w:shd w:val="clear" w:color="auto" w:fill="FFFFFF"/>
        </w:rPr>
        <w:t xml:space="preserve"> allege</w:t>
      </w:r>
      <w:r w:rsidR="006C5D77" w:rsidRPr="00756CB9">
        <w:rPr>
          <w:shd w:val="clear" w:color="auto" w:fill="FFFFFF"/>
        </w:rPr>
        <w:t>d</w:t>
      </w:r>
      <w:r w:rsidRPr="00756CB9">
        <w:rPr>
          <w:shd w:val="clear" w:color="auto" w:fill="FFFFFF"/>
        </w:rPr>
        <w:t xml:space="preserve"> that the Respondent’s valuation report </w:t>
      </w:r>
      <w:r w:rsidR="006C5D77" w:rsidRPr="00756CB9">
        <w:rPr>
          <w:shd w:val="clear" w:color="auto" w:fill="FFFFFF"/>
        </w:rPr>
        <w:t xml:space="preserve">submitted to the court, </w:t>
      </w:r>
      <w:r w:rsidRPr="00756CB9">
        <w:rPr>
          <w:shd w:val="clear" w:color="auto" w:fill="FFFFFF"/>
        </w:rPr>
        <w:t>d</w:t>
      </w:r>
      <w:r w:rsidR="006C5D77" w:rsidRPr="00756CB9">
        <w:rPr>
          <w:shd w:val="clear" w:color="auto" w:fill="FFFFFF"/>
        </w:rPr>
        <w:t>id</w:t>
      </w:r>
      <w:r w:rsidRPr="00756CB9">
        <w:rPr>
          <w:shd w:val="clear" w:color="auto" w:fill="FFFFFF"/>
        </w:rPr>
        <w:t xml:space="preserve"> not contain comparable</w:t>
      </w:r>
      <w:r w:rsidR="00651FA9">
        <w:rPr>
          <w:shd w:val="clear" w:color="auto" w:fill="FFFFFF"/>
        </w:rPr>
        <w:t xml:space="preserve"> </w:t>
      </w:r>
      <w:r w:rsidRPr="00756CB9">
        <w:rPr>
          <w:shd w:val="clear" w:color="auto" w:fill="FFFFFF"/>
        </w:rPr>
        <w:t xml:space="preserve">encumbrances, services, </w:t>
      </w:r>
      <w:r w:rsidR="00651FA9">
        <w:rPr>
          <w:shd w:val="clear" w:color="auto" w:fill="FFFFFF"/>
        </w:rPr>
        <w:t xml:space="preserve">the location of the suit property </w:t>
      </w:r>
      <w:r w:rsidRPr="00756CB9">
        <w:rPr>
          <w:shd w:val="clear" w:color="auto" w:fill="FFFFFF"/>
        </w:rPr>
        <w:t>and all other essential things a valuation report should contain. They found it curious that the Respondent’s Valuer states that they inspected the suit property on 16</w:t>
      </w:r>
      <w:r w:rsidRPr="00756CB9">
        <w:rPr>
          <w:shd w:val="clear" w:color="auto" w:fill="FFFFFF"/>
          <w:vertAlign w:val="superscript"/>
        </w:rPr>
        <w:t>th</w:t>
      </w:r>
      <w:r w:rsidRPr="00756CB9">
        <w:rPr>
          <w:shd w:val="clear" w:color="auto" w:fill="FFFFFF"/>
        </w:rPr>
        <w:t> May 2014 and submitted the report on 19</w:t>
      </w:r>
      <w:r w:rsidRPr="00756CB9">
        <w:rPr>
          <w:shd w:val="clear" w:color="auto" w:fill="FFFFFF"/>
          <w:vertAlign w:val="superscript"/>
        </w:rPr>
        <w:t>th</w:t>
      </w:r>
      <w:r w:rsidRPr="00756CB9">
        <w:rPr>
          <w:shd w:val="clear" w:color="auto" w:fill="FFFFFF"/>
        </w:rPr>
        <w:t> May 2014. Yet, the suit property was advertised on 7</w:t>
      </w:r>
      <w:r w:rsidRPr="00756CB9">
        <w:rPr>
          <w:shd w:val="clear" w:color="auto" w:fill="FFFFFF"/>
          <w:vertAlign w:val="superscript"/>
        </w:rPr>
        <w:t>th</w:t>
      </w:r>
      <w:r w:rsidRPr="00756CB9">
        <w:rPr>
          <w:shd w:val="clear" w:color="auto" w:fill="FFFFFF"/>
        </w:rPr>
        <w:t xml:space="preserve"> May 2014 in the Daily Nations. </w:t>
      </w:r>
    </w:p>
    <w:p w14:paraId="3FCFCA95" w14:textId="29AA7149" w:rsidR="00697256" w:rsidRPr="00756CB9" w:rsidRDefault="00BB1876" w:rsidP="00697256">
      <w:pPr>
        <w:pStyle w:val="NormalWeb"/>
        <w:spacing w:before="0" w:beforeAutospacing="0" w:after="200" w:afterAutospacing="0" w:line="360" w:lineRule="auto"/>
        <w:jc w:val="both"/>
        <w:rPr>
          <w:shd w:val="clear" w:color="auto" w:fill="FFFFFF"/>
        </w:rPr>
      </w:pPr>
      <w:r w:rsidRPr="00756CB9">
        <w:rPr>
          <w:shd w:val="clear" w:color="auto" w:fill="FFFFFF"/>
        </w:rPr>
        <w:lastRenderedPageBreak/>
        <w:t>These shortcomings prompted the Applicant to commission its own valuation on the suit property comparing it with that of the respondent</w:t>
      </w:r>
      <w:r w:rsidR="006C5D77" w:rsidRPr="00756CB9">
        <w:rPr>
          <w:shd w:val="clear" w:color="auto" w:fill="FFFFFF"/>
        </w:rPr>
        <w:t>’</w:t>
      </w:r>
      <w:r w:rsidRPr="00756CB9">
        <w:rPr>
          <w:shd w:val="clear" w:color="auto" w:fill="FFFFFF"/>
        </w:rPr>
        <w:t>s valuation of the suit property.</w:t>
      </w:r>
      <w:r w:rsidRPr="00651FA9">
        <w:rPr>
          <w:shd w:val="clear" w:color="auto" w:fill="FFFFFF"/>
        </w:rPr>
        <w:t xml:space="preserve"> </w:t>
      </w:r>
      <w:r w:rsidR="00651FA9">
        <w:rPr>
          <w:rStyle w:val="Strong"/>
          <w:b w:val="0"/>
          <w:shd w:val="clear" w:color="auto" w:fill="FFFFFF"/>
        </w:rPr>
        <w:t>T</w:t>
      </w:r>
      <w:r w:rsidRPr="00651FA9">
        <w:rPr>
          <w:shd w:val="clear" w:color="auto" w:fill="FFFFFF"/>
        </w:rPr>
        <w:t>he</w:t>
      </w:r>
      <w:r w:rsidRPr="00756CB9">
        <w:rPr>
          <w:shd w:val="clear" w:color="auto" w:fill="FFFFFF"/>
        </w:rPr>
        <w:t xml:space="preserve"> Applicant </w:t>
      </w:r>
      <w:r w:rsidR="006C5D77" w:rsidRPr="00756CB9">
        <w:rPr>
          <w:shd w:val="clear" w:color="auto" w:fill="FFFFFF"/>
        </w:rPr>
        <w:t>maintained</w:t>
      </w:r>
      <w:r w:rsidRPr="00756CB9">
        <w:rPr>
          <w:shd w:val="clear" w:color="auto" w:fill="FFFFFF"/>
        </w:rPr>
        <w:t xml:space="preserve"> that the valuation by the Respondent was a gross undervaluation of the market value and forced sale valuation of the property.</w:t>
      </w:r>
    </w:p>
    <w:p w14:paraId="217DDCB0" w14:textId="75438F3A" w:rsidR="006C5D77" w:rsidRPr="00756CB9" w:rsidRDefault="006C5D77" w:rsidP="00697256">
      <w:pPr>
        <w:pStyle w:val="NormalWeb"/>
        <w:spacing w:before="0" w:beforeAutospacing="0" w:after="200" w:afterAutospacing="0" w:line="360" w:lineRule="auto"/>
        <w:jc w:val="both"/>
        <w:rPr>
          <w:shd w:val="clear" w:color="auto" w:fill="FFFFFF"/>
        </w:rPr>
      </w:pPr>
      <w:r w:rsidRPr="00651FA9">
        <w:rPr>
          <w:bCs/>
          <w:shd w:val="clear" w:color="auto" w:fill="FFFFFF"/>
        </w:rPr>
        <w:t>On the other hand, the respondents argued that</w:t>
      </w:r>
      <w:r w:rsidRPr="00756CB9">
        <w:rPr>
          <w:b/>
          <w:bCs/>
          <w:shd w:val="clear" w:color="auto" w:fill="FFFFFF"/>
        </w:rPr>
        <w:t xml:space="preserve"> </w:t>
      </w:r>
      <w:r w:rsidR="00651FA9">
        <w:rPr>
          <w:bCs/>
          <w:shd w:val="clear" w:color="auto" w:fill="FFFFFF"/>
        </w:rPr>
        <w:t>t</w:t>
      </w:r>
      <w:r w:rsidRPr="00756CB9">
        <w:rPr>
          <w:shd w:val="clear" w:color="auto" w:fill="FFFFFF"/>
        </w:rPr>
        <w:t xml:space="preserve">hey </w:t>
      </w:r>
      <w:r w:rsidR="00651FA9">
        <w:rPr>
          <w:shd w:val="clear" w:color="auto" w:fill="FFFFFF"/>
        </w:rPr>
        <w:t>did undertake</w:t>
      </w:r>
      <w:r w:rsidRPr="00756CB9">
        <w:rPr>
          <w:shd w:val="clear" w:color="auto" w:fill="FFFFFF"/>
        </w:rPr>
        <w:t xml:space="preserve"> a valuation of the suit premises through the firm of Ultimate Valuers Limited. Therefore, as long as the Applicant’s application for injunction is predicated on the fact that the Respondent allegedly did not carry out a valuation of the Suit Premises as required by statute, </w:t>
      </w:r>
      <w:r w:rsidR="00651FA9">
        <w:rPr>
          <w:shd w:val="clear" w:color="auto" w:fill="FFFFFF"/>
        </w:rPr>
        <w:t>the application</w:t>
      </w:r>
      <w:r w:rsidRPr="00756CB9">
        <w:rPr>
          <w:shd w:val="clear" w:color="auto" w:fill="FFFFFF"/>
        </w:rPr>
        <w:t xml:space="preserve"> should fail. The Respondent submitted that the Applicant </w:t>
      </w:r>
      <w:r w:rsidR="00651FA9">
        <w:rPr>
          <w:shd w:val="clear" w:color="auto" w:fill="FFFFFF"/>
        </w:rPr>
        <w:t>did</w:t>
      </w:r>
      <w:r w:rsidRPr="00756CB9">
        <w:rPr>
          <w:shd w:val="clear" w:color="auto" w:fill="FFFFFF"/>
        </w:rPr>
        <w:t xml:space="preserve"> not place any</w:t>
      </w:r>
      <w:r w:rsidR="00651FA9">
        <w:rPr>
          <w:shd w:val="clear" w:color="auto" w:fill="FFFFFF"/>
        </w:rPr>
        <w:t>thing</w:t>
      </w:r>
      <w:r w:rsidRPr="00756CB9">
        <w:rPr>
          <w:shd w:val="clear" w:color="auto" w:fill="FFFFFF"/>
        </w:rPr>
        <w:t xml:space="preserve"> material before this Honourable Court to demonstrate in any way that the valuation undertaken by the Respondent </w:t>
      </w:r>
      <w:r w:rsidR="00651FA9">
        <w:rPr>
          <w:shd w:val="clear" w:color="auto" w:fill="FFFFFF"/>
        </w:rPr>
        <w:t>wa</w:t>
      </w:r>
      <w:r w:rsidRPr="00756CB9">
        <w:rPr>
          <w:shd w:val="clear" w:color="auto" w:fill="FFFFFF"/>
        </w:rPr>
        <w:t>s an undervaluation.</w:t>
      </w:r>
    </w:p>
    <w:p w14:paraId="1651F85F" w14:textId="759555AF" w:rsidR="006C5D77" w:rsidRPr="00651FA9" w:rsidRDefault="006C5D77" w:rsidP="00697256">
      <w:pPr>
        <w:pStyle w:val="NormalWeb"/>
        <w:spacing w:before="0" w:beforeAutospacing="0" w:after="200" w:afterAutospacing="0" w:line="360" w:lineRule="auto"/>
        <w:jc w:val="both"/>
        <w:rPr>
          <w:b/>
          <w:bCs/>
          <w:i/>
          <w:shd w:val="clear" w:color="auto" w:fill="FFFFFF"/>
        </w:rPr>
      </w:pPr>
      <w:r w:rsidRPr="00651FA9">
        <w:rPr>
          <w:b/>
          <w:bCs/>
          <w:i/>
          <w:shd w:val="clear" w:color="auto" w:fill="FFFFFF"/>
        </w:rPr>
        <w:t>C</w:t>
      </w:r>
      <w:r w:rsidR="00651FA9" w:rsidRPr="00651FA9">
        <w:rPr>
          <w:b/>
          <w:bCs/>
          <w:i/>
          <w:shd w:val="clear" w:color="auto" w:fill="FFFFFF"/>
        </w:rPr>
        <w:t xml:space="preserve">ourt’s Decision </w:t>
      </w:r>
    </w:p>
    <w:p w14:paraId="6C72A0AE" w14:textId="60B4E873" w:rsidR="006C5D77" w:rsidRPr="00756CB9" w:rsidRDefault="006C5D77" w:rsidP="00697256">
      <w:pPr>
        <w:pStyle w:val="NormalWeb"/>
        <w:spacing w:before="0" w:beforeAutospacing="0" w:after="200" w:afterAutospacing="0" w:line="360" w:lineRule="auto"/>
        <w:jc w:val="both"/>
        <w:rPr>
          <w:shd w:val="clear" w:color="auto" w:fill="FFFFFF"/>
        </w:rPr>
      </w:pPr>
      <w:r w:rsidRPr="00756CB9">
        <w:rPr>
          <w:shd w:val="clear" w:color="auto" w:fill="FFFFFF"/>
        </w:rPr>
        <w:t>The</w:t>
      </w:r>
      <w:r w:rsidR="00651FA9">
        <w:rPr>
          <w:shd w:val="clear" w:color="auto" w:fill="FFFFFF"/>
        </w:rPr>
        <w:t xml:space="preserve"> court noted that the</w:t>
      </w:r>
      <w:r w:rsidRPr="00756CB9">
        <w:rPr>
          <w:shd w:val="clear" w:color="auto" w:fill="FFFFFF"/>
        </w:rPr>
        <w:t xml:space="preserve"> primary provision on forced valuation is</w:t>
      </w:r>
      <w:r w:rsidR="00651FA9">
        <w:rPr>
          <w:shd w:val="clear" w:color="auto" w:fill="FFFFFF"/>
        </w:rPr>
        <w:t xml:space="preserve"> provided under</w:t>
      </w:r>
      <w:r w:rsidRPr="00756CB9">
        <w:rPr>
          <w:shd w:val="clear" w:color="auto" w:fill="FFFFFF"/>
        </w:rPr>
        <w:t xml:space="preserve"> </w:t>
      </w:r>
      <w:r w:rsidR="00651FA9" w:rsidRPr="00651FA9">
        <w:rPr>
          <w:b/>
          <w:shd w:val="clear" w:color="auto" w:fill="FFFFFF"/>
        </w:rPr>
        <w:t>s</w:t>
      </w:r>
      <w:r w:rsidRPr="00651FA9">
        <w:rPr>
          <w:b/>
          <w:shd w:val="clear" w:color="auto" w:fill="FFFFFF"/>
        </w:rPr>
        <w:t>ection 97(1) and (2) of the Land Act No. 6 of 2012</w:t>
      </w:r>
      <w:r w:rsidRPr="00756CB9">
        <w:rPr>
          <w:shd w:val="clear" w:color="auto" w:fill="FFFFFF"/>
        </w:rPr>
        <w:t>. It states as follows;</w:t>
      </w:r>
    </w:p>
    <w:p w14:paraId="595B5ECB" w14:textId="77777777" w:rsidR="006C5D77" w:rsidRPr="006C5D77" w:rsidRDefault="006C5D77" w:rsidP="006C5D77">
      <w:pPr>
        <w:shd w:val="clear" w:color="auto" w:fill="FFFFFF"/>
        <w:spacing w:after="150" w:line="324" w:lineRule="atLeast"/>
        <w:ind w:left="600"/>
        <w:jc w:val="both"/>
        <w:rPr>
          <w:rFonts w:ascii="Times New Roman" w:eastAsia="Times New Roman" w:hAnsi="Times New Roman" w:cs="Times New Roman"/>
          <w:sz w:val="24"/>
          <w:szCs w:val="24"/>
        </w:rPr>
      </w:pPr>
      <w:r w:rsidRPr="006C5D77">
        <w:rPr>
          <w:rFonts w:ascii="Times New Roman" w:eastAsia="Times New Roman" w:hAnsi="Times New Roman" w:cs="Times New Roman"/>
          <w:b/>
          <w:bCs/>
          <w:i/>
          <w:iCs/>
          <w:sz w:val="24"/>
          <w:szCs w:val="24"/>
        </w:rPr>
        <w:t xml:space="preserve">(1)     A </w:t>
      </w:r>
      <w:proofErr w:type="spellStart"/>
      <w:r w:rsidRPr="006C5D77">
        <w:rPr>
          <w:rFonts w:ascii="Times New Roman" w:eastAsia="Times New Roman" w:hAnsi="Times New Roman" w:cs="Times New Roman"/>
          <w:b/>
          <w:bCs/>
          <w:i/>
          <w:iCs/>
          <w:sz w:val="24"/>
          <w:szCs w:val="24"/>
        </w:rPr>
        <w:t>chargee</w:t>
      </w:r>
      <w:proofErr w:type="spellEnd"/>
      <w:r w:rsidRPr="006C5D77">
        <w:rPr>
          <w:rFonts w:ascii="Times New Roman" w:eastAsia="Times New Roman" w:hAnsi="Times New Roman" w:cs="Times New Roman"/>
          <w:b/>
          <w:bCs/>
          <w:i/>
          <w:iCs/>
          <w:sz w:val="24"/>
          <w:szCs w:val="24"/>
        </w:rPr>
        <w:t xml:space="preserve"> who exercises a power to sell the charged land, including the exercise of the power to sell in pursuance of an order of a court, owes a duty of care to the </w:t>
      </w:r>
      <w:proofErr w:type="spellStart"/>
      <w:r w:rsidRPr="006C5D77">
        <w:rPr>
          <w:rFonts w:ascii="Times New Roman" w:eastAsia="Times New Roman" w:hAnsi="Times New Roman" w:cs="Times New Roman"/>
          <w:b/>
          <w:bCs/>
          <w:i/>
          <w:iCs/>
          <w:sz w:val="24"/>
          <w:szCs w:val="24"/>
        </w:rPr>
        <w:t>chargor</w:t>
      </w:r>
      <w:proofErr w:type="spellEnd"/>
      <w:r w:rsidRPr="006C5D77">
        <w:rPr>
          <w:rFonts w:ascii="Times New Roman" w:eastAsia="Times New Roman" w:hAnsi="Times New Roman" w:cs="Times New Roman"/>
          <w:b/>
          <w:bCs/>
          <w:i/>
          <w:iCs/>
          <w:sz w:val="24"/>
          <w:szCs w:val="24"/>
        </w:rPr>
        <w:t xml:space="preserve">, any guarantor of the whole or any part of the sums advanced to the </w:t>
      </w:r>
      <w:proofErr w:type="spellStart"/>
      <w:r w:rsidRPr="006C5D77">
        <w:rPr>
          <w:rFonts w:ascii="Times New Roman" w:eastAsia="Times New Roman" w:hAnsi="Times New Roman" w:cs="Times New Roman"/>
          <w:b/>
          <w:bCs/>
          <w:i/>
          <w:iCs/>
          <w:sz w:val="24"/>
          <w:szCs w:val="24"/>
        </w:rPr>
        <w:t>chargor</w:t>
      </w:r>
      <w:proofErr w:type="spellEnd"/>
      <w:r w:rsidRPr="006C5D77">
        <w:rPr>
          <w:rFonts w:ascii="Times New Roman" w:eastAsia="Times New Roman" w:hAnsi="Times New Roman" w:cs="Times New Roman"/>
          <w:b/>
          <w:bCs/>
          <w:i/>
          <w:iCs/>
          <w:sz w:val="24"/>
          <w:szCs w:val="24"/>
        </w:rPr>
        <w:t xml:space="preserve">, any </w:t>
      </w:r>
      <w:proofErr w:type="spellStart"/>
      <w:r w:rsidRPr="006C5D77">
        <w:rPr>
          <w:rFonts w:ascii="Times New Roman" w:eastAsia="Times New Roman" w:hAnsi="Times New Roman" w:cs="Times New Roman"/>
          <w:b/>
          <w:bCs/>
          <w:i/>
          <w:iCs/>
          <w:sz w:val="24"/>
          <w:szCs w:val="24"/>
        </w:rPr>
        <w:t>chargee</w:t>
      </w:r>
      <w:proofErr w:type="spellEnd"/>
      <w:r w:rsidRPr="006C5D77">
        <w:rPr>
          <w:rFonts w:ascii="Times New Roman" w:eastAsia="Times New Roman" w:hAnsi="Times New Roman" w:cs="Times New Roman"/>
          <w:b/>
          <w:bCs/>
          <w:i/>
          <w:iCs/>
          <w:sz w:val="24"/>
          <w:szCs w:val="24"/>
        </w:rPr>
        <w:t xml:space="preserve"> under a subsequent charge or under a lien to obtain the best price reasonably obtainable at the time of sale.</w:t>
      </w:r>
    </w:p>
    <w:p w14:paraId="215086B6" w14:textId="77777777" w:rsidR="006C5D77" w:rsidRPr="006C5D77" w:rsidRDefault="006C5D77" w:rsidP="006C5D77">
      <w:pPr>
        <w:shd w:val="clear" w:color="auto" w:fill="FFFFFF"/>
        <w:spacing w:after="150" w:line="324" w:lineRule="atLeast"/>
        <w:ind w:left="600"/>
        <w:jc w:val="both"/>
        <w:rPr>
          <w:rFonts w:ascii="Times New Roman" w:eastAsia="Times New Roman" w:hAnsi="Times New Roman" w:cs="Times New Roman"/>
          <w:sz w:val="24"/>
          <w:szCs w:val="24"/>
        </w:rPr>
      </w:pPr>
      <w:r w:rsidRPr="006C5D77">
        <w:rPr>
          <w:rFonts w:ascii="Times New Roman" w:eastAsia="Times New Roman" w:hAnsi="Times New Roman" w:cs="Times New Roman"/>
          <w:b/>
          <w:bCs/>
          <w:i/>
          <w:iCs/>
          <w:sz w:val="24"/>
          <w:szCs w:val="24"/>
        </w:rPr>
        <w:t xml:space="preserve">(2)     A </w:t>
      </w:r>
      <w:proofErr w:type="spellStart"/>
      <w:r w:rsidRPr="006C5D77">
        <w:rPr>
          <w:rFonts w:ascii="Times New Roman" w:eastAsia="Times New Roman" w:hAnsi="Times New Roman" w:cs="Times New Roman"/>
          <w:b/>
          <w:bCs/>
          <w:i/>
          <w:iCs/>
          <w:sz w:val="24"/>
          <w:szCs w:val="24"/>
        </w:rPr>
        <w:t>chargee</w:t>
      </w:r>
      <w:proofErr w:type="spellEnd"/>
      <w:r w:rsidRPr="006C5D77">
        <w:rPr>
          <w:rFonts w:ascii="Times New Roman" w:eastAsia="Times New Roman" w:hAnsi="Times New Roman" w:cs="Times New Roman"/>
          <w:b/>
          <w:bCs/>
          <w:i/>
          <w:iCs/>
          <w:sz w:val="24"/>
          <w:szCs w:val="24"/>
        </w:rPr>
        <w:t xml:space="preserve"> shall, before exercising the right of sale, ensure that a forced sale valuation is undertaken by a Valuer.</w:t>
      </w:r>
    </w:p>
    <w:p w14:paraId="2025E8AD" w14:textId="77777777" w:rsidR="006C5D77" w:rsidRPr="00756CB9" w:rsidRDefault="006C5D77" w:rsidP="006C5D77">
      <w:pPr>
        <w:pStyle w:val="NormalWeb"/>
        <w:shd w:val="clear" w:color="auto" w:fill="FFFFFF"/>
        <w:spacing w:before="0" w:beforeAutospacing="0" w:after="150" w:afterAutospacing="0" w:line="324" w:lineRule="atLeast"/>
        <w:jc w:val="both"/>
      </w:pPr>
      <w:r w:rsidRPr="00651FA9">
        <w:rPr>
          <w:bCs/>
          <w:shd w:val="clear" w:color="auto" w:fill="FFFFFF"/>
        </w:rPr>
        <w:t>Therefore, it is clear that the R</w:t>
      </w:r>
      <w:r w:rsidRPr="00756CB9">
        <w:rPr>
          <w:shd w:val="clear" w:color="auto" w:fill="FFFFFF"/>
        </w:rPr>
        <w:t xml:space="preserve">espondent is under a statutory duty; 1) to ensure that a forced valuation is undertaken by a valuer; and 2) to obtain the best price reasonably obtainable at the time of sale. This is reiterated in the case of </w:t>
      </w:r>
      <w:r w:rsidRPr="00756CB9">
        <w:rPr>
          <w:b/>
          <w:bCs/>
        </w:rPr>
        <w:t>Palmy Company Limited vs Consolidated Bank of Kenya Limited </w:t>
      </w:r>
      <w:r w:rsidRPr="00756CB9">
        <w:t>that:</w:t>
      </w:r>
    </w:p>
    <w:p w14:paraId="695C0864" w14:textId="17465F91" w:rsidR="006C5D77" w:rsidRDefault="006C5D77" w:rsidP="006C5D77">
      <w:pPr>
        <w:shd w:val="clear" w:color="auto" w:fill="FFFFFF"/>
        <w:spacing w:after="150" w:line="324" w:lineRule="atLeast"/>
        <w:ind w:left="600"/>
        <w:jc w:val="both"/>
        <w:rPr>
          <w:rFonts w:ascii="Times New Roman" w:eastAsia="Times New Roman" w:hAnsi="Times New Roman" w:cs="Times New Roman"/>
          <w:b/>
          <w:bCs/>
          <w:i/>
          <w:iCs/>
          <w:sz w:val="24"/>
          <w:szCs w:val="24"/>
        </w:rPr>
      </w:pPr>
      <w:r w:rsidRPr="006C5D77">
        <w:rPr>
          <w:rFonts w:ascii="Times New Roman" w:eastAsia="Times New Roman" w:hAnsi="Times New Roman" w:cs="Times New Roman"/>
          <w:b/>
          <w:bCs/>
          <w:i/>
          <w:iCs/>
          <w:sz w:val="24"/>
          <w:szCs w:val="24"/>
        </w:rPr>
        <w:t xml:space="preserve">“The purpose of a valuation under Section 97(2) of the Land Act is twofold. The first one is to obtain the best price reasonably obtainable at the time of the sale, thus protecting the right of the </w:t>
      </w:r>
      <w:proofErr w:type="spellStart"/>
      <w:r w:rsidRPr="006C5D77">
        <w:rPr>
          <w:rFonts w:ascii="Times New Roman" w:eastAsia="Times New Roman" w:hAnsi="Times New Roman" w:cs="Times New Roman"/>
          <w:b/>
          <w:bCs/>
          <w:i/>
          <w:iCs/>
          <w:sz w:val="24"/>
          <w:szCs w:val="24"/>
        </w:rPr>
        <w:t>Chargor</w:t>
      </w:r>
      <w:proofErr w:type="spellEnd"/>
      <w:r w:rsidRPr="006C5D77">
        <w:rPr>
          <w:rFonts w:ascii="Times New Roman" w:eastAsia="Times New Roman" w:hAnsi="Times New Roman" w:cs="Times New Roman"/>
          <w:b/>
          <w:bCs/>
          <w:i/>
          <w:iCs/>
          <w:sz w:val="24"/>
          <w:szCs w:val="24"/>
        </w:rPr>
        <w:t xml:space="preserve"> to property…the second one is to prevent unscrupulous </w:t>
      </w:r>
      <w:proofErr w:type="spellStart"/>
      <w:r w:rsidRPr="006C5D77">
        <w:rPr>
          <w:rFonts w:ascii="Times New Roman" w:eastAsia="Times New Roman" w:hAnsi="Times New Roman" w:cs="Times New Roman"/>
          <w:b/>
          <w:bCs/>
          <w:i/>
          <w:iCs/>
          <w:sz w:val="24"/>
          <w:szCs w:val="24"/>
        </w:rPr>
        <w:t>Chargee</w:t>
      </w:r>
      <w:proofErr w:type="spellEnd"/>
      <w:r w:rsidRPr="006C5D77">
        <w:rPr>
          <w:rFonts w:ascii="Times New Roman" w:eastAsia="Times New Roman" w:hAnsi="Times New Roman" w:cs="Times New Roman"/>
          <w:b/>
          <w:bCs/>
          <w:i/>
          <w:iCs/>
          <w:sz w:val="24"/>
          <w:szCs w:val="24"/>
        </w:rPr>
        <w:t xml:space="preserve"> from selling the charged property at a price which is peppercorn or not comparable to interests in land of the same character and quality.”</w:t>
      </w:r>
    </w:p>
    <w:p w14:paraId="01CD04B6" w14:textId="77777777" w:rsidR="00651FA9" w:rsidRPr="006C5D77" w:rsidRDefault="00651FA9" w:rsidP="006C5D77">
      <w:pPr>
        <w:shd w:val="clear" w:color="auto" w:fill="FFFFFF"/>
        <w:spacing w:after="150" w:line="324" w:lineRule="atLeast"/>
        <w:ind w:left="600"/>
        <w:jc w:val="both"/>
        <w:rPr>
          <w:rFonts w:ascii="Times New Roman" w:eastAsia="Times New Roman" w:hAnsi="Times New Roman" w:cs="Times New Roman"/>
          <w:sz w:val="24"/>
          <w:szCs w:val="24"/>
        </w:rPr>
      </w:pPr>
    </w:p>
    <w:p w14:paraId="46DF9CC0" w14:textId="5DEDC1B2" w:rsidR="006C5D77" w:rsidRPr="00651FA9" w:rsidRDefault="00727879" w:rsidP="00697256">
      <w:pPr>
        <w:pStyle w:val="NormalWeb"/>
        <w:spacing w:before="0" w:beforeAutospacing="0" w:after="200" w:afterAutospacing="0" w:line="360" w:lineRule="auto"/>
        <w:jc w:val="both"/>
        <w:rPr>
          <w:rStyle w:val="Strong"/>
          <w:b w:val="0"/>
          <w:shd w:val="clear" w:color="auto" w:fill="FFFFFF"/>
        </w:rPr>
      </w:pPr>
      <w:r>
        <w:rPr>
          <w:bCs/>
          <w:shd w:val="clear" w:color="auto" w:fill="FFFFFF"/>
        </w:rPr>
        <w:t>For the applicants to show the impropriety of the Respondent’s valuation, t</w:t>
      </w:r>
      <w:r w:rsidR="00782F9E" w:rsidRPr="00651FA9">
        <w:rPr>
          <w:bCs/>
          <w:shd w:val="clear" w:color="auto" w:fill="FFFFFF"/>
        </w:rPr>
        <w:t>he court cited the case</w:t>
      </w:r>
      <w:r w:rsidR="00782F9E" w:rsidRPr="00756CB9">
        <w:rPr>
          <w:shd w:val="clear" w:color="auto" w:fill="FFFFFF"/>
        </w:rPr>
        <w:t xml:space="preserve"> of </w:t>
      </w:r>
      <w:proofErr w:type="spellStart"/>
      <w:r w:rsidR="00782F9E" w:rsidRPr="00756CB9">
        <w:rPr>
          <w:rStyle w:val="Strong"/>
          <w:shd w:val="clear" w:color="auto" w:fill="FFFFFF"/>
        </w:rPr>
        <w:t>Zum</w:t>
      </w:r>
      <w:proofErr w:type="spellEnd"/>
      <w:r w:rsidR="00782F9E" w:rsidRPr="00756CB9">
        <w:rPr>
          <w:rStyle w:val="Strong"/>
          <w:shd w:val="clear" w:color="auto" w:fill="FFFFFF"/>
        </w:rPr>
        <w:t xml:space="preserve"> </w:t>
      </w:r>
      <w:proofErr w:type="spellStart"/>
      <w:r w:rsidR="00782F9E" w:rsidRPr="00756CB9">
        <w:rPr>
          <w:rStyle w:val="Strong"/>
          <w:shd w:val="clear" w:color="auto" w:fill="FFFFFF"/>
        </w:rPr>
        <w:t>Zum</w:t>
      </w:r>
      <w:proofErr w:type="spellEnd"/>
      <w:r w:rsidR="00782F9E" w:rsidRPr="00756CB9">
        <w:rPr>
          <w:rStyle w:val="Strong"/>
          <w:shd w:val="clear" w:color="auto" w:fill="FFFFFF"/>
        </w:rPr>
        <w:t xml:space="preserve"> Investment Limited (Supra)</w:t>
      </w:r>
      <w:r w:rsidR="00782F9E" w:rsidRPr="00756CB9">
        <w:rPr>
          <w:shd w:val="clear" w:color="auto" w:fill="FFFFFF"/>
        </w:rPr>
        <w:t> and </w:t>
      </w:r>
      <w:r w:rsidR="00782F9E" w:rsidRPr="00756CB9">
        <w:rPr>
          <w:rStyle w:val="Strong"/>
          <w:shd w:val="clear" w:color="auto" w:fill="FFFFFF"/>
        </w:rPr>
        <w:t xml:space="preserve">Palmy Company Limited vs Consolidated Bank of Kenya Limited [2014] </w:t>
      </w:r>
      <w:proofErr w:type="spellStart"/>
      <w:r w:rsidR="00782F9E" w:rsidRPr="00756CB9">
        <w:rPr>
          <w:rStyle w:val="Strong"/>
          <w:shd w:val="clear" w:color="auto" w:fill="FFFFFF"/>
        </w:rPr>
        <w:t>eKLR</w:t>
      </w:r>
      <w:proofErr w:type="spellEnd"/>
      <w:r w:rsidR="00782F9E" w:rsidRPr="00756CB9">
        <w:rPr>
          <w:rStyle w:val="Strong"/>
          <w:shd w:val="clear" w:color="auto" w:fill="FFFFFF"/>
        </w:rPr>
        <w:t xml:space="preserve">, </w:t>
      </w:r>
      <w:r w:rsidR="00782F9E" w:rsidRPr="00651FA9">
        <w:rPr>
          <w:rStyle w:val="Strong"/>
          <w:b w:val="0"/>
          <w:shd w:val="clear" w:color="auto" w:fill="FFFFFF"/>
        </w:rPr>
        <w:t xml:space="preserve">where </w:t>
      </w:r>
      <w:proofErr w:type="spellStart"/>
      <w:r w:rsidR="00782F9E" w:rsidRPr="00651FA9">
        <w:rPr>
          <w:rStyle w:val="Strong"/>
          <w:b w:val="0"/>
          <w:shd w:val="clear" w:color="auto" w:fill="FFFFFF"/>
        </w:rPr>
        <w:t>Kasango</w:t>
      </w:r>
      <w:proofErr w:type="spellEnd"/>
      <w:r w:rsidR="00782F9E" w:rsidRPr="00651FA9">
        <w:rPr>
          <w:rStyle w:val="Strong"/>
          <w:b w:val="0"/>
          <w:shd w:val="clear" w:color="auto" w:fill="FFFFFF"/>
        </w:rPr>
        <w:t xml:space="preserve"> J stated that;</w:t>
      </w:r>
    </w:p>
    <w:p w14:paraId="1E6DD15C" w14:textId="77777777" w:rsidR="00782F9E" w:rsidRPr="00756CB9" w:rsidRDefault="00782F9E" w:rsidP="00697256">
      <w:pPr>
        <w:pStyle w:val="NormalWeb"/>
        <w:spacing w:before="0" w:beforeAutospacing="0" w:after="200" w:afterAutospacing="0" w:line="360" w:lineRule="auto"/>
        <w:jc w:val="both"/>
        <w:rPr>
          <w:rStyle w:val="Emphasis"/>
          <w:shd w:val="clear" w:color="auto" w:fill="FFFFFF"/>
        </w:rPr>
      </w:pPr>
      <w:r w:rsidRPr="00756CB9">
        <w:rPr>
          <w:rStyle w:val="Emphasis"/>
          <w:b/>
          <w:bCs/>
          <w:shd w:val="clear" w:color="auto" w:fill="FFFFFF"/>
        </w:rPr>
        <w:lastRenderedPageBreak/>
        <w:t>The Applicant needs to show, for instance, that the Respondent’s valuer is not qualified or competent to carry out the valuation, or that the valuation was carried out in consideration of irrelevant factors or that the valuation was done before the time of the intended sale</w:t>
      </w:r>
      <w:r w:rsidRPr="00756CB9">
        <w:rPr>
          <w:rStyle w:val="Emphasis"/>
          <w:shd w:val="clear" w:color="auto" w:fill="FFFFFF"/>
        </w:rPr>
        <w:t xml:space="preserve">. </w:t>
      </w:r>
    </w:p>
    <w:p w14:paraId="797A15D7" w14:textId="1575EE7D" w:rsidR="00782F9E" w:rsidRPr="00727879" w:rsidRDefault="00782F9E" w:rsidP="00697256">
      <w:pPr>
        <w:pStyle w:val="NormalWeb"/>
        <w:spacing w:before="0" w:beforeAutospacing="0" w:after="200" w:afterAutospacing="0" w:line="360" w:lineRule="auto"/>
        <w:jc w:val="both"/>
        <w:rPr>
          <w:rStyle w:val="Emphasis"/>
          <w:i w:val="0"/>
          <w:shd w:val="clear" w:color="auto" w:fill="FFFFFF"/>
        </w:rPr>
      </w:pPr>
      <w:r w:rsidRPr="00727879">
        <w:rPr>
          <w:rStyle w:val="Emphasis"/>
          <w:i w:val="0"/>
          <w:shd w:val="clear" w:color="auto" w:fill="FFFFFF"/>
        </w:rPr>
        <w:t>In this case, the</w:t>
      </w:r>
      <w:r w:rsidR="00727879">
        <w:rPr>
          <w:rStyle w:val="Emphasis"/>
          <w:i w:val="0"/>
          <w:shd w:val="clear" w:color="auto" w:fill="FFFFFF"/>
        </w:rPr>
        <w:t xml:space="preserve"> court was of the opinion that the</w:t>
      </w:r>
      <w:r w:rsidRPr="00727879">
        <w:rPr>
          <w:rStyle w:val="Emphasis"/>
          <w:i w:val="0"/>
          <w:shd w:val="clear" w:color="auto" w:fill="FFFFFF"/>
        </w:rPr>
        <w:t xml:space="preserve"> Applicant </w:t>
      </w:r>
      <w:r w:rsidR="00727879">
        <w:rPr>
          <w:rStyle w:val="Emphasis"/>
          <w:i w:val="0"/>
          <w:shd w:val="clear" w:color="auto" w:fill="FFFFFF"/>
        </w:rPr>
        <w:t>did</w:t>
      </w:r>
      <w:r w:rsidRPr="00727879">
        <w:rPr>
          <w:rStyle w:val="Emphasis"/>
          <w:i w:val="0"/>
          <w:shd w:val="clear" w:color="auto" w:fill="FFFFFF"/>
        </w:rPr>
        <w:t xml:space="preserve"> not raised any of such grounds.</w:t>
      </w:r>
    </w:p>
    <w:p w14:paraId="464F3E70" w14:textId="77777777" w:rsidR="00727879" w:rsidRDefault="00782F9E" w:rsidP="00697256">
      <w:pPr>
        <w:pStyle w:val="NormalWeb"/>
        <w:spacing w:before="0" w:beforeAutospacing="0" w:after="200" w:afterAutospacing="0" w:line="360" w:lineRule="auto"/>
        <w:jc w:val="both"/>
        <w:rPr>
          <w:shd w:val="clear" w:color="auto" w:fill="FFFFFF"/>
        </w:rPr>
      </w:pPr>
      <w:r w:rsidRPr="00756CB9">
        <w:rPr>
          <w:shd w:val="clear" w:color="auto" w:fill="FFFFFF"/>
        </w:rPr>
        <w:t xml:space="preserve">The </w:t>
      </w:r>
      <w:r w:rsidR="00727879">
        <w:rPr>
          <w:shd w:val="clear" w:color="auto" w:fill="FFFFFF"/>
        </w:rPr>
        <w:t xml:space="preserve">court held that the </w:t>
      </w:r>
      <w:r w:rsidRPr="00756CB9">
        <w:rPr>
          <w:shd w:val="clear" w:color="auto" w:fill="FFFFFF"/>
        </w:rPr>
        <w:t xml:space="preserve">Applicant </w:t>
      </w:r>
      <w:r w:rsidR="00727879">
        <w:rPr>
          <w:shd w:val="clear" w:color="auto" w:fill="FFFFFF"/>
        </w:rPr>
        <w:t>did</w:t>
      </w:r>
      <w:r w:rsidRPr="00756CB9">
        <w:rPr>
          <w:shd w:val="clear" w:color="auto" w:fill="FFFFFF"/>
        </w:rPr>
        <w:t xml:space="preserve"> not offer sufficient evidence to show that the valuation </w:t>
      </w:r>
      <w:r w:rsidR="00727879">
        <w:rPr>
          <w:shd w:val="clear" w:color="auto" w:fill="FFFFFF"/>
        </w:rPr>
        <w:t>was</w:t>
      </w:r>
      <w:r w:rsidRPr="00756CB9">
        <w:rPr>
          <w:shd w:val="clear" w:color="auto" w:fill="FFFFFF"/>
        </w:rPr>
        <w:t xml:space="preserve"> a complete undervaluation of the suit property. The Report </w:t>
      </w:r>
      <w:r w:rsidR="00727879">
        <w:rPr>
          <w:shd w:val="clear" w:color="auto" w:fill="FFFFFF"/>
        </w:rPr>
        <w:t xml:space="preserve">given by the Respondents </w:t>
      </w:r>
      <w:r w:rsidRPr="00756CB9">
        <w:rPr>
          <w:shd w:val="clear" w:color="auto" w:fill="FFFFFF"/>
        </w:rPr>
        <w:t>was done by a Valuer whose competence ha</w:t>
      </w:r>
      <w:r w:rsidR="00727879">
        <w:rPr>
          <w:shd w:val="clear" w:color="auto" w:fill="FFFFFF"/>
        </w:rPr>
        <w:t>d</w:t>
      </w:r>
      <w:r w:rsidRPr="00756CB9">
        <w:rPr>
          <w:shd w:val="clear" w:color="auto" w:fill="FFFFFF"/>
        </w:rPr>
        <w:t xml:space="preserve"> not been questioned. </w:t>
      </w:r>
      <w:r w:rsidR="00727879">
        <w:rPr>
          <w:shd w:val="clear" w:color="auto" w:fill="FFFFFF"/>
        </w:rPr>
        <w:t>Also, t</w:t>
      </w:r>
      <w:r w:rsidRPr="00756CB9">
        <w:rPr>
          <w:shd w:val="clear" w:color="auto" w:fill="FFFFFF"/>
        </w:rPr>
        <w:t xml:space="preserve">he newspaper cuttings </w:t>
      </w:r>
      <w:r w:rsidR="00727879">
        <w:rPr>
          <w:shd w:val="clear" w:color="auto" w:fill="FFFFFF"/>
        </w:rPr>
        <w:t>were deemed</w:t>
      </w:r>
      <w:r w:rsidRPr="00756CB9">
        <w:rPr>
          <w:shd w:val="clear" w:color="auto" w:fill="FFFFFF"/>
        </w:rPr>
        <w:t xml:space="preserve"> not the kind of evidence that would disapprove a valuation by a professional Valuer. </w:t>
      </w:r>
    </w:p>
    <w:p w14:paraId="00D4818D" w14:textId="77777777" w:rsidR="00727879" w:rsidRDefault="00782F9E" w:rsidP="00697256">
      <w:pPr>
        <w:pStyle w:val="NormalWeb"/>
        <w:spacing w:before="0" w:beforeAutospacing="0" w:after="200" w:afterAutospacing="0" w:line="360" w:lineRule="auto"/>
        <w:jc w:val="both"/>
        <w:rPr>
          <w:shd w:val="clear" w:color="auto" w:fill="FFFFFF"/>
        </w:rPr>
      </w:pPr>
      <w:r w:rsidRPr="00756CB9">
        <w:rPr>
          <w:shd w:val="clear" w:color="auto" w:fill="FFFFFF"/>
        </w:rPr>
        <w:t xml:space="preserve">It should be known that, the fact that the latest valuation by the Applicant places a valuation which is significantly higher than that by the Valuer appointed by the Bank does not mean the Respondent undervalued the suit property. The Report must be dislodged on real items, terms and legal parameters which are acceptable in the practice and profession of Valuers. There </w:t>
      </w:r>
      <w:r w:rsidR="00727879">
        <w:rPr>
          <w:shd w:val="clear" w:color="auto" w:fill="FFFFFF"/>
        </w:rPr>
        <w:t>was</w:t>
      </w:r>
      <w:r w:rsidRPr="00756CB9">
        <w:rPr>
          <w:shd w:val="clear" w:color="auto" w:fill="FFFFFF"/>
        </w:rPr>
        <w:t xml:space="preserve"> no evidence of that </w:t>
      </w:r>
      <w:proofErr w:type="spellStart"/>
      <w:r w:rsidRPr="00756CB9">
        <w:rPr>
          <w:shd w:val="clear" w:color="auto" w:fill="FFFFFF"/>
        </w:rPr>
        <w:t>caliber</w:t>
      </w:r>
      <w:proofErr w:type="spellEnd"/>
      <w:r w:rsidRPr="00756CB9">
        <w:rPr>
          <w:shd w:val="clear" w:color="auto" w:fill="FFFFFF"/>
        </w:rPr>
        <w:t xml:space="preserve"> </w:t>
      </w:r>
      <w:r w:rsidR="00727879">
        <w:rPr>
          <w:shd w:val="clear" w:color="auto" w:fill="FFFFFF"/>
        </w:rPr>
        <w:t>in this matter.</w:t>
      </w:r>
    </w:p>
    <w:p w14:paraId="25830DC0" w14:textId="7AD2802D" w:rsidR="00782F9E" w:rsidRPr="00756CB9" w:rsidRDefault="00727879" w:rsidP="00697256">
      <w:pPr>
        <w:pStyle w:val="NormalWeb"/>
        <w:spacing w:before="0" w:beforeAutospacing="0" w:after="200" w:afterAutospacing="0" w:line="360" w:lineRule="auto"/>
        <w:jc w:val="both"/>
        <w:rPr>
          <w:shd w:val="clear" w:color="auto" w:fill="FFFFFF"/>
        </w:rPr>
      </w:pPr>
      <w:r>
        <w:rPr>
          <w:shd w:val="clear" w:color="auto" w:fill="FFFFFF"/>
        </w:rPr>
        <w:t>T</w:t>
      </w:r>
      <w:r w:rsidR="00782F9E" w:rsidRPr="00756CB9">
        <w:rPr>
          <w:shd w:val="clear" w:color="auto" w:fill="FFFFFF"/>
        </w:rPr>
        <w:t>herefore, the arguments by the Applicant</w:t>
      </w:r>
      <w:r>
        <w:rPr>
          <w:shd w:val="clear" w:color="auto" w:fill="FFFFFF"/>
        </w:rPr>
        <w:t>,</w:t>
      </w:r>
      <w:r w:rsidR="00782F9E" w:rsidRPr="00756CB9">
        <w:rPr>
          <w:shd w:val="clear" w:color="auto" w:fill="FFFFFF"/>
        </w:rPr>
        <w:t xml:space="preserve"> that the Respondent failed to discharge the duty of care under </w:t>
      </w:r>
      <w:r w:rsidR="00782F9E" w:rsidRPr="00727879">
        <w:rPr>
          <w:b/>
          <w:shd w:val="clear" w:color="auto" w:fill="FFFFFF"/>
        </w:rPr>
        <w:t>section 97</w:t>
      </w:r>
      <w:r w:rsidR="00782F9E" w:rsidRPr="00756CB9">
        <w:rPr>
          <w:shd w:val="clear" w:color="auto" w:fill="FFFFFF"/>
        </w:rPr>
        <w:t xml:space="preserve"> </w:t>
      </w:r>
      <w:r w:rsidRPr="00727879">
        <w:rPr>
          <w:b/>
          <w:shd w:val="clear" w:color="auto" w:fill="FFFFFF"/>
        </w:rPr>
        <w:t>of the Land Act</w:t>
      </w:r>
      <w:r>
        <w:rPr>
          <w:shd w:val="clear" w:color="auto" w:fill="FFFFFF"/>
        </w:rPr>
        <w:t xml:space="preserve"> </w:t>
      </w:r>
      <w:r w:rsidR="00782F9E" w:rsidRPr="00756CB9">
        <w:rPr>
          <w:shd w:val="clear" w:color="auto" w:fill="FFFFFF"/>
        </w:rPr>
        <w:t xml:space="preserve">do not hold sway. </w:t>
      </w:r>
      <w:r>
        <w:rPr>
          <w:shd w:val="clear" w:color="auto" w:fill="FFFFFF"/>
        </w:rPr>
        <w:t>The court</w:t>
      </w:r>
      <w:r w:rsidR="00782F9E" w:rsidRPr="00756CB9">
        <w:rPr>
          <w:shd w:val="clear" w:color="auto" w:fill="FFFFFF"/>
        </w:rPr>
        <w:t xml:space="preserve"> dismiss it. Except, depending on the result of the analysis by the Court of the other issue on Notices, I will revisit the issue on valuation of the suit property for purposes of sale as shall be directed by the Court.  </w:t>
      </w:r>
    </w:p>
    <w:p w14:paraId="1C0443BD" w14:textId="4B608A55" w:rsidR="00782F9E" w:rsidRPr="00756CB9" w:rsidRDefault="00F45747" w:rsidP="00782F9E">
      <w:pPr>
        <w:pStyle w:val="NormalWeb"/>
        <w:numPr>
          <w:ilvl w:val="0"/>
          <w:numId w:val="2"/>
        </w:numPr>
        <w:spacing w:before="0" w:beforeAutospacing="0" w:after="200" w:afterAutospacing="0" w:line="360" w:lineRule="auto"/>
        <w:jc w:val="both"/>
        <w:rPr>
          <w:rStyle w:val="Strong"/>
          <w:shd w:val="clear" w:color="auto" w:fill="FFFFFF"/>
        </w:rPr>
      </w:pPr>
      <w:r>
        <w:rPr>
          <w:rStyle w:val="Strong"/>
          <w:shd w:val="clear" w:color="auto" w:fill="FFFFFF"/>
        </w:rPr>
        <w:t xml:space="preserve">Absence of </w:t>
      </w:r>
      <w:r w:rsidR="00782F9E" w:rsidRPr="00756CB9">
        <w:rPr>
          <w:rStyle w:val="Strong"/>
          <w:shd w:val="clear" w:color="auto" w:fill="FFFFFF"/>
        </w:rPr>
        <w:t>Notice</w:t>
      </w:r>
      <w:r>
        <w:rPr>
          <w:rStyle w:val="Strong"/>
          <w:shd w:val="clear" w:color="auto" w:fill="FFFFFF"/>
        </w:rPr>
        <w:t xml:space="preserve"> to sell</w:t>
      </w:r>
    </w:p>
    <w:p w14:paraId="0405FBEC" w14:textId="442C1ACD" w:rsidR="00782F9E" w:rsidRPr="00756CB9" w:rsidRDefault="00782F9E" w:rsidP="00782F9E">
      <w:pPr>
        <w:pStyle w:val="NormalWeb"/>
        <w:spacing w:before="0" w:beforeAutospacing="0" w:after="200" w:afterAutospacing="0" w:line="360" w:lineRule="auto"/>
        <w:jc w:val="both"/>
        <w:rPr>
          <w:shd w:val="clear" w:color="auto" w:fill="FFFFFF"/>
        </w:rPr>
      </w:pPr>
      <w:r w:rsidRPr="00756CB9">
        <w:rPr>
          <w:shd w:val="clear" w:color="auto" w:fill="FFFFFF"/>
        </w:rPr>
        <w:t xml:space="preserve">The Applicant argued that whereas </w:t>
      </w:r>
      <w:r w:rsidR="00F45747">
        <w:rPr>
          <w:shd w:val="clear" w:color="auto" w:fill="FFFFFF"/>
        </w:rPr>
        <w:t>the Notification of Sale</w:t>
      </w:r>
      <w:r w:rsidRPr="00756CB9">
        <w:rPr>
          <w:shd w:val="clear" w:color="auto" w:fill="FFFFFF"/>
        </w:rPr>
        <w:t xml:space="preserve"> was served with a copy of the Statutory Notice under </w:t>
      </w:r>
      <w:r w:rsidRPr="00F45747">
        <w:rPr>
          <w:b/>
          <w:shd w:val="clear" w:color="auto" w:fill="FFFFFF"/>
        </w:rPr>
        <w:t>section 90 of the Land Act</w:t>
      </w:r>
      <w:r w:rsidRPr="00756CB9">
        <w:rPr>
          <w:shd w:val="clear" w:color="auto" w:fill="FFFFFF"/>
        </w:rPr>
        <w:t xml:space="preserve">, it was not served with a Notice to Sell the Charged Property under section </w:t>
      </w:r>
      <w:r w:rsidRPr="00F45747">
        <w:rPr>
          <w:b/>
          <w:shd w:val="clear" w:color="auto" w:fill="FFFFFF"/>
        </w:rPr>
        <w:t>96(2) of the Land Act</w:t>
      </w:r>
      <w:r w:rsidRPr="00756CB9">
        <w:rPr>
          <w:shd w:val="clear" w:color="auto" w:fill="FFFFFF"/>
        </w:rPr>
        <w:t xml:space="preserve">. On that basis, the Redemption Notice and Notification of Sale issued by the auctioneer are invalid. </w:t>
      </w:r>
    </w:p>
    <w:p w14:paraId="27B7290D" w14:textId="77777777" w:rsidR="00B131A5" w:rsidRDefault="00F45747" w:rsidP="00782F9E">
      <w:pPr>
        <w:pStyle w:val="NormalWeb"/>
        <w:spacing w:before="0" w:beforeAutospacing="0" w:after="200" w:afterAutospacing="0" w:line="360" w:lineRule="auto"/>
        <w:jc w:val="both"/>
        <w:rPr>
          <w:shd w:val="clear" w:color="auto" w:fill="FFFFFF"/>
        </w:rPr>
      </w:pPr>
      <w:r>
        <w:rPr>
          <w:shd w:val="clear" w:color="auto" w:fill="FFFFFF"/>
        </w:rPr>
        <w:t>However, t</w:t>
      </w:r>
      <w:r w:rsidR="00782F9E" w:rsidRPr="00756CB9">
        <w:rPr>
          <w:shd w:val="clear" w:color="auto" w:fill="FFFFFF"/>
        </w:rPr>
        <w:t xml:space="preserve">he Respondent insisted that they issued all the relevant Notices under the law including the Notice to sell under </w:t>
      </w:r>
      <w:r w:rsidR="00782F9E" w:rsidRPr="00F45747">
        <w:rPr>
          <w:b/>
          <w:shd w:val="clear" w:color="auto" w:fill="FFFFFF"/>
        </w:rPr>
        <w:t>section 96(2) of the Land Act</w:t>
      </w:r>
      <w:r w:rsidR="00782F9E" w:rsidRPr="00756CB9">
        <w:rPr>
          <w:shd w:val="clear" w:color="auto" w:fill="FFFFFF"/>
        </w:rPr>
        <w:t xml:space="preserve">. The Respondent argued that, in accordance with the terms of the First Legal Charge the Respondent issued a ninety (90) days’ notice to the Applicant and the Borrower that if the account was not regularized and the outstanding amount </w:t>
      </w:r>
      <w:r w:rsidR="00B131A5">
        <w:rPr>
          <w:shd w:val="clear" w:color="auto" w:fill="FFFFFF"/>
        </w:rPr>
        <w:t xml:space="preserve">was not </w:t>
      </w:r>
      <w:r w:rsidR="00782F9E" w:rsidRPr="00756CB9">
        <w:rPr>
          <w:shd w:val="clear" w:color="auto" w:fill="FFFFFF"/>
        </w:rPr>
        <w:t>paid as demanded, then it would exercise its statutory power of selling the Suit Premises. </w:t>
      </w:r>
    </w:p>
    <w:p w14:paraId="6738E03F" w14:textId="77777777" w:rsidR="00B131A5" w:rsidRPr="00B131A5" w:rsidRDefault="00B131A5" w:rsidP="00782F9E">
      <w:pPr>
        <w:pStyle w:val="NormalWeb"/>
        <w:spacing w:before="0" w:beforeAutospacing="0" w:after="200" w:afterAutospacing="0" w:line="360" w:lineRule="auto"/>
        <w:jc w:val="both"/>
        <w:rPr>
          <w:b/>
          <w:i/>
          <w:shd w:val="clear" w:color="auto" w:fill="FFFFFF"/>
        </w:rPr>
      </w:pPr>
      <w:r w:rsidRPr="00B131A5">
        <w:rPr>
          <w:b/>
          <w:i/>
          <w:shd w:val="clear" w:color="auto" w:fill="FFFFFF"/>
        </w:rPr>
        <w:t>Court’s Decision</w:t>
      </w:r>
    </w:p>
    <w:p w14:paraId="7DB03208" w14:textId="035C6D87" w:rsidR="00782F9E" w:rsidRPr="00756CB9" w:rsidRDefault="00782F9E" w:rsidP="00782F9E">
      <w:pPr>
        <w:pStyle w:val="NormalWeb"/>
        <w:spacing w:before="0" w:beforeAutospacing="0" w:after="200" w:afterAutospacing="0" w:line="360" w:lineRule="auto"/>
        <w:jc w:val="both"/>
        <w:rPr>
          <w:shd w:val="clear" w:color="auto" w:fill="FFFFFF"/>
        </w:rPr>
      </w:pPr>
      <w:r w:rsidRPr="00756CB9">
        <w:rPr>
          <w:shd w:val="clear" w:color="auto" w:fill="FFFFFF"/>
        </w:rPr>
        <w:lastRenderedPageBreak/>
        <w:t xml:space="preserve"> In this case, </w:t>
      </w:r>
      <w:r w:rsidR="00B131A5">
        <w:rPr>
          <w:shd w:val="clear" w:color="auto" w:fill="FFFFFF"/>
        </w:rPr>
        <w:t xml:space="preserve">the court stated that </w:t>
      </w:r>
      <w:r w:rsidRPr="00756CB9">
        <w:rPr>
          <w:shd w:val="clear" w:color="auto" w:fill="FFFFFF"/>
        </w:rPr>
        <w:t xml:space="preserve">the notice under </w:t>
      </w:r>
      <w:r w:rsidRPr="00B131A5">
        <w:rPr>
          <w:b/>
          <w:shd w:val="clear" w:color="auto" w:fill="FFFFFF"/>
        </w:rPr>
        <w:t>section 90 of the Land</w:t>
      </w:r>
      <w:r w:rsidRPr="00756CB9">
        <w:rPr>
          <w:shd w:val="clear" w:color="auto" w:fill="FFFFFF"/>
        </w:rPr>
        <w:t xml:space="preserve"> </w:t>
      </w:r>
      <w:r w:rsidR="00B131A5" w:rsidRPr="00B131A5">
        <w:rPr>
          <w:b/>
          <w:shd w:val="clear" w:color="auto" w:fill="FFFFFF"/>
        </w:rPr>
        <w:t>Act</w:t>
      </w:r>
      <w:r w:rsidR="00B131A5">
        <w:rPr>
          <w:shd w:val="clear" w:color="auto" w:fill="FFFFFF"/>
        </w:rPr>
        <w:t xml:space="preserve"> </w:t>
      </w:r>
      <w:r w:rsidRPr="00756CB9">
        <w:rPr>
          <w:shd w:val="clear" w:color="auto" w:fill="FFFFFF"/>
        </w:rPr>
        <w:t xml:space="preserve">was issued to the Borrower and the Guarantor. </w:t>
      </w:r>
      <w:r w:rsidR="00B131A5">
        <w:rPr>
          <w:shd w:val="clear" w:color="auto" w:fill="FFFFFF"/>
        </w:rPr>
        <w:t xml:space="preserve">However, there was no </w:t>
      </w:r>
      <w:r w:rsidRPr="00756CB9">
        <w:rPr>
          <w:shd w:val="clear" w:color="auto" w:fill="FFFFFF"/>
        </w:rPr>
        <w:t xml:space="preserve">notice under </w:t>
      </w:r>
      <w:r w:rsidRPr="00B131A5">
        <w:rPr>
          <w:b/>
          <w:shd w:val="clear" w:color="auto" w:fill="FFFFFF"/>
        </w:rPr>
        <w:t>section 96 of the Land Act</w:t>
      </w:r>
      <w:r w:rsidRPr="00756CB9">
        <w:rPr>
          <w:shd w:val="clear" w:color="auto" w:fill="FFFFFF"/>
        </w:rPr>
        <w:t xml:space="preserve"> </w:t>
      </w:r>
      <w:r w:rsidR="00B131A5">
        <w:rPr>
          <w:shd w:val="clear" w:color="auto" w:fill="FFFFFF"/>
        </w:rPr>
        <w:t xml:space="preserve">even though </w:t>
      </w:r>
      <w:r w:rsidRPr="00756CB9">
        <w:rPr>
          <w:shd w:val="clear" w:color="auto" w:fill="FFFFFF"/>
        </w:rPr>
        <w:t>the Respondent adamantly stated that it issued it. </w:t>
      </w:r>
    </w:p>
    <w:p w14:paraId="64F123B4" w14:textId="77777777" w:rsidR="00B131A5" w:rsidRDefault="00B131A5" w:rsidP="00782F9E">
      <w:pPr>
        <w:pStyle w:val="NormalWeb"/>
        <w:spacing w:before="0" w:beforeAutospacing="0" w:after="200" w:afterAutospacing="0" w:line="360" w:lineRule="auto"/>
        <w:jc w:val="both"/>
        <w:rPr>
          <w:shd w:val="clear" w:color="auto" w:fill="FFFFFF"/>
        </w:rPr>
      </w:pPr>
      <w:r>
        <w:rPr>
          <w:shd w:val="clear" w:color="auto" w:fill="FFFFFF"/>
        </w:rPr>
        <w:t>The court stressed that t</w:t>
      </w:r>
      <w:r w:rsidR="00756CB9" w:rsidRPr="00756CB9">
        <w:rPr>
          <w:shd w:val="clear" w:color="auto" w:fill="FFFFFF"/>
        </w:rPr>
        <w:t xml:space="preserve">he Notice to sell under </w:t>
      </w:r>
      <w:r w:rsidR="00756CB9" w:rsidRPr="00B131A5">
        <w:rPr>
          <w:b/>
          <w:shd w:val="clear" w:color="auto" w:fill="FFFFFF"/>
        </w:rPr>
        <w:t>section 96(2) of the Land Act</w:t>
      </w:r>
      <w:r w:rsidR="00756CB9" w:rsidRPr="00756CB9">
        <w:rPr>
          <w:shd w:val="clear" w:color="auto" w:fill="FFFFFF"/>
        </w:rPr>
        <w:t xml:space="preserve"> is mandatory and is part of the protection of equity of redemption provided in law</w:t>
      </w:r>
      <w:r>
        <w:rPr>
          <w:shd w:val="clear" w:color="auto" w:fill="FFFFFF"/>
        </w:rPr>
        <w:t>. It said that</w:t>
      </w:r>
      <w:r w:rsidR="00756CB9" w:rsidRPr="00756CB9">
        <w:rPr>
          <w:shd w:val="clear" w:color="auto" w:fill="FFFFFF"/>
        </w:rPr>
        <w:t xml:space="preserve"> the notice to sell under </w:t>
      </w:r>
      <w:r w:rsidR="00756CB9" w:rsidRPr="00B131A5">
        <w:rPr>
          <w:b/>
          <w:shd w:val="clear" w:color="auto" w:fill="FFFFFF"/>
        </w:rPr>
        <w:t>section 96(2) of the Land Act</w:t>
      </w:r>
      <w:r w:rsidR="00756CB9" w:rsidRPr="00756CB9">
        <w:rPr>
          <w:shd w:val="clear" w:color="auto" w:fill="FFFFFF"/>
        </w:rPr>
        <w:t xml:space="preserve"> should not be fused with the requirements of </w:t>
      </w:r>
      <w:r w:rsidR="00756CB9" w:rsidRPr="00B131A5">
        <w:rPr>
          <w:b/>
          <w:shd w:val="clear" w:color="auto" w:fill="FFFFFF"/>
        </w:rPr>
        <w:t>Rule 15 of the Auctioneers Rules.</w:t>
      </w:r>
      <w:r w:rsidR="00756CB9" w:rsidRPr="00756CB9">
        <w:rPr>
          <w:shd w:val="clear" w:color="auto" w:fill="FFFFFF"/>
        </w:rPr>
        <w:t xml:space="preserve"> </w:t>
      </w:r>
    </w:p>
    <w:p w14:paraId="2ED84018" w14:textId="77777777" w:rsidR="00B131A5" w:rsidRDefault="00756CB9" w:rsidP="00782F9E">
      <w:pPr>
        <w:pStyle w:val="NormalWeb"/>
        <w:spacing w:before="0" w:beforeAutospacing="0" w:after="200" w:afterAutospacing="0" w:line="360" w:lineRule="auto"/>
        <w:jc w:val="both"/>
        <w:rPr>
          <w:shd w:val="clear" w:color="auto" w:fill="FFFFFF"/>
        </w:rPr>
      </w:pPr>
      <w:r w:rsidRPr="00B131A5">
        <w:rPr>
          <w:b/>
          <w:shd w:val="clear" w:color="auto" w:fill="FFFFFF"/>
        </w:rPr>
        <w:t>Rule 15 of the Auctioneers Rules</w:t>
      </w:r>
      <w:r w:rsidRPr="00756CB9">
        <w:rPr>
          <w:shd w:val="clear" w:color="auto" w:fill="FFFFFF"/>
        </w:rPr>
        <w:t xml:space="preserve"> applies to sale by public auction of all immovable properties on </w:t>
      </w:r>
      <w:r w:rsidRPr="00B131A5">
        <w:rPr>
          <w:u w:val="single"/>
          <w:shd w:val="clear" w:color="auto" w:fill="FFFFFF"/>
        </w:rPr>
        <w:t xml:space="preserve">instructions by a </w:t>
      </w:r>
      <w:proofErr w:type="spellStart"/>
      <w:r w:rsidRPr="00B131A5">
        <w:rPr>
          <w:u w:val="single"/>
          <w:shd w:val="clear" w:color="auto" w:fill="FFFFFF"/>
        </w:rPr>
        <w:t>chargee</w:t>
      </w:r>
      <w:proofErr w:type="spellEnd"/>
      <w:r w:rsidRPr="00756CB9">
        <w:rPr>
          <w:shd w:val="clear" w:color="auto" w:fill="FFFFFF"/>
        </w:rPr>
        <w:t xml:space="preserve"> or in </w:t>
      </w:r>
      <w:r w:rsidRPr="00B131A5">
        <w:rPr>
          <w:u w:val="single"/>
          <w:shd w:val="clear" w:color="auto" w:fill="FFFFFF"/>
        </w:rPr>
        <w:t>execution of a decree</w:t>
      </w:r>
      <w:r w:rsidRPr="00756CB9">
        <w:rPr>
          <w:shd w:val="clear" w:color="auto" w:fill="FFFFFF"/>
        </w:rPr>
        <w:t xml:space="preserve">. It is not specially tailored to serve the purposes and obligations of the </w:t>
      </w:r>
      <w:proofErr w:type="spellStart"/>
      <w:r w:rsidRPr="00756CB9">
        <w:rPr>
          <w:shd w:val="clear" w:color="auto" w:fill="FFFFFF"/>
        </w:rPr>
        <w:t>chargee</w:t>
      </w:r>
      <w:proofErr w:type="spellEnd"/>
      <w:r w:rsidRPr="00756CB9">
        <w:rPr>
          <w:shd w:val="clear" w:color="auto" w:fill="FFFFFF"/>
        </w:rPr>
        <w:t xml:space="preserve"> in </w:t>
      </w:r>
      <w:r w:rsidRPr="00B131A5">
        <w:rPr>
          <w:b/>
          <w:shd w:val="clear" w:color="auto" w:fill="FFFFFF"/>
        </w:rPr>
        <w:t>section 96(2) of the Land Act</w:t>
      </w:r>
      <w:r w:rsidRPr="00756CB9">
        <w:rPr>
          <w:shd w:val="clear" w:color="auto" w:fill="FFFFFF"/>
        </w:rPr>
        <w:t>.</w:t>
      </w:r>
    </w:p>
    <w:p w14:paraId="3C1CED20" w14:textId="77777777" w:rsidR="00B131A5" w:rsidRDefault="00756CB9" w:rsidP="00782F9E">
      <w:pPr>
        <w:pStyle w:val="NormalWeb"/>
        <w:spacing w:before="0" w:beforeAutospacing="0" w:after="200" w:afterAutospacing="0" w:line="360" w:lineRule="auto"/>
        <w:jc w:val="both"/>
        <w:rPr>
          <w:shd w:val="clear" w:color="auto" w:fill="FFFFFF"/>
        </w:rPr>
      </w:pPr>
      <w:r w:rsidRPr="00756CB9">
        <w:rPr>
          <w:shd w:val="clear" w:color="auto" w:fill="FFFFFF"/>
        </w:rPr>
        <w:t xml:space="preserve">In relation to charged property, the rule comes into play upon instructions by the </w:t>
      </w:r>
      <w:proofErr w:type="spellStart"/>
      <w:r w:rsidRPr="00756CB9">
        <w:rPr>
          <w:shd w:val="clear" w:color="auto" w:fill="FFFFFF"/>
        </w:rPr>
        <w:t>Chargee</w:t>
      </w:r>
      <w:proofErr w:type="spellEnd"/>
      <w:r w:rsidR="00B131A5">
        <w:rPr>
          <w:shd w:val="clear" w:color="auto" w:fill="FFFFFF"/>
        </w:rPr>
        <w:t xml:space="preserve"> a</w:t>
      </w:r>
      <w:r w:rsidRPr="00756CB9">
        <w:rPr>
          <w:shd w:val="clear" w:color="auto" w:fill="FFFFFF"/>
        </w:rPr>
        <w:t>nd, in</w:t>
      </w:r>
      <w:r w:rsidR="00B131A5">
        <w:rPr>
          <w:shd w:val="clear" w:color="auto" w:fill="FFFFFF"/>
        </w:rPr>
        <w:t xml:space="preserve"> the courts opinion</w:t>
      </w:r>
      <w:r w:rsidRPr="00756CB9">
        <w:rPr>
          <w:shd w:val="clear" w:color="auto" w:fill="FFFFFF"/>
        </w:rPr>
        <w:t xml:space="preserve">, instructions by the </w:t>
      </w:r>
      <w:proofErr w:type="spellStart"/>
      <w:r w:rsidRPr="00756CB9">
        <w:rPr>
          <w:shd w:val="clear" w:color="auto" w:fill="FFFFFF"/>
        </w:rPr>
        <w:t>chargee</w:t>
      </w:r>
      <w:proofErr w:type="spellEnd"/>
      <w:r w:rsidRPr="00756CB9">
        <w:rPr>
          <w:shd w:val="clear" w:color="auto" w:fill="FFFFFF"/>
        </w:rPr>
        <w:t xml:space="preserve"> to the auctioneer can only be lawful and valid when they are so transmitted by a </w:t>
      </w:r>
      <w:r w:rsidR="00B131A5">
        <w:rPr>
          <w:shd w:val="clear" w:color="auto" w:fill="FFFFFF"/>
        </w:rPr>
        <w:t xml:space="preserve">charge </w:t>
      </w:r>
      <w:r w:rsidRPr="00756CB9">
        <w:rPr>
          <w:shd w:val="clear" w:color="auto" w:fill="FFFFFF"/>
        </w:rPr>
        <w:t>after</w:t>
      </w:r>
      <w:r w:rsidR="00B131A5">
        <w:rPr>
          <w:shd w:val="clear" w:color="auto" w:fill="FFFFFF"/>
        </w:rPr>
        <w:t xml:space="preserve"> they</w:t>
      </w:r>
      <w:r w:rsidRPr="00756CB9">
        <w:rPr>
          <w:shd w:val="clear" w:color="auto" w:fill="FFFFFF"/>
        </w:rPr>
        <w:t xml:space="preserve"> ha</w:t>
      </w:r>
      <w:r w:rsidR="00B131A5">
        <w:rPr>
          <w:shd w:val="clear" w:color="auto" w:fill="FFFFFF"/>
        </w:rPr>
        <w:t>ve</w:t>
      </w:r>
      <w:r w:rsidRPr="00756CB9">
        <w:rPr>
          <w:shd w:val="clear" w:color="auto" w:fill="FFFFFF"/>
        </w:rPr>
        <w:t xml:space="preserve"> complied with all the requirements under the </w:t>
      </w:r>
      <w:r w:rsidRPr="00B131A5">
        <w:rPr>
          <w:b/>
          <w:shd w:val="clear" w:color="auto" w:fill="FFFFFF"/>
        </w:rPr>
        <w:t>Land Act</w:t>
      </w:r>
      <w:r w:rsidRPr="00756CB9">
        <w:rPr>
          <w:shd w:val="clear" w:color="auto" w:fill="FFFFFF"/>
        </w:rPr>
        <w:t xml:space="preserve">. </w:t>
      </w:r>
    </w:p>
    <w:p w14:paraId="4303285E" w14:textId="4C2B359D" w:rsidR="00756CB9" w:rsidRPr="00756CB9" w:rsidRDefault="00B131A5" w:rsidP="00782F9E">
      <w:pPr>
        <w:pStyle w:val="NormalWeb"/>
        <w:spacing w:before="0" w:beforeAutospacing="0" w:after="200" w:afterAutospacing="0" w:line="360" w:lineRule="auto"/>
        <w:jc w:val="both"/>
        <w:rPr>
          <w:shd w:val="clear" w:color="auto" w:fill="FFFFFF"/>
        </w:rPr>
      </w:pPr>
      <w:r>
        <w:rPr>
          <w:shd w:val="clear" w:color="auto" w:fill="FFFFFF"/>
        </w:rPr>
        <w:t>The court also mentioned that</w:t>
      </w:r>
      <w:r w:rsidR="00756CB9" w:rsidRPr="00756CB9">
        <w:rPr>
          <w:shd w:val="clear" w:color="auto" w:fill="FFFFFF"/>
        </w:rPr>
        <w:t xml:space="preserve"> </w:t>
      </w:r>
      <w:r w:rsidR="00756CB9" w:rsidRPr="00B131A5">
        <w:rPr>
          <w:b/>
          <w:shd w:val="clear" w:color="auto" w:fill="FFFFFF"/>
        </w:rPr>
        <w:t xml:space="preserve">rule </w:t>
      </w:r>
      <w:r w:rsidRPr="00B131A5">
        <w:rPr>
          <w:b/>
          <w:shd w:val="clear" w:color="auto" w:fill="FFFFFF"/>
        </w:rPr>
        <w:t>1</w:t>
      </w:r>
      <w:r w:rsidR="00756CB9" w:rsidRPr="00B131A5">
        <w:rPr>
          <w:b/>
          <w:shd w:val="clear" w:color="auto" w:fill="FFFFFF"/>
        </w:rPr>
        <w:t>5</w:t>
      </w:r>
      <w:r w:rsidRPr="00B131A5">
        <w:rPr>
          <w:b/>
          <w:shd w:val="clear" w:color="auto" w:fill="FFFFFF"/>
        </w:rPr>
        <w:t xml:space="preserve"> of the Auctioneers Rules</w:t>
      </w:r>
      <w:r w:rsidR="00756CB9" w:rsidRPr="00756CB9">
        <w:rPr>
          <w:shd w:val="clear" w:color="auto" w:fill="FFFFFF"/>
        </w:rPr>
        <w:t xml:space="preserve"> is a subsidiary legislation and cannot override clear provisions or be in lieu of substantive later provisions of the </w:t>
      </w:r>
      <w:r w:rsidR="00756CB9" w:rsidRPr="00B131A5">
        <w:rPr>
          <w:b/>
          <w:shd w:val="clear" w:color="auto" w:fill="FFFFFF"/>
        </w:rPr>
        <w:t>Land Act</w:t>
      </w:r>
      <w:r w:rsidR="00756CB9" w:rsidRPr="00756CB9">
        <w:rPr>
          <w:shd w:val="clear" w:color="auto" w:fill="FFFFFF"/>
        </w:rPr>
        <w:t xml:space="preserve">, to wit, </w:t>
      </w:r>
      <w:r w:rsidR="00756CB9" w:rsidRPr="00B131A5">
        <w:rPr>
          <w:b/>
          <w:shd w:val="clear" w:color="auto" w:fill="FFFFFF"/>
        </w:rPr>
        <w:t>section 96(2)</w:t>
      </w:r>
      <w:r w:rsidR="00756CB9" w:rsidRPr="00756CB9">
        <w:rPr>
          <w:shd w:val="clear" w:color="auto" w:fill="FFFFFF"/>
        </w:rPr>
        <w:t xml:space="preserve">. Therefore, </w:t>
      </w:r>
      <w:r w:rsidR="000C0DE3">
        <w:rPr>
          <w:shd w:val="clear" w:color="auto" w:fill="FFFFFF"/>
        </w:rPr>
        <w:t xml:space="preserve">the court insisted </w:t>
      </w:r>
      <w:r w:rsidR="00756CB9" w:rsidRPr="00756CB9">
        <w:rPr>
          <w:shd w:val="clear" w:color="auto" w:fill="FFFFFF"/>
        </w:rPr>
        <w:t>on</w:t>
      </w:r>
      <w:r w:rsidR="00B3111D">
        <w:rPr>
          <w:shd w:val="clear" w:color="auto" w:fill="FFFFFF"/>
        </w:rPr>
        <w:t xml:space="preserve"> its </w:t>
      </w:r>
      <w:r w:rsidR="00756CB9" w:rsidRPr="00756CB9">
        <w:rPr>
          <w:shd w:val="clear" w:color="auto" w:fill="FFFFFF"/>
        </w:rPr>
        <w:t>part that rule 15 of the Auctioneers Rules should augment the provisions of the Land Act rather that derogate from them.</w:t>
      </w:r>
    </w:p>
    <w:p w14:paraId="669A8134" w14:textId="30813434" w:rsidR="004D39C1" w:rsidRDefault="00756CB9" w:rsidP="004D39C1">
      <w:pPr>
        <w:pStyle w:val="NormalWeb"/>
        <w:spacing w:before="0" w:beforeAutospacing="0" w:after="200" w:afterAutospacing="0" w:line="360" w:lineRule="auto"/>
        <w:jc w:val="both"/>
        <w:rPr>
          <w:shd w:val="clear" w:color="auto" w:fill="FFFFFF"/>
        </w:rPr>
      </w:pPr>
      <w:r w:rsidRPr="00756CB9">
        <w:rPr>
          <w:shd w:val="clear" w:color="auto" w:fill="FFFFFF"/>
        </w:rPr>
        <w:t>The court held that failure to issue the notice under section 96(2) of the Land Act is an infringement of a right of the Applicant, and vitiates the scheduled sale of the suit property. </w:t>
      </w:r>
      <w:proofErr w:type="gramStart"/>
      <w:r w:rsidR="004D39C1">
        <w:rPr>
          <w:shd w:val="clear" w:color="auto" w:fill="FFFFFF"/>
        </w:rPr>
        <w:t>Therefore</w:t>
      </w:r>
      <w:proofErr w:type="gramEnd"/>
      <w:r w:rsidR="004D39C1">
        <w:rPr>
          <w:shd w:val="clear" w:color="auto" w:fill="FFFFFF"/>
        </w:rPr>
        <w:t xml:space="preserve"> the application for an injunction succeeded.</w:t>
      </w:r>
    </w:p>
    <w:p w14:paraId="36BB05A3" w14:textId="4DCFE7F1" w:rsidR="004D39C1" w:rsidRDefault="00756CB9" w:rsidP="004D39C1">
      <w:pPr>
        <w:pStyle w:val="NormalWeb"/>
        <w:spacing w:before="0" w:beforeAutospacing="0" w:after="200" w:afterAutospacing="0" w:line="360" w:lineRule="auto"/>
        <w:jc w:val="both"/>
        <w:rPr>
          <w:b/>
          <w:bCs/>
        </w:rPr>
      </w:pPr>
      <w:r w:rsidRPr="00756CB9">
        <w:t xml:space="preserve">In </w:t>
      </w:r>
      <w:r w:rsidR="004D39C1">
        <w:t>this</w:t>
      </w:r>
      <w:r w:rsidRPr="00756CB9">
        <w:t xml:space="preserve"> situation, an award of damages </w:t>
      </w:r>
      <w:r w:rsidR="004D39C1">
        <w:t xml:space="preserve">would not constitute </w:t>
      </w:r>
      <w:r w:rsidRPr="00756CB9">
        <w:t>adequate relief</w:t>
      </w:r>
      <w:r w:rsidR="004D39C1">
        <w:t xml:space="preserve"> as i</w:t>
      </w:r>
      <w:r w:rsidRPr="00756CB9">
        <w:t xml:space="preserve">rreparable </w:t>
      </w:r>
      <w:bookmarkStart w:id="1" w:name="_GoBack"/>
      <w:bookmarkEnd w:id="1"/>
      <w:r w:rsidRPr="00756CB9">
        <w:t>damage not compensable in an award of damages w</w:t>
      </w:r>
      <w:r w:rsidR="004D39C1">
        <w:t xml:space="preserve">ould </w:t>
      </w:r>
      <w:r w:rsidRPr="00756CB9">
        <w:t xml:space="preserve">certainly result if the suit property </w:t>
      </w:r>
      <w:r w:rsidR="004D39C1">
        <w:t>wa</w:t>
      </w:r>
      <w:r w:rsidRPr="00756CB9">
        <w:t xml:space="preserve">s sold on the basis of notices which fall foul of the law. This is a perfect ground on which the Court should issue an injunction on account that prima facie case </w:t>
      </w:r>
      <w:r w:rsidR="004D39C1">
        <w:t>w</w:t>
      </w:r>
      <w:r w:rsidRPr="00756CB9">
        <w:t>as established in terms of </w:t>
      </w:r>
      <w:proofErr w:type="spellStart"/>
      <w:r w:rsidRPr="00756CB9">
        <w:rPr>
          <w:b/>
          <w:bCs/>
        </w:rPr>
        <w:t>Giella</w:t>
      </w:r>
      <w:proofErr w:type="spellEnd"/>
      <w:r w:rsidRPr="00756CB9">
        <w:rPr>
          <w:b/>
          <w:bCs/>
        </w:rPr>
        <w:t xml:space="preserve"> vs. </w:t>
      </w:r>
      <w:proofErr w:type="spellStart"/>
      <w:r w:rsidRPr="00756CB9">
        <w:rPr>
          <w:b/>
          <w:bCs/>
        </w:rPr>
        <w:t>Cassman</w:t>
      </w:r>
      <w:proofErr w:type="spellEnd"/>
      <w:r w:rsidRPr="00756CB9">
        <w:rPr>
          <w:b/>
          <w:bCs/>
        </w:rPr>
        <w:t xml:space="preserve"> Brown &amp; Co. Ltd (1973) EA 358. </w:t>
      </w:r>
      <w:r w:rsidRPr="00756CB9">
        <w:t>It also fits the test in the case of </w:t>
      </w:r>
      <w:proofErr w:type="spellStart"/>
      <w:r w:rsidRPr="00756CB9">
        <w:rPr>
          <w:b/>
          <w:bCs/>
        </w:rPr>
        <w:t>Mrao</w:t>
      </w:r>
      <w:proofErr w:type="spellEnd"/>
      <w:r w:rsidRPr="00756CB9">
        <w:rPr>
          <w:b/>
          <w:bCs/>
        </w:rPr>
        <w:t xml:space="preserve"> Limited V First American Bank Limited &amp; 2 Others, [2003] KLR 125</w:t>
      </w:r>
    </w:p>
    <w:p w14:paraId="36E1E5F8" w14:textId="70CBAF66" w:rsidR="00B9067F" w:rsidRDefault="004D39C1" w:rsidP="004D39C1">
      <w:pPr>
        <w:pStyle w:val="NormalWeb"/>
        <w:spacing w:before="0" w:beforeAutospacing="0" w:after="200" w:afterAutospacing="0" w:line="360" w:lineRule="auto"/>
        <w:jc w:val="both"/>
      </w:pPr>
      <w:r>
        <w:t>However</w:t>
      </w:r>
      <w:r w:rsidR="00756CB9" w:rsidRPr="00756CB9">
        <w:t xml:space="preserve">, the Court observed that, an injunction which is granted on the ground that the notices issued are not proper or none was issued at all, is not an absolute prohibition; such injunction will only subsist for as long as the Bank has not issued a proper Notice. </w:t>
      </w:r>
    </w:p>
    <w:p w14:paraId="2D108532" w14:textId="77777777" w:rsidR="00CF536E" w:rsidRDefault="00CF536E" w:rsidP="00CF536E">
      <w:pPr>
        <w:rPr>
          <w:rFonts w:ascii="Times New Roman" w:hAnsi="Times New Roman" w:cs="Times New Roman"/>
          <w:sz w:val="24"/>
          <w:szCs w:val="24"/>
        </w:rPr>
      </w:pPr>
      <w:r>
        <w:rPr>
          <w:rFonts w:ascii="Times New Roman" w:hAnsi="Times New Roman" w:cs="Times New Roman"/>
          <w:sz w:val="24"/>
          <w:szCs w:val="24"/>
        </w:rPr>
        <w:lastRenderedPageBreak/>
        <w:t xml:space="preserve">ALBERT MARIO CORDEIRO &amp; ANOTHER VS VISHRA SHAMJI (2015) </w:t>
      </w:r>
      <w:proofErr w:type="spellStart"/>
      <w:r>
        <w:rPr>
          <w:rFonts w:ascii="Times New Roman" w:hAnsi="Times New Roman" w:cs="Times New Roman"/>
          <w:sz w:val="24"/>
          <w:szCs w:val="24"/>
        </w:rPr>
        <w:t>Eklr</w:t>
      </w:r>
      <w:proofErr w:type="spellEnd"/>
    </w:p>
    <w:p w14:paraId="6DD28A6E"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The defendant seeks to rely on a defective charge, which is null and void and has no legal effect at all. </w:t>
      </w:r>
    </w:p>
    <w:p w14:paraId="411591CD"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The charge is contra-statute, that is, it is non-compliant with </w:t>
      </w:r>
      <w:r>
        <w:rPr>
          <w:rFonts w:ascii="Times New Roman" w:hAnsi="Times New Roman" w:cs="Times New Roman"/>
          <w:b/>
          <w:sz w:val="24"/>
          <w:szCs w:val="24"/>
        </w:rPr>
        <w:t xml:space="preserve">section 80(3) of the Land Act </w:t>
      </w:r>
      <w:r>
        <w:rPr>
          <w:rFonts w:ascii="Times New Roman" w:hAnsi="Times New Roman" w:cs="Times New Roman"/>
          <w:sz w:val="24"/>
          <w:szCs w:val="24"/>
        </w:rPr>
        <w:t xml:space="preserve">given the fact that it does not contain: </w:t>
      </w:r>
    </w:p>
    <w:p w14:paraId="7387386A" w14:textId="77777777" w:rsidR="00CF536E" w:rsidRDefault="00CF536E" w:rsidP="00CF536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The terms and conditions of sale</w:t>
      </w:r>
    </w:p>
    <w:p w14:paraId="258C3DA2" w14:textId="77777777" w:rsidR="00CF536E" w:rsidRDefault="00CF536E" w:rsidP="00CF536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An explanation of the consequences of default</w:t>
      </w:r>
    </w:p>
    <w:p w14:paraId="102544E6" w14:textId="77777777" w:rsidR="00CF536E" w:rsidRDefault="00CF536E" w:rsidP="00CF536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The reliefs the </w:t>
      </w:r>
      <w:proofErr w:type="spellStart"/>
      <w:r>
        <w:rPr>
          <w:rFonts w:ascii="Times New Roman" w:hAnsi="Times New Roman" w:cs="Times New Roman"/>
          <w:sz w:val="24"/>
          <w:szCs w:val="24"/>
        </w:rPr>
        <w:t>Chargee</w:t>
      </w:r>
      <w:proofErr w:type="spellEnd"/>
      <w:r>
        <w:rPr>
          <w:rFonts w:ascii="Times New Roman" w:hAnsi="Times New Roman" w:cs="Times New Roman"/>
          <w:sz w:val="24"/>
          <w:szCs w:val="24"/>
        </w:rPr>
        <w:t xml:space="preserve"> is entitled to, including the right of sale</w:t>
      </w:r>
    </w:p>
    <w:p w14:paraId="00D0E541"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The realization process that was allegedly commenced by the defendant is a nullity in law. The defendant did not serve the Plaintiffs a statutory notice. The defendant had not issued a statutory that complies with </w:t>
      </w:r>
      <w:r>
        <w:rPr>
          <w:rFonts w:ascii="Times New Roman" w:hAnsi="Times New Roman" w:cs="Times New Roman"/>
          <w:b/>
          <w:sz w:val="24"/>
          <w:szCs w:val="24"/>
        </w:rPr>
        <w:t xml:space="preserve">section 90(1) &amp; 90(2) </w:t>
      </w:r>
      <w:r>
        <w:rPr>
          <w:rFonts w:ascii="Times New Roman" w:hAnsi="Times New Roman" w:cs="Times New Roman"/>
          <w:sz w:val="24"/>
          <w:szCs w:val="24"/>
        </w:rPr>
        <w:t xml:space="preserve">of the </w:t>
      </w:r>
      <w:r>
        <w:rPr>
          <w:rFonts w:ascii="Times New Roman" w:hAnsi="Times New Roman" w:cs="Times New Roman"/>
          <w:b/>
          <w:sz w:val="24"/>
          <w:szCs w:val="24"/>
        </w:rPr>
        <w:t xml:space="preserve">Land Act. </w:t>
      </w:r>
      <w:r>
        <w:rPr>
          <w:rFonts w:ascii="Times New Roman" w:hAnsi="Times New Roman" w:cs="Times New Roman"/>
          <w:sz w:val="24"/>
          <w:szCs w:val="24"/>
        </w:rPr>
        <w:t xml:space="preserve">The defendant had not issued the </w:t>
      </w:r>
      <w:proofErr w:type="gramStart"/>
      <w:r>
        <w:rPr>
          <w:rFonts w:ascii="Times New Roman" w:hAnsi="Times New Roman" w:cs="Times New Roman"/>
          <w:sz w:val="24"/>
          <w:szCs w:val="24"/>
        </w:rPr>
        <w:t>40 day</w:t>
      </w:r>
      <w:proofErr w:type="gramEnd"/>
      <w:r>
        <w:rPr>
          <w:rFonts w:ascii="Times New Roman" w:hAnsi="Times New Roman" w:cs="Times New Roman"/>
          <w:sz w:val="24"/>
          <w:szCs w:val="24"/>
        </w:rPr>
        <w:t xml:space="preserve"> statutory notice under </w:t>
      </w:r>
      <w:r>
        <w:rPr>
          <w:rFonts w:ascii="Times New Roman" w:hAnsi="Times New Roman" w:cs="Times New Roman"/>
          <w:b/>
          <w:sz w:val="24"/>
          <w:szCs w:val="24"/>
        </w:rPr>
        <w:t xml:space="preserve">section 96(2) </w:t>
      </w:r>
      <w:r>
        <w:rPr>
          <w:rFonts w:ascii="Times New Roman" w:hAnsi="Times New Roman" w:cs="Times New Roman"/>
          <w:sz w:val="24"/>
          <w:szCs w:val="24"/>
        </w:rPr>
        <w:t xml:space="preserve">of the </w:t>
      </w:r>
      <w:r>
        <w:rPr>
          <w:rFonts w:ascii="Times New Roman" w:hAnsi="Times New Roman" w:cs="Times New Roman"/>
          <w:b/>
          <w:sz w:val="24"/>
          <w:szCs w:val="24"/>
        </w:rPr>
        <w:t xml:space="preserve">Land Act. </w:t>
      </w:r>
      <w:r>
        <w:rPr>
          <w:rFonts w:ascii="Times New Roman" w:hAnsi="Times New Roman" w:cs="Times New Roman"/>
          <w:sz w:val="24"/>
          <w:szCs w:val="24"/>
        </w:rPr>
        <w:t xml:space="preserve">The auctioneer did not give the plaintiffs the Notification of sale as required under the Auctioneers Act. </w:t>
      </w:r>
    </w:p>
    <w:p w14:paraId="68F79CD8"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The statutory power of sale in favour of the defendant regarding the suit property has not arisen and cannot arise at all. </w:t>
      </w:r>
      <w:r>
        <w:rPr>
          <w:rFonts w:ascii="Times New Roman" w:hAnsi="Times New Roman" w:cs="Times New Roman"/>
          <w:b/>
          <w:sz w:val="24"/>
          <w:szCs w:val="24"/>
        </w:rPr>
        <w:t xml:space="preserve">Section 104(2) </w:t>
      </w:r>
      <w:r>
        <w:rPr>
          <w:rFonts w:ascii="Times New Roman" w:hAnsi="Times New Roman" w:cs="Times New Roman"/>
          <w:sz w:val="24"/>
          <w:szCs w:val="24"/>
        </w:rPr>
        <w:t xml:space="preserve">of the </w:t>
      </w:r>
      <w:r>
        <w:rPr>
          <w:rFonts w:ascii="Times New Roman" w:hAnsi="Times New Roman" w:cs="Times New Roman"/>
          <w:b/>
          <w:sz w:val="24"/>
          <w:szCs w:val="24"/>
        </w:rPr>
        <w:t xml:space="preserve">Land Act </w:t>
      </w:r>
      <w:r>
        <w:rPr>
          <w:rFonts w:ascii="Times New Roman" w:hAnsi="Times New Roman" w:cs="Times New Roman"/>
          <w:sz w:val="24"/>
          <w:szCs w:val="24"/>
        </w:rPr>
        <w:t xml:space="preserve">provides for cancelling, varying, suspending or postponing any scheduled sale or extending the period of time for compliance by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or substitution of a different remedy than outright sale.</w:t>
      </w:r>
    </w:p>
    <w:p w14:paraId="7E48E714"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The plaintiff submitted that the Land Act brought fundamental changes especially on Charges/ Mortgages, what they must contain and how realization of charged securities must be effected. </w:t>
      </w:r>
      <w:r>
        <w:rPr>
          <w:rFonts w:ascii="Times New Roman" w:hAnsi="Times New Roman" w:cs="Times New Roman"/>
          <w:b/>
          <w:sz w:val="24"/>
          <w:szCs w:val="24"/>
        </w:rPr>
        <w:t>Section 78 Land Act</w:t>
      </w:r>
      <w:r>
        <w:rPr>
          <w:rFonts w:ascii="Times New Roman" w:hAnsi="Times New Roman" w:cs="Times New Roman"/>
          <w:sz w:val="24"/>
          <w:szCs w:val="24"/>
        </w:rPr>
        <w:t xml:space="preserve"> states that, this part applies to all charges on land including any charge made before the coming into effect of this act and in effect at the time, any other charges of land which are specifically referred to in any section in this part.</w:t>
      </w:r>
    </w:p>
    <w:p w14:paraId="4DD5E30D"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The plaintiff submitted that the charge registered against the suit property in contra-statute and cannot be a basis for the defendant to exercise statutory powers of sale under the Land Act.</w:t>
      </w:r>
    </w:p>
    <w:p w14:paraId="21743C12"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The charge instrument is not in compliance with </w:t>
      </w:r>
      <w:r>
        <w:rPr>
          <w:rFonts w:ascii="Times New Roman" w:hAnsi="Times New Roman" w:cs="Times New Roman"/>
          <w:b/>
          <w:sz w:val="24"/>
          <w:szCs w:val="24"/>
        </w:rPr>
        <w:t xml:space="preserve">section 80(3) </w:t>
      </w:r>
      <w:r>
        <w:rPr>
          <w:rFonts w:ascii="Times New Roman" w:hAnsi="Times New Roman" w:cs="Times New Roman"/>
          <w:sz w:val="24"/>
          <w:szCs w:val="24"/>
        </w:rPr>
        <w:t xml:space="preserve">of the </w:t>
      </w:r>
      <w:r>
        <w:rPr>
          <w:rFonts w:ascii="Times New Roman" w:hAnsi="Times New Roman" w:cs="Times New Roman"/>
          <w:b/>
          <w:sz w:val="24"/>
          <w:szCs w:val="24"/>
        </w:rPr>
        <w:t xml:space="preserve">Land Act </w:t>
      </w:r>
      <w:r>
        <w:rPr>
          <w:rFonts w:ascii="Times New Roman" w:hAnsi="Times New Roman" w:cs="Times New Roman"/>
          <w:sz w:val="24"/>
          <w:szCs w:val="24"/>
        </w:rPr>
        <w:t>which provides that every charge instrument shall contain:</w:t>
      </w:r>
    </w:p>
    <w:p w14:paraId="033149EC" w14:textId="77777777" w:rsidR="00CF536E" w:rsidRDefault="00CF536E" w:rsidP="00CF53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The terms and conditions of sale</w:t>
      </w:r>
    </w:p>
    <w:p w14:paraId="14ED8BDF" w14:textId="77777777" w:rsidR="00CF536E" w:rsidRDefault="00CF536E" w:rsidP="00CF53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An explanation of the consequences of default </w:t>
      </w:r>
    </w:p>
    <w:p w14:paraId="781BB923" w14:textId="77777777" w:rsidR="00CF536E" w:rsidRDefault="00CF536E" w:rsidP="00CF53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The reliefs that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is entitled to including the right to sell.</w:t>
      </w:r>
    </w:p>
    <w:p w14:paraId="5A9A5D5D" w14:textId="77777777" w:rsidR="00CF536E" w:rsidRDefault="00CF536E" w:rsidP="00CF536E">
      <w:pPr>
        <w:jc w:val="both"/>
        <w:rPr>
          <w:rFonts w:ascii="Times New Roman" w:hAnsi="Times New Roman" w:cs="Times New Roman"/>
          <w:sz w:val="24"/>
          <w:szCs w:val="24"/>
        </w:rPr>
      </w:pP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the charge is defective, null and void. The said charge does not afford the defendant the powers reserved for charges in the Land Act and the </w:t>
      </w:r>
      <w:proofErr w:type="spellStart"/>
      <w:r>
        <w:rPr>
          <w:rFonts w:ascii="Times New Roman" w:hAnsi="Times New Roman" w:cs="Times New Roman"/>
          <w:sz w:val="24"/>
          <w:szCs w:val="24"/>
        </w:rPr>
        <w:t>Chargee</w:t>
      </w:r>
      <w:proofErr w:type="spellEnd"/>
      <w:r>
        <w:rPr>
          <w:rFonts w:ascii="Times New Roman" w:hAnsi="Times New Roman" w:cs="Times New Roman"/>
          <w:sz w:val="24"/>
          <w:szCs w:val="24"/>
        </w:rPr>
        <w:t xml:space="preserve"> cannot exercise any power of sale on that charge. </w:t>
      </w:r>
    </w:p>
    <w:p w14:paraId="6EFC971E" w14:textId="77777777" w:rsidR="00CF536E" w:rsidRDefault="00CF536E" w:rsidP="00CF536E">
      <w:pPr>
        <w:jc w:val="both"/>
        <w:rPr>
          <w:rFonts w:ascii="Times New Roman" w:hAnsi="Times New Roman" w:cs="Times New Roman"/>
          <w:sz w:val="24"/>
          <w:szCs w:val="24"/>
        </w:rPr>
      </w:pPr>
      <w:proofErr w:type="spellStart"/>
      <w:r>
        <w:rPr>
          <w:rFonts w:ascii="Times New Roman" w:hAnsi="Times New Roman" w:cs="Times New Roman"/>
          <w:b/>
          <w:sz w:val="24"/>
          <w:szCs w:val="24"/>
        </w:rPr>
        <w:t>Nyagilo</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Ochieng</w:t>
      </w:r>
      <w:proofErr w:type="spellEnd"/>
      <w:r>
        <w:rPr>
          <w:rFonts w:ascii="Times New Roman" w:hAnsi="Times New Roman" w:cs="Times New Roman"/>
          <w:b/>
          <w:sz w:val="24"/>
          <w:szCs w:val="24"/>
        </w:rPr>
        <w:t xml:space="preserve">’ &amp; another vs Kenya Commercial Bank, </w:t>
      </w:r>
      <w:r>
        <w:rPr>
          <w:rFonts w:ascii="Times New Roman" w:hAnsi="Times New Roman" w:cs="Times New Roman"/>
          <w:sz w:val="24"/>
          <w:szCs w:val="24"/>
        </w:rPr>
        <w:t xml:space="preserve">the Court of Appeal stated that it is for the </w:t>
      </w:r>
      <w:proofErr w:type="spellStart"/>
      <w:r>
        <w:rPr>
          <w:rFonts w:ascii="Times New Roman" w:hAnsi="Times New Roman" w:cs="Times New Roman"/>
          <w:sz w:val="24"/>
          <w:szCs w:val="24"/>
        </w:rPr>
        <w:t>chargee</w:t>
      </w:r>
      <w:proofErr w:type="spellEnd"/>
      <w:r>
        <w:rPr>
          <w:rFonts w:ascii="Times New Roman" w:hAnsi="Times New Roman" w:cs="Times New Roman"/>
          <w:sz w:val="24"/>
          <w:szCs w:val="24"/>
        </w:rPr>
        <w:t xml:space="preserve"> to make sure that there is compliance with the requirements of </w:t>
      </w:r>
      <w:r>
        <w:rPr>
          <w:rFonts w:ascii="Times New Roman" w:hAnsi="Times New Roman" w:cs="Times New Roman"/>
          <w:b/>
          <w:sz w:val="24"/>
          <w:szCs w:val="24"/>
        </w:rPr>
        <w:t xml:space="preserve">Section 74(1) </w:t>
      </w:r>
      <w:r>
        <w:rPr>
          <w:rFonts w:ascii="Times New Roman" w:hAnsi="Times New Roman" w:cs="Times New Roman"/>
          <w:sz w:val="24"/>
          <w:szCs w:val="24"/>
        </w:rPr>
        <w:t xml:space="preserve">of the </w:t>
      </w:r>
      <w:r>
        <w:rPr>
          <w:rFonts w:ascii="Times New Roman" w:hAnsi="Times New Roman" w:cs="Times New Roman"/>
          <w:b/>
          <w:sz w:val="24"/>
          <w:szCs w:val="24"/>
        </w:rPr>
        <w:t xml:space="preserve">Registered Land Act. </w:t>
      </w:r>
      <w:r>
        <w:rPr>
          <w:rFonts w:ascii="Times New Roman" w:hAnsi="Times New Roman" w:cs="Times New Roman"/>
          <w:sz w:val="24"/>
          <w:szCs w:val="24"/>
        </w:rPr>
        <w:t xml:space="preserve">That burden is not in any manner on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Once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alleges non-receipt of the statutory notice it is for the charge to prove that such notice was in fact sent.</w:t>
      </w:r>
    </w:p>
    <w:p w14:paraId="6B3E4E09" w14:textId="77777777" w:rsidR="00CF536E" w:rsidRDefault="00CF536E" w:rsidP="00CF536E">
      <w:pPr>
        <w:jc w:val="both"/>
        <w:rPr>
          <w:rFonts w:ascii="Times New Roman" w:hAnsi="Times New Roman" w:cs="Times New Roman"/>
          <w:sz w:val="24"/>
          <w:szCs w:val="24"/>
        </w:rPr>
      </w:pPr>
      <w:r>
        <w:rPr>
          <w:rFonts w:ascii="Times New Roman" w:hAnsi="Times New Roman" w:cs="Times New Roman"/>
          <w:b/>
          <w:sz w:val="24"/>
          <w:szCs w:val="24"/>
        </w:rPr>
        <w:t xml:space="preserve">Section 90(1) Registered Land Act </w:t>
      </w:r>
      <w:r>
        <w:rPr>
          <w:rFonts w:ascii="Times New Roman" w:hAnsi="Times New Roman" w:cs="Times New Roman"/>
          <w:sz w:val="24"/>
          <w:szCs w:val="24"/>
        </w:rPr>
        <w:t>stipulates the requirements for a valid statutory notice, which according to the plaintiff, the defendant did not comply in regards to the letter sent given the fact that it:</w:t>
      </w:r>
    </w:p>
    <w:p w14:paraId="50449E16" w14:textId="77777777" w:rsidR="00CF536E"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Does not notify the intended recipients that the charged property could be sold if compliance therewith was not made </w:t>
      </w:r>
    </w:p>
    <w:p w14:paraId="7371A4B4" w14:textId="77777777" w:rsidR="00CF536E"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Merely threatened that recovery proceedings will be taken if payment was not made.</w:t>
      </w:r>
    </w:p>
    <w:p w14:paraId="69C8911D" w14:textId="77777777" w:rsidR="00CF536E"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Fails to adequately (or at all) inform the intended recipient of the nature and extent of the default, if any</w:t>
      </w:r>
    </w:p>
    <w:p w14:paraId="4E73EBF6" w14:textId="77777777" w:rsidR="00CF536E"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And since the alleged default consisted of alleged non-payment of money due under the purported charge, it failed to specify the amount that must be paid to rectify the alleged default.</w:t>
      </w:r>
    </w:p>
    <w:p w14:paraId="503021D2" w14:textId="77777777" w:rsidR="00CF536E"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Further, it gives the recipient thereof a period of 90 days instead of the statutory 3 months as per the Land Act.</w:t>
      </w:r>
    </w:p>
    <w:p w14:paraId="618E4CE1" w14:textId="77777777" w:rsidR="00CF536E" w:rsidRPr="00E93E03"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It did not give the recipient thereof any opportunity to rectify and/or restore the default to normalcy as intended by </w:t>
      </w:r>
      <w:r>
        <w:rPr>
          <w:rFonts w:ascii="Times New Roman" w:hAnsi="Times New Roman" w:cs="Times New Roman"/>
          <w:b/>
          <w:sz w:val="24"/>
          <w:szCs w:val="24"/>
        </w:rPr>
        <w:t xml:space="preserve">section 90(2) </w:t>
      </w:r>
      <w:r>
        <w:rPr>
          <w:rFonts w:ascii="Times New Roman" w:hAnsi="Times New Roman" w:cs="Times New Roman"/>
          <w:sz w:val="24"/>
          <w:szCs w:val="24"/>
        </w:rPr>
        <w:t xml:space="preserve">of the </w:t>
      </w:r>
      <w:r>
        <w:rPr>
          <w:rFonts w:ascii="Times New Roman" w:hAnsi="Times New Roman" w:cs="Times New Roman"/>
          <w:b/>
          <w:sz w:val="24"/>
          <w:szCs w:val="24"/>
        </w:rPr>
        <w:t>Land Act.</w:t>
      </w:r>
    </w:p>
    <w:p w14:paraId="2B283A8B" w14:textId="77777777" w:rsidR="00CF536E"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It did not inform the recipient that they had a right to apply to court for relief.</w:t>
      </w:r>
    </w:p>
    <w:p w14:paraId="415AA210" w14:textId="77777777" w:rsidR="00CF536E" w:rsidRPr="00E93E03" w:rsidRDefault="00CF536E" w:rsidP="00CF53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It brazenly took away statutory rights bestowed under</w:t>
      </w:r>
      <w:r w:rsidRPr="00E93E03">
        <w:rPr>
          <w:rFonts w:ascii="Times New Roman" w:hAnsi="Times New Roman" w:cs="Times New Roman"/>
          <w:b/>
          <w:sz w:val="24"/>
          <w:szCs w:val="24"/>
        </w:rPr>
        <w:t xml:space="preserve"> section 90(2)</w:t>
      </w:r>
      <w:r>
        <w:rPr>
          <w:rFonts w:ascii="Times New Roman" w:hAnsi="Times New Roman" w:cs="Times New Roman"/>
          <w:sz w:val="24"/>
          <w:szCs w:val="24"/>
        </w:rPr>
        <w:t xml:space="preserve"> of the </w:t>
      </w:r>
      <w:r w:rsidRPr="00E93E03">
        <w:rPr>
          <w:rFonts w:ascii="Times New Roman" w:hAnsi="Times New Roman" w:cs="Times New Roman"/>
          <w:b/>
          <w:sz w:val="24"/>
          <w:szCs w:val="24"/>
        </w:rPr>
        <w:t>Land Act</w:t>
      </w:r>
      <w:r>
        <w:rPr>
          <w:rFonts w:ascii="Times New Roman" w:hAnsi="Times New Roman" w:cs="Times New Roman"/>
          <w:b/>
          <w:sz w:val="24"/>
          <w:szCs w:val="24"/>
        </w:rPr>
        <w:t>.</w:t>
      </w:r>
    </w:p>
    <w:p w14:paraId="4D082929"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Issues to be determined</w:t>
      </w:r>
    </w:p>
    <w:p w14:paraId="4D1FF292" w14:textId="77777777" w:rsidR="00CF536E" w:rsidRDefault="00CF536E" w:rsidP="00CF53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Whether the charge instrument herein is not in compliance with </w:t>
      </w:r>
      <w:r>
        <w:rPr>
          <w:rFonts w:ascii="Times New Roman" w:hAnsi="Times New Roman" w:cs="Times New Roman"/>
          <w:b/>
          <w:sz w:val="24"/>
          <w:szCs w:val="24"/>
        </w:rPr>
        <w:t xml:space="preserve">Section 80(3) of the Land Act, </w:t>
      </w:r>
      <w:r>
        <w:rPr>
          <w:rFonts w:ascii="Times New Roman" w:hAnsi="Times New Roman" w:cs="Times New Roman"/>
          <w:sz w:val="24"/>
          <w:szCs w:val="24"/>
        </w:rPr>
        <w:t>therefore, defective, null and void.</w:t>
      </w:r>
    </w:p>
    <w:p w14:paraId="5DA99B5C" w14:textId="77777777" w:rsidR="00CF536E" w:rsidRPr="00E93E03" w:rsidRDefault="00CF536E" w:rsidP="00CF53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Whether the defendant served the plaintiffs with a statutory notice pursuant to </w:t>
      </w:r>
      <w:r>
        <w:rPr>
          <w:rFonts w:ascii="Times New Roman" w:hAnsi="Times New Roman" w:cs="Times New Roman"/>
          <w:b/>
          <w:sz w:val="24"/>
          <w:szCs w:val="24"/>
        </w:rPr>
        <w:t>Section 90(2) of the Land Act</w:t>
      </w:r>
    </w:p>
    <w:p w14:paraId="4EBA0DD5" w14:textId="77777777" w:rsidR="00CF536E" w:rsidRDefault="00CF536E" w:rsidP="00CF53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Whether the defendant served the plaintiffs with a notification of sale</w:t>
      </w:r>
    </w:p>
    <w:p w14:paraId="52B1966B" w14:textId="77777777" w:rsidR="00CF536E" w:rsidRPr="00E93E03" w:rsidRDefault="00CF536E" w:rsidP="00CF53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Whether the defendant served the plaintiffs with a notice to sell pursuant to </w:t>
      </w:r>
      <w:r>
        <w:rPr>
          <w:rFonts w:ascii="Times New Roman" w:hAnsi="Times New Roman" w:cs="Times New Roman"/>
          <w:b/>
          <w:sz w:val="24"/>
          <w:szCs w:val="24"/>
        </w:rPr>
        <w:t>Section 96(2) of the Land Act</w:t>
      </w:r>
    </w:p>
    <w:p w14:paraId="01E4723F" w14:textId="77777777" w:rsidR="00CF536E" w:rsidRDefault="00CF536E" w:rsidP="00CF53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Whether the defendant carried out a valuation of the charged property.</w:t>
      </w:r>
    </w:p>
    <w:p w14:paraId="33FF9987"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Determination.</w:t>
      </w:r>
    </w:p>
    <w:p w14:paraId="6FB1A430"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Applicants alleged that they were never served with a notification of sale by the auctioneers as required under </w:t>
      </w:r>
      <w:r>
        <w:rPr>
          <w:rFonts w:ascii="Times New Roman" w:hAnsi="Times New Roman" w:cs="Times New Roman"/>
          <w:b/>
          <w:sz w:val="24"/>
          <w:szCs w:val="24"/>
        </w:rPr>
        <w:t>rule 15(</w:t>
      </w:r>
      <w:proofErr w:type="gramStart"/>
      <w:r>
        <w:rPr>
          <w:rFonts w:ascii="Times New Roman" w:hAnsi="Times New Roman" w:cs="Times New Roman"/>
          <w:b/>
          <w:sz w:val="24"/>
          <w:szCs w:val="24"/>
        </w:rPr>
        <w:t>c )</w:t>
      </w:r>
      <w:proofErr w:type="gramEnd"/>
      <w:r>
        <w:rPr>
          <w:rFonts w:ascii="Times New Roman" w:hAnsi="Times New Roman" w:cs="Times New Roman"/>
          <w:b/>
          <w:sz w:val="24"/>
          <w:szCs w:val="24"/>
        </w:rPr>
        <w:t xml:space="preserve"> of the Auctioneers Rules. </w:t>
      </w:r>
      <w:r>
        <w:rPr>
          <w:rFonts w:ascii="Times New Roman" w:hAnsi="Times New Roman" w:cs="Times New Roman"/>
          <w:sz w:val="24"/>
          <w:szCs w:val="24"/>
        </w:rPr>
        <w:t xml:space="preserve">The relevant provision on service is </w:t>
      </w:r>
      <w:r>
        <w:rPr>
          <w:rFonts w:ascii="Times New Roman" w:hAnsi="Times New Roman" w:cs="Times New Roman"/>
          <w:b/>
          <w:sz w:val="24"/>
          <w:szCs w:val="24"/>
        </w:rPr>
        <w:t>Rule 15(</w:t>
      </w:r>
      <w:proofErr w:type="gramStart"/>
      <w:r>
        <w:rPr>
          <w:rFonts w:ascii="Times New Roman" w:hAnsi="Times New Roman" w:cs="Times New Roman"/>
          <w:b/>
          <w:sz w:val="24"/>
          <w:szCs w:val="24"/>
        </w:rPr>
        <w:t>c )</w:t>
      </w:r>
      <w:proofErr w:type="gramEnd"/>
      <w:r>
        <w:rPr>
          <w:rFonts w:ascii="Times New Roman" w:hAnsi="Times New Roman" w:cs="Times New Roman"/>
          <w:b/>
          <w:sz w:val="24"/>
          <w:szCs w:val="24"/>
        </w:rPr>
        <w:t xml:space="preserve"> of the Auctioneers Rules </w:t>
      </w:r>
      <w:r>
        <w:rPr>
          <w:rFonts w:ascii="Times New Roman" w:hAnsi="Times New Roman" w:cs="Times New Roman"/>
          <w:sz w:val="24"/>
          <w:szCs w:val="24"/>
        </w:rPr>
        <w:t xml:space="preserve">to locate the property and serve the notification, the auctioneer shall sign a certificate to that effect. It is indicated on the notification of sale annexed hereto “SERVED UPON ALBERT MWARIO CORDEIRO AT 4:10PM”. The is no signature by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or any certificate to the effect that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refused to sign the notification.</w:t>
      </w:r>
    </w:p>
    <w:p w14:paraId="0CF4B59C"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The auctioneer should have acted more diligently by adhering to the law. It is not enough to indicate that the Notification has been served, the place and the manner it was served. There is ample evidence, however, that the plaintiffs were aware of the notification of sale and tried to find ways of averting the sale of the property. But, it seems the plaintiffs are only taking advantage of the legal lapses in this case.</w:t>
      </w:r>
    </w:p>
    <w:p w14:paraId="22E7D201"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Justice </w:t>
      </w:r>
      <w:proofErr w:type="spellStart"/>
      <w:r>
        <w:rPr>
          <w:rFonts w:ascii="Times New Roman" w:hAnsi="Times New Roman" w:cs="Times New Roman"/>
          <w:sz w:val="24"/>
          <w:szCs w:val="24"/>
        </w:rPr>
        <w:t>Gikonyo</w:t>
      </w:r>
      <w:proofErr w:type="spellEnd"/>
      <w:r>
        <w:rPr>
          <w:rFonts w:ascii="Times New Roman" w:hAnsi="Times New Roman" w:cs="Times New Roman"/>
          <w:sz w:val="24"/>
          <w:szCs w:val="24"/>
        </w:rPr>
        <w:t xml:space="preserve"> stated that the starling yet important query is whether the notice gives the </w:t>
      </w:r>
      <w:proofErr w:type="spellStart"/>
      <w:r>
        <w:rPr>
          <w:rFonts w:ascii="Times New Roman" w:hAnsi="Times New Roman" w:cs="Times New Roman"/>
          <w:sz w:val="24"/>
          <w:szCs w:val="24"/>
        </w:rPr>
        <w:t>chargors</w:t>
      </w:r>
      <w:proofErr w:type="spellEnd"/>
      <w:r>
        <w:rPr>
          <w:rFonts w:ascii="Times New Roman" w:hAnsi="Times New Roman" w:cs="Times New Roman"/>
          <w:sz w:val="24"/>
          <w:szCs w:val="24"/>
        </w:rPr>
        <w:t xml:space="preserve"> a period of 90 days instead of the statutory three months as per the Land Act. The law talks of not less than three months and not 90 days. </w:t>
      </w:r>
      <w:proofErr w:type="spellStart"/>
      <w:r>
        <w:rPr>
          <w:rFonts w:ascii="Times New Roman" w:hAnsi="Times New Roman" w:cs="Times New Roman"/>
          <w:sz w:val="24"/>
          <w:szCs w:val="24"/>
        </w:rPr>
        <w:t>Chargors</w:t>
      </w:r>
      <w:proofErr w:type="spellEnd"/>
      <w:r>
        <w:rPr>
          <w:rFonts w:ascii="Times New Roman" w:hAnsi="Times New Roman" w:cs="Times New Roman"/>
          <w:sz w:val="24"/>
          <w:szCs w:val="24"/>
        </w:rPr>
        <w:t xml:space="preserve"> should use the words used in the statute to avoid such arguments. He also stated that he is content to rely on the case of </w:t>
      </w:r>
      <w:r>
        <w:rPr>
          <w:rFonts w:ascii="Times New Roman" w:hAnsi="Times New Roman" w:cs="Times New Roman"/>
          <w:b/>
          <w:sz w:val="24"/>
          <w:szCs w:val="24"/>
        </w:rPr>
        <w:t xml:space="preserve">Trust Bank Ltd vs Eros Chemists Ltd (2000) </w:t>
      </w:r>
      <w:r>
        <w:rPr>
          <w:rFonts w:ascii="Times New Roman" w:hAnsi="Times New Roman" w:cs="Times New Roman"/>
          <w:sz w:val="24"/>
          <w:szCs w:val="24"/>
        </w:rPr>
        <w:t xml:space="preserve">where the Appeal judges stated that the heart of that appeal lies in the central question as to what constitutes a valid notice under </w:t>
      </w:r>
      <w:r>
        <w:rPr>
          <w:rFonts w:ascii="Times New Roman" w:hAnsi="Times New Roman" w:cs="Times New Roman"/>
          <w:b/>
          <w:sz w:val="24"/>
          <w:szCs w:val="24"/>
        </w:rPr>
        <w:t xml:space="preserve">section 69 of the Transfer Property Act. </w:t>
      </w:r>
      <w:r>
        <w:rPr>
          <w:rFonts w:ascii="Times New Roman" w:hAnsi="Times New Roman" w:cs="Times New Roman"/>
          <w:sz w:val="24"/>
          <w:szCs w:val="24"/>
        </w:rPr>
        <w:t xml:space="preserve">The question is whether there should be an express statutory </w:t>
      </w:r>
      <w:r>
        <w:rPr>
          <w:rFonts w:ascii="Times New Roman" w:hAnsi="Times New Roman" w:cs="Times New Roman"/>
          <w:sz w:val="24"/>
          <w:szCs w:val="24"/>
        </w:rPr>
        <w:lastRenderedPageBreak/>
        <w:t>requirement that a notice should refer to the three-month period is to consider what the object of a notice is.</w:t>
      </w:r>
    </w:p>
    <w:p w14:paraId="327029E9"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Justice </w:t>
      </w:r>
      <w:proofErr w:type="spellStart"/>
      <w:r>
        <w:rPr>
          <w:rFonts w:ascii="Times New Roman" w:hAnsi="Times New Roman" w:cs="Times New Roman"/>
          <w:sz w:val="24"/>
          <w:szCs w:val="24"/>
        </w:rPr>
        <w:t>Gikonyo</w:t>
      </w:r>
      <w:proofErr w:type="spellEnd"/>
      <w:r>
        <w:rPr>
          <w:rFonts w:ascii="Times New Roman" w:hAnsi="Times New Roman" w:cs="Times New Roman"/>
          <w:sz w:val="24"/>
          <w:szCs w:val="24"/>
        </w:rPr>
        <w:t xml:space="preserve"> proceeded to state that, “as I have already noted the facts of this case are such that the plaintiffs were given sufficient Notice to rectify the default.</w:t>
      </w:r>
    </w:p>
    <w:p w14:paraId="1404964E"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Justice </w:t>
      </w:r>
      <w:proofErr w:type="spellStart"/>
      <w:r>
        <w:rPr>
          <w:rFonts w:ascii="Times New Roman" w:hAnsi="Times New Roman" w:cs="Times New Roman"/>
          <w:sz w:val="24"/>
          <w:szCs w:val="24"/>
        </w:rPr>
        <w:t>Gikonyo</w:t>
      </w:r>
      <w:proofErr w:type="spellEnd"/>
      <w:r>
        <w:rPr>
          <w:rFonts w:ascii="Times New Roman" w:hAnsi="Times New Roman" w:cs="Times New Roman"/>
          <w:sz w:val="24"/>
          <w:szCs w:val="24"/>
        </w:rPr>
        <w:t xml:space="preserve"> granted an injunction to restrain the sale of the suit property as long as a proper Notice to sell the property and Notification of sale under section 96(2) of the Land Act and Rule 15(</w:t>
      </w:r>
      <w:proofErr w:type="gramStart"/>
      <w:r>
        <w:rPr>
          <w:rFonts w:ascii="Times New Roman" w:hAnsi="Times New Roman" w:cs="Times New Roman"/>
          <w:sz w:val="24"/>
          <w:szCs w:val="24"/>
        </w:rPr>
        <w:t>c )</w:t>
      </w:r>
      <w:proofErr w:type="gramEnd"/>
      <w:r>
        <w:rPr>
          <w:rFonts w:ascii="Times New Roman" w:hAnsi="Times New Roman" w:cs="Times New Roman"/>
          <w:sz w:val="24"/>
          <w:szCs w:val="24"/>
        </w:rPr>
        <w:t xml:space="preserve"> of the Auctioneers Rules have not been issued, respectively. The </w:t>
      </w:r>
      <w:proofErr w:type="spellStart"/>
      <w:r>
        <w:rPr>
          <w:rFonts w:ascii="Times New Roman" w:hAnsi="Times New Roman" w:cs="Times New Roman"/>
          <w:sz w:val="24"/>
          <w:szCs w:val="24"/>
        </w:rPr>
        <w:t>chargee</w:t>
      </w:r>
      <w:proofErr w:type="spellEnd"/>
      <w:r>
        <w:rPr>
          <w:rFonts w:ascii="Times New Roman" w:hAnsi="Times New Roman" w:cs="Times New Roman"/>
          <w:sz w:val="24"/>
          <w:szCs w:val="24"/>
        </w:rPr>
        <w:t xml:space="preserve"> is at liberty to issue a notice to sell under section 96(2) of the Land Act and thereafter have the property sold in accordance with the Auctioneers Act and Rules. The statutory notice is proper for all purposes and it need not be re-issued.</w:t>
      </w:r>
    </w:p>
    <w:p w14:paraId="0F06ECD4" w14:textId="77777777" w:rsidR="00CF536E" w:rsidRDefault="00CF536E" w:rsidP="00CF536E">
      <w:pPr>
        <w:jc w:val="both"/>
        <w:rPr>
          <w:rFonts w:ascii="Times New Roman" w:hAnsi="Times New Roman" w:cs="Times New Roman"/>
          <w:sz w:val="24"/>
          <w:szCs w:val="24"/>
        </w:rPr>
      </w:pPr>
    </w:p>
    <w:p w14:paraId="17B8473A" w14:textId="77777777" w:rsidR="00CF536E" w:rsidRDefault="00CF536E" w:rsidP="00CF536E">
      <w:pPr>
        <w:jc w:val="both"/>
        <w:rPr>
          <w:rFonts w:ascii="Times New Roman" w:hAnsi="Times New Roman" w:cs="Times New Roman"/>
          <w:b/>
          <w:sz w:val="24"/>
          <w:szCs w:val="24"/>
        </w:rPr>
      </w:pPr>
      <w:r>
        <w:rPr>
          <w:rFonts w:ascii="Times New Roman" w:hAnsi="Times New Roman" w:cs="Times New Roman"/>
          <w:b/>
          <w:sz w:val="24"/>
          <w:szCs w:val="24"/>
        </w:rPr>
        <w:t>STELLA MOKEIRA MATARA VS THADDUES MOSE MANGENYA &amp; ANOTHER (2016) EKLR</w:t>
      </w:r>
    </w:p>
    <w:p w14:paraId="1391371E" w14:textId="77777777" w:rsidR="00CF536E" w:rsidRDefault="00CF536E" w:rsidP="00CF536E">
      <w:pPr>
        <w:jc w:val="both"/>
        <w:rPr>
          <w:rFonts w:ascii="Times New Roman" w:hAnsi="Times New Roman" w:cs="Times New Roman"/>
          <w:b/>
          <w:sz w:val="24"/>
          <w:szCs w:val="24"/>
        </w:rPr>
      </w:pPr>
      <w:r>
        <w:rPr>
          <w:rFonts w:ascii="Times New Roman" w:hAnsi="Times New Roman" w:cs="Times New Roman"/>
          <w:b/>
          <w:sz w:val="24"/>
          <w:szCs w:val="24"/>
        </w:rPr>
        <w:t>Court of Appeal</w:t>
      </w:r>
    </w:p>
    <w:p w14:paraId="44FC3278"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Matters of Determination</w:t>
      </w:r>
    </w:p>
    <w:p w14:paraId="1A2904C1"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 xml:space="preserve">Whether the provisions of </w:t>
      </w:r>
      <w:r>
        <w:rPr>
          <w:rFonts w:ascii="Times New Roman" w:hAnsi="Times New Roman" w:cs="Times New Roman"/>
          <w:b/>
          <w:sz w:val="24"/>
          <w:szCs w:val="24"/>
        </w:rPr>
        <w:t xml:space="preserve">sections 78(1) and 79(3) of the Land Registration Act </w:t>
      </w:r>
      <w:r>
        <w:rPr>
          <w:rFonts w:ascii="Times New Roman" w:hAnsi="Times New Roman" w:cs="Times New Roman"/>
          <w:sz w:val="24"/>
          <w:szCs w:val="24"/>
        </w:rPr>
        <w:t xml:space="preserve">are applicable in respect of charges that were drawn and registered prior to the enactment of the said Acts. </w:t>
      </w:r>
      <w:r>
        <w:rPr>
          <w:rFonts w:ascii="Times New Roman" w:hAnsi="Times New Roman" w:cs="Times New Roman"/>
          <w:b/>
          <w:sz w:val="24"/>
          <w:szCs w:val="24"/>
        </w:rPr>
        <w:t xml:space="preserve">Section 79(3) of the Land Act </w:t>
      </w:r>
      <w:r>
        <w:rPr>
          <w:rFonts w:ascii="Times New Roman" w:hAnsi="Times New Roman" w:cs="Times New Roman"/>
          <w:sz w:val="24"/>
          <w:szCs w:val="24"/>
        </w:rPr>
        <w:t xml:space="preserve">provides that a charge over matrimonial home shall only be valid if executed by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and any spouse of the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living in that home, or if such charge is consented to by such spouse or </w:t>
      </w:r>
      <w:proofErr w:type="spellStart"/>
      <w:r>
        <w:rPr>
          <w:rFonts w:ascii="Times New Roman" w:hAnsi="Times New Roman" w:cs="Times New Roman"/>
          <w:sz w:val="24"/>
          <w:szCs w:val="24"/>
        </w:rPr>
        <w:t>chargor</w:t>
      </w:r>
      <w:proofErr w:type="spellEnd"/>
      <w:r>
        <w:rPr>
          <w:rFonts w:ascii="Times New Roman" w:hAnsi="Times New Roman" w:cs="Times New Roman"/>
          <w:sz w:val="24"/>
          <w:szCs w:val="24"/>
        </w:rPr>
        <w:t xml:space="preserve">. </w:t>
      </w:r>
      <w:r>
        <w:rPr>
          <w:rFonts w:ascii="Times New Roman" w:hAnsi="Times New Roman" w:cs="Times New Roman"/>
          <w:b/>
          <w:sz w:val="24"/>
          <w:szCs w:val="24"/>
        </w:rPr>
        <w:t>Section 28(</w:t>
      </w:r>
      <w:proofErr w:type="gramStart"/>
      <w:r>
        <w:rPr>
          <w:rFonts w:ascii="Times New Roman" w:hAnsi="Times New Roman" w:cs="Times New Roman"/>
          <w:b/>
          <w:sz w:val="24"/>
          <w:szCs w:val="24"/>
        </w:rPr>
        <w:t>a )</w:t>
      </w:r>
      <w:proofErr w:type="gramEnd"/>
      <w:r>
        <w:rPr>
          <w:rFonts w:ascii="Times New Roman" w:hAnsi="Times New Roman" w:cs="Times New Roman"/>
          <w:b/>
          <w:sz w:val="24"/>
          <w:szCs w:val="24"/>
        </w:rPr>
        <w:t xml:space="preserve"> of the Land Registration Act </w:t>
      </w:r>
      <w:r>
        <w:rPr>
          <w:rFonts w:ascii="Times New Roman" w:hAnsi="Times New Roman" w:cs="Times New Roman"/>
          <w:sz w:val="24"/>
          <w:szCs w:val="24"/>
        </w:rPr>
        <w:t>provides that all rights over matrimonial property.</w:t>
      </w:r>
    </w:p>
    <w:p w14:paraId="32A82DD1" w14:textId="77777777" w:rsidR="00CF536E" w:rsidRPr="00A26FC9" w:rsidRDefault="00CF536E" w:rsidP="00CF536E">
      <w:pPr>
        <w:jc w:val="both"/>
        <w:rPr>
          <w:rFonts w:ascii="Times New Roman" w:hAnsi="Times New Roman" w:cs="Times New Roman"/>
          <w:sz w:val="24"/>
          <w:szCs w:val="24"/>
        </w:rPr>
      </w:pPr>
      <w:r w:rsidRPr="00A26FC9">
        <w:rPr>
          <w:rFonts w:ascii="Times New Roman" w:hAnsi="Times New Roman" w:cs="Times New Roman"/>
          <w:sz w:val="24"/>
          <w:szCs w:val="24"/>
          <w:shd w:val="clear" w:color="auto" w:fill="FFFFFF"/>
        </w:rPr>
        <w:t xml:space="preserve">The appellant filed a suit before the Environment   and Land Court at </w:t>
      </w:r>
      <w:proofErr w:type="spellStart"/>
      <w:r w:rsidRPr="00A26FC9">
        <w:rPr>
          <w:rFonts w:ascii="Times New Roman" w:hAnsi="Times New Roman" w:cs="Times New Roman"/>
          <w:sz w:val="24"/>
          <w:szCs w:val="24"/>
          <w:shd w:val="clear" w:color="auto" w:fill="FFFFFF"/>
        </w:rPr>
        <w:t>Kisii</w:t>
      </w:r>
      <w:proofErr w:type="spellEnd"/>
      <w:r w:rsidRPr="00A26FC9">
        <w:rPr>
          <w:rFonts w:ascii="Times New Roman" w:hAnsi="Times New Roman" w:cs="Times New Roman"/>
          <w:sz w:val="24"/>
          <w:szCs w:val="24"/>
          <w:shd w:val="clear" w:color="auto" w:fill="FFFFFF"/>
        </w:rPr>
        <w:t xml:space="preserve"> seeking, </w:t>
      </w:r>
      <w:r w:rsidRPr="00A26FC9">
        <w:rPr>
          <w:rStyle w:val="Emphasis"/>
          <w:rFonts w:ascii="Times New Roman" w:hAnsi="Times New Roman" w:cs="Times New Roman"/>
          <w:b/>
          <w:bCs/>
          <w:sz w:val="24"/>
          <w:szCs w:val="24"/>
          <w:shd w:val="clear" w:color="auto" w:fill="FFFFFF"/>
        </w:rPr>
        <w:t>inter alia,</w:t>
      </w:r>
      <w:r w:rsidRPr="00A26FC9">
        <w:rPr>
          <w:rFonts w:ascii="Times New Roman" w:hAnsi="Times New Roman" w:cs="Times New Roman"/>
          <w:sz w:val="24"/>
          <w:szCs w:val="24"/>
          <w:shd w:val="clear" w:color="auto" w:fill="FFFFFF"/>
        </w:rPr>
        <w:t> a permanent injunctio</w:t>
      </w:r>
      <w:r>
        <w:rPr>
          <w:rFonts w:ascii="Times New Roman" w:hAnsi="Times New Roman" w:cs="Times New Roman"/>
          <w:sz w:val="24"/>
          <w:szCs w:val="24"/>
          <w:shd w:val="clear" w:color="auto" w:fill="FFFFFF"/>
        </w:rPr>
        <w:t>n to restrain the respondents, </w:t>
      </w:r>
      <w:r w:rsidRPr="00A26FC9">
        <w:rPr>
          <w:rFonts w:ascii="Times New Roman" w:hAnsi="Times New Roman" w:cs="Times New Roman"/>
          <w:sz w:val="24"/>
          <w:szCs w:val="24"/>
          <w:shd w:val="clear" w:color="auto" w:fill="FFFFFF"/>
        </w:rPr>
        <w:t>their servants and/or employees from transferring or in any way interfering with her quiet possession of properties known as </w:t>
      </w:r>
      <w:proofErr w:type="spellStart"/>
      <w:r w:rsidRPr="00A26FC9">
        <w:rPr>
          <w:rStyle w:val="Emphasis"/>
          <w:rFonts w:ascii="Times New Roman" w:hAnsi="Times New Roman" w:cs="Times New Roman"/>
          <w:sz w:val="24"/>
          <w:szCs w:val="24"/>
          <w:shd w:val="clear" w:color="auto" w:fill="FFFFFF"/>
        </w:rPr>
        <w:t>Wanjare</w:t>
      </w:r>
      <w:proofErr w:type="spellEnd"/>
      <w:r w:rsidRPr="00A26FC9">
        <w:rPr>
          <w:rStyle w:val="Emphasis"/>
          <w:rFonts w:ascii="Times New Roman" w:hAnsi="Times New Roman" w:cs="Times New Roman"/>
          <w:sz w:val="24"/>
          <w:szCs w:val="24"/>
          <w:shd w:val="clear" w:color="auto" w:fill="FFFFFF"/>
        </w:rPr>
        <w:t>/</w:t>
      </w:r>
      <w:proofErr w:type="spellStart"/>
      <w:r w:rsidRPr="00A26FC9">
        <w:rPr>
          <w:rStyle w:val="Emphasis"/>
          <w:rFonts w:ascii="Times New Roman" w:hAnsi="Times New Roman" w:cs="Times New Roman"/>
          <w:sz w:val="24"/>
          <w:szCs w:val="24"/>
          <w:shd w:val="clear" w:color="auto" w:fill="FFFFFF"/>
        </w:rPr>
        <w:t>Bokiangumu</w:t>
      </w:r>
      <w:proofErr w:type="spellEnd"/>
      <w:r w:rsidRPr="00A26FC9">
        <w:rPr>
          <w:rStyle w:val="Emphasis"/>
          <w:rFonts w:ascii="Times New Roman" w:hAnsi="Times New Roman" w:cs="Times New Roman"/>
          <w:sz w:val="24"/>
          <w:szCs w:val="24"/>
          <w:shd w:val="clear" w:color="auto" w:fill="FFFFFF"/>
        </w:rPr>
        <w:t>/</w:t>
      </w:r>
      <w:proofErr w:type="gramStart"/>
      <w:r w:rsidRPr="00A26FC9">
        <w:rPr>
          <w:rStyle w:val="Emphasis"/>
          <w:rFonts w:ascii="Times New Roman" w:hAnsi="Times New Roman" w:cs="Times New Roman"/>
          <w:sz w:val="24"/>
          <w:szCs w:val="24"/>
          <w:shd w:val="clear" w:color="auto" w:fill="FFFFFF"/>
        </w:rPr>
        <w:t>2828</w:t>
      </w:r>
      <w:r w:rsidRPr="00A26FC9">
        <w:rPr>
          <w:rFonts w:ascii="Times New Roman" w:hAnsi="Times New Roman" w:cs="Times New Roman"/>
          <w:sz w:val="24"/>
          <w:szCs w:val="24"/>
          <w:shd w:val="clear" w:color="auto" w:fill="FFFFFF"/>
        </w:rPr>
        <w:t>  and</w:t>
      </w:r>
      <w:proofErr w:type="gramEnd"/>
      <w:r w:rsidRPr="00A26FC9">
        <w:rPr>
          <w:rFonts w:ascii="Times New Roman" w:hAnsi="Times New Roman" w:cs="Times New Roman"/>
          <w:sz w:val="24"/>
          <w:szCs w:val="24"/>
          <w:shd w:val="clear" w:color="auto" w:fill="FFFFFF"/>
        </w:rPr>
        <w:t> </w:t>
      </w:r>
      <w:proofErr w:type="spellStart"/>
      <w:r w:rsidRPr="00A26FC9">
        <w:rPr>
          <w:rStyle w:val="Emphasis"/>
          <w:rFonts w:ascii="Times New Roman" w:hAnsi="Times New Roman" w:cs="Times New Roman"/>
          <w:sz w:val="24"/>
          <w:szCs w:val="24"/>
          <w:shd w:val="clear" w:color="auto" w:fill="FFFFFF"/>
        </w:rPr>
        <w:t>Wanjare</w:t>
      </w:r>
      <w:proofErr w:type="spellEnd"/>
      <w:r w:rsidRPr="00A26FC9">
        <w:rPr>
          <w:rStyle w:val="Emphasis"/>
          <w:rFonts w:ascii="Times New Roman" w:hAnsi="Times New Roman" w:cs="Times New Roman"/>
          <w:sz w:val="24"/>
          <w:szCs w:val="24"/>
          <w:shd w:val="clear" w:color="auto" w:fill="FFFFFF"/>
        </w:rPr>
        <w:t>/</w:t>
      </w:r>
      <w:proofErr w:type="spellStart"/>
      <w:r w:rsidRPr="00A26FC9">
        <w:rPr>
          <w:rStyle w:val="Emphasis"/>
          <w:rFonts w:ascii="Times New Roman" w:hAnsi="Times New Roman" w:cs="Times New Roman"/>
          <w:sz w:val="24"/>
          <w:szCs w:val="24"/>
          <w:shd w:val="clear" w:color="auto" w:fill="FFFFFF"/>
        </w:rPr>
        <w:t>Bokiangumu</w:t>
      </w:r>
      <w:proofErr w:type="spellEnd"/>
      <w:r w:rsidRPr="00A26FC9">
        <w:rPr>
          <w:rStyle w:val="Emphasis"/>
          <w:rFonts w:ascii="Times New Roman" w:hAnsi="Times New Roman" w:cs="Times New Roman"/>
          <w:sz w:val="24"/>
          <w:szCs w:val="24"/>
          <w:shd w:val="clear" w:color="auto" w:fill="FFFFFF"/>
        </w:rPr>
        <w:t>/2826 </w:t>
      </w:r>
      <w:r w:rsidRPr="00A26FC9">
        <w:rPr>
          <w:rStyle w:val="Strong"/>
          <w:rFonts w:ascii="Times New Roman" w:hAnsi="Times New Roman" w:cs="Times New Roman"/>
          <w:sz w:val="24"/>
          <w:szCs w:val="24"/>
          <w:shd w:val="clear" w:color="auto" w:fill="FFFFFF"/>
        </w:rPr>
        <w:t>(“the suit  properties.” )</w:t>
      </w:r>
    </w:p>
    <w:p w14:paraId="78F26C43" w14:textId="77777777" w:rsidR="00CF536E" w:rsidRDefault="00CF536E" w:rsidP="00CF536E">
      <w:pPr>
        <w:jc w:val="both"/>
        <w:rPr>
          <w:rStyle w:val="Emphasis"/>
          <w:rFonts w:ascii="Times New Roman" w:hAnsi="Times New Roman" w:cs="Times New Roman"/>
          <w:sz w:val="24"/>
          <w:szCs w:val="24"/>
          <w:shd w:val="clear" w:color="auto" w:fill="FFFFFF"/>
        </w:rPr>
      </w:pPr>
      <w:r w:rsidRPr="00A26FC9">
        <w:rPr>
          <w:rFonts w:ascii="Times New Roman" w:hAnsi="Times New Roman" w:cs="Times New Roman"/>
          <w:sz w:val="24"/>
          <w:szCs w:val="24"/>
          <w:shd w:val="clear" w:color="auto" w:fill="FFFFFF"/>
        </w:rPr>
        <w:t>The suit was brought on the grounds that the  appellant is the wife of the 1</w:t>
      </w:r>
      <w:r w:rsidRPr="00A26FC9">
        <w:rPr>
          <w:rFonts w:ascii="Times New Roman" w:hAnsi="Times New Roman" w:cs="Times New Roman"/>
          <w:sz w:val="24"/>
          <w:szCs w:val="24"/>
          <w:shd w:val="clear" w:color="auto" w:fill="FFFFFF"/>
          <w:vertAlign w:val="superscript"/>
        </w:rPr>
        <w:t>st</w:t>
      </w:r>
      <w:r w:rsidRPr="00A26FC9">
        <w:rPr>
          <w:rFonts w:ascii="Times New Roman" w:hAnsi="Times New Roman" w:cs="Times New Roman"/>
          <w:sz w:val="24"/>
          <w:szCs w:val="24"/>
          <w:shd w:val="clear" w:color="auto" w:fill="FFFFFF"/>
        </w:rPr>
        <w:t> respondent, who is the registered proprietor of the suit properties, that  her matrimonial home is situated on the suit    properties, and that without her consent and    contrary to the provisions of </w:t>
      </w:r>
      <w:r w:rsidRPr="00A26FC9">
        <w:rPr>
          <w:rStyle w:val="Strong"/>
          <w:rFonts w:ascii="Times New Roman" w:hAnsi="Times New Roman" w:cs="Times New Roman"/>
          <w:sz w:val="24"/>
          <w:szCs w:val="24"/>
          <w:shd w:val="clear" w:color="auto" w:fill="FFFFFF"/>
        </w:rPr>
        <w:t>section 28 (a) </w:t>
      </w:r>
      <w:r w:rsidRPr="00A26FC9">
        <w:rPr>
          <w:rFonts w:ascii="Times New Roman" w:hAnsi="Times New Roman" w:cs="Times New Roman"/>
          <w:sz w:val="24"/>
          <w:szCs w:val="24"/>
          <w:shd w:val="clear" w:color="auto" w:fill="FFFFFF"/>
        </w:rPr>
        <w:t>of the</w:t>
      </w:r>
      <w:r w:rsidRPr="00A26FC9">
        <w:rPr>
          <w:rStyle w:val="Strong"/>
          <w:rFonts w:ascii="Times New Roman" w:hAnsi="Times New Roman" w:cs="Times New Roman"/>
          <w:sz w:val="24"/>
          <w:szCs w:val="24"/>
          <w:shd w:val="clear" w:color="auto" w:fill="FFFFFF"/>
        </w:rPr>
        <w:t>   Land Registration Act, 2012 </w:t>
      </w:r>
      <w:r w:rsidRPr="00A26FC9">
        <w:rPr>
          <w:rFonts w:ascii="Times New Roman" w:hAnsi="Times New Roman" w:cs="Times New Roman"/>
          <w:sz w:val="24"/>
          <w:szCs w:val="24"/>
          <w:shd w:val="clear" w:color="auto" w:fill="FFFFFF"/>
        </w:rPr>
        <w:t>and</w:t>
      </w:r>
      <w:r w:rsidRPr="00A26FC9">
        <w:rPr>
          <w:rStyle w:val="Strong"/>
          <w:rFonts w:ascii="Times New Roman" w:hAnsi="Times New Roman" w:cs="Times New Roman"/>
          <w:sz w:val="24"/>
          <w:szCs w:val="24"/>
          <w:shd w:val="clear" w:color="auto" w:fill="FFFFFF"/>
        </w:rPr>
        <w:t> section 78 </w:t>
      </w:r>
      <w:r w:rsidRPr="00A26FC9">
        <w:rPr>
          <w:rFonts w:ascii="Times New Roman" w:hAnsi="Times New Roman" w:cs="Times New Roman"/>
          <w:sz w:val="24"/>
          <w:szCs w:val="24"/>
          <w:shd w:val="clear" w:color="auto" w:fill="FFFFFF"/>
        </w:rPr>
        <w:t>of  the</w:t>
      </w:r>
      <w:r w:rsidRPr="00A26FC9">
        <w:rPr>
          <w:rStyle w:val="Strong"/>
          <w:rFonts w:ascii="Times New Roman" w:hAnsi="Times New Roman" w:cs="Times New Roman"/>
          <w:sz w:val="24"/>
          <w:szCs w:val="24"/>
          <w:shd w:val="clear" w:color="auto" w:fill="FFFFFF"/>
        </w:rPr>
        <w:t> Land Act</w:t>
      </w:r>
      <w:r w:rsidRPr="00A26FC9">
        <w:rPr>
          <w:rFonts w:ascii="Times New Roman" w:hAnsi="Times New Roman" w:cs="Times New Roman"/>
          <w:sz w:val="24"/>
          <w:szCs w:val="24"/>
          <w:shd w:val="clear" w:color="auto" w:fill="FFFFFF"/>
        </w:rPr>
        <w:t> the 1</w:t>
      </w:r>
      <w:r w:rsidRPr="00A26FC9">
        <w:rPr>
          <w:rFonts w:ascii="Times New Roman" w:hAnsi="Times New Roman" w:cs="Times New Roman"/>
          <w:sz w:val="24"/>
          <w:szCs w:val="24"/>
          <w:shd w:val="clear" w:color="auto" w:fill="FFFFFF"/>
          <w:vertAlign w:val="superscript"/>
        </w:rPr>
        <w:t>st</w:t>
      </w:r>
      <w:r w:rsidRPr="00A26FC9">
        <w:rPr>
          <w:rFonts w:ascii="Times New Roman" w:hAnsi="Times New Roman" w:cs="Times New Roman"/>
          <w:sz w:val="24"/>
          <w:szCs w:val="24"/>
          <w:shd w:val="clear" w:color="auto" w:fill="FFFFFF"/>
        </w:rPr>
        <w:t> respondent </w:t>
      </w:r>
      <w:r w:rsidRPr="00A26FC9">
        <w:rPr>
          <w:rStyle w:val="Emphasis"/>
          <w:rFonts w:ascii="Times New Roman" w:hAnsi="Times New Roman" w:cs="Times New Roman"/>
          <w:sz w:val="24"/>
          <w:szCs w:val="24"/>
          <w:shd w:val="clear" w:color="auto" w:fill="FFFFFF"/>
        </w:rPr>
        <w:t>(her husband)</w:t>
      </w:r>
      <w:r w:rsidRPr="00A26FC9">
        <w:rPr>
          <w:rFonts w:ascii="Times New Roman" w:hAnsi="Times New Roman" w:cs="Times New Roman"/>
          <w:sz w:val="24"/>
          <w:szCs w:val="24"/>
          <w:shd w:val="clear" w:color="auto" w:fill="FFFFFF"/>
        </w:rPr>
        <w:t>    charged the two properties to secure a loan facility    that was advanced by the 2</w:t>
      </w:r>
      <w:r w:rsidRPr="00A26FC9">
        <w:rPr>
          <w:rFonts w:ascii="Times New Roman" w:hAnsi="Times New Roman" w:cs="Times New Roman"/>
          <w:sz w:val="24"/>
          <w:szCs w:val="24"/>
          <w:shd w:val="clear" w:color="auto" w:fill="FFFFFF"/>
          <w:vertAlign w:val="superscript"/>
        </w:rPr>
        <w:t>nd</w:t>
      </w:r>
      <w:r w:rsidRPr="00A26FC9">
        <w:rPr>
          <w:rFonts w:ascii="Times New Roman" w:hAnsi="Times New Roman" w:cs="Times New Roman"/>
          <w:sz w:val="24"/>
          <w:szCs w:val="24"/>
          <w:shd w:val="clear" w:color="auto" w:fill="FFFFFF"/>
        </w:rPr>
        <w:t> respondent to one  </w:t>
      </w:r>
      <w:r w:rsidRPr="00A26FC9">
        <w:rPr>
          <w:rStyle w:val="Strong"/>
          <w:rFonts w:ascii="Times New Roman" w:hAnsi="Times New Roman" w:cs="Times New Roman"/>
          <w:sz w:val="24"/>
          <w:szCs w:val="24"/>
          <w:shd w:val="clear" w:color="auto" w:fill="FFFFFF"/>
        </w:rPr>
        <w:t xml:space="preserve">Ibrahim </w:t>
      </w:r>
      <w:proofErr w:type="spellStart"/>
      <w:r w:rsidRPr="00A26FC9">
        <w:rPr>
          <w:rStyle w:val="Strong"/>
          <w:rFonts w:ascii="Times New Roman" w:hAnsi="Times New Roman" w:cs="Times New Roman"/>
          <w:sz w:val="24"/>
          <w:szCs w:val="24"/>
          <w:shd w:val="clear" w:color="auto" w:fill="FFFFFF"/>
        </w:rPr>
        <w:t>Manoti</w:t>
      </w:r>
      <w:proofErr w:type="spellEnd"/>
      <w:r w:rsidRPr="00A26FC9">
        <w:rPr>
          <w:rStyle w:val="Strong"/>
          <w:rFonts w:ascii="Times New Roman" w:hAnsi="Times New Roman" w:cs="Times New Roman"/>
          <w:sz w:val="24"/>
          <w:szCs w:val="24"/>
          <w:shd w:val="clear" w:color="auto" w:fill="FFFFFF"/>
        </w:rPr>
        <w:t xml:space="preserve"> </w:t>
      </w:r>
      <w:proofErr w:type="spellStart"/>
      <w:r w:rsidRPr="00A26FC9">
        <w:rPr>
          <w:rStyle w:val="Strong"/>
          <w:rFonts w:ascii="Times New Roman" w:hAnsi="Times New Roman" w:cs="Times New Roman"/>
          <w:sz w:val="24"/>
          <w:szCs w:val="24"/>
          <w:shd w:val="clear" w:color="auto" w:fill="FFFFFF"/>
        </w:rPr>
        <w:t>Michira</w:t>
      </w:r>
      <w:proofErr w:type="spellEnd"/>
      <w:r w:rsidRPr="00A26FC9">
        <w:rPr>
          <w:rStyle w:val="Strong"/>
          <w:rFonts w:ascii="Times New Roman" w:hAnsi="Times New Roman" w:cs="Times New Roman"/>
          <w:sz w:val="24"/>
          <w:szCs w:val="24"/>
          <w:shd w:val="clear" w:color="auto" w:fill="FFFFFF"/>
        </w:rPr>
        <w:t> </w:t>
      </w:r>
      <w:r w:rsidRPr="00A26FC9">
        <w:rPr>
          <w:rStyle w:val="Emphasis"/>
          <w:rFonts w:ascii="Times New Roman" w:hAnsi="Times New Roman" w:cs="Times New Roman"/>
          <w:sz w:val="24"/>
          <w:szCs w:val="24"/>
          <w:shd w:val="clear" w:color="auto" w:fill="FFFFFF"/>
        </w:rPr>
        <w:t>(“the borrower”).</w:t>
      </w:r>
    </w:p>
    <w:p w14:paraId="07302F2B" w14:textId="77777777" w:rsidR="00CF536E" w:rsidRDefault="00CF536E" w:rsidP="00CF536E">
      <w:pPr>
        <w:jc w:val="both"/>
        <w:rPr>
          <w:rFonts w:ascii="Arial" w:hAnsi="Arial" w:cs="Arial"/>
          <w:color w:val="5A5A5A"/>
          <w:sz w:val="18"/>
          <w:szCs w:val="18"/>
          <w:shd w:val="clear" w:color="auto" w:fill="FFFFFF"/>
        </w:rPr>
      </w:pPr>
      <w:r w:rsidRPr="00A26FC9">
        <w:rPr>
          <w:rFonts w:ascii="Times New Roman" w:hAnsi="Times New Roman" w:cs="Times New Roman"/>
          <w:sz w:val="24"/>
          <w:szCs w:val="24"/>
          <w:shd w:val="clear" w:color="auto" w:fill="FFFFFF"/>
        </w:rPr>
        <w:t>Together with the plaint, the appellant filed an application se</w:t>
      </w:r>
      <w:r>
        <w:rPr>
          <w:rFonts w:ascii="Times New Roman" w:hAnsi="Times New Roman" w:cs="Times New Roman"/>
          <w:sz w:val="24"/>
          <w:szCs w:val="24"/>
          <w:shd w:val="clear" w:color="auto" w:fill="FFFFFF"/>
        </w:rPr>
        <w:t>eking a temporary injunction to</w:t>
      </w:r>
      <w:r w:rsidRPr="00A26FC9">
        <w:rPr>
          <w:rFonts w:ascii="Times New Roman" w:hAnsi="Times New Roman" w:cs="Times New Roman"/>
          <w:sz w:val="24"/>
          <w:szCs w:val="24"/>
          <w:shd w:val="clear" w:color="auto" w:fill="FFFFFF"/>
        </w:rPr>
        <w:t xml:space="preserve"> restrain the re</w:t>
      </w:r>
      <w:r>
        <w:rPr>
          <w:rFonts w:ascii="Times New Roman" w:hAnsi="Times New Roman" w:cs="Times New Roman"/>
          <w:sz w:val="24"/>
          <w:szCs w:val="24"/>
          <w:shd w:val="clear" w:color="auto" w:fill="FFFFFF"/>
        </w:rPr>
        <w:t>spondents from selling the suit</w:t>
      </w:r>
      <w:r w:rsidRPr="00A26FC9">
        <w:rPr>
          <w:rFonts w:ascii="Times New Roman" w:hAnsi="Times New Roman" w:cs="Times New Roman"/>
          <w:sz w:val="24"/>
          <w:szCs w:val="24"/>
          <w:shd w:val="clear" w:color="auto" w:fill="FFFFFF"/>
        </w:rPr>
        <w:t xml:space="preserve"> properties or interfer</w:t>
      </w:r>
      <w:r>
        <w:rPr>
          <w:rFonts w:ascii="Times New Roman" w:hAnsi="Times New Roman" w:cs="Times New Roman"/>
          <w:sz w:val="24"/>
          <w:szCs w:val="24"/>
          <w:shd w:val="clear" w:color="auto" w:fill="FFFFFF"/>
        </w:rPr>
        <w:t xml:space="preserve">ing with her occupation of the </w:t>
      </w:r>
      <w:r w:rsidRPr="00A26FC9">
        <w:rPr>
          <w:rFonts w:ascii="Times New Roman" w:hAnsi="Times New Roman" w:cs="Times New Roman"/>
          <w:sz w:val="24"/>
          <w:szCs w:val="24"/>
          <w:shd w:val="clear" w:color="auto" w:fill="FFFFFF"/>
        </w:rPr>
        <w:t>same pending hearing and determination of the   suit. The applicatio</w:t>
      </w:r>
      <w:r>
        <w:rPr>
          <w:rFonts w:ascii="Times New Roman" w:hAnsi="Times New Roman" w:cs="Times New Roman"/>
          <w:sz w:val="24"/>
          <w:szCs w:val="24"/>
          <w:shd w:val="clear" w:color="auto" w:fill="FFFFFF"/>
        </w:rPr>
        <w:t>n was premised on more or less</w:t>
      </w:r>
      <w:r w:rsidRPr="00A26FC9">
        <w:rPr>
          <w:rFonts w:ascii="Times New Roman" w:hAnsi="Times New Roman" w:cs="Times New Roman"/>
          <w:sz w:val="24"/>
          <w:szCs w:val="24"/>
          <w:shd w:val="clear" w:color="auto" w:fill="FFFFFF"/>
        </w:rPr>
        <w:t> the same g</w:t>
      </w:r>
      <w:r>
        <w:rPr>
          <w:rFonts w:ascii="Times New Roman" w:hAnsi="Times New Roman" w:cs="Times New Roman"/>
          <w:sz w:val="24"/>
          <w:szCs w:val="24"/>
          <w:shd w:val="clear" w:color="auto" w:fill="FFFFFF"/>
        </w:rPr>
        <w:t>rounds upon which the suit was</w:t>
      </w:r>
      <w:r w:rsidRPr="00A26FC9">
        <w:rPr>
          <w:rFonts w:ascii="Times New Roman" w:hAnsi="Times New Roman" w:cs="Times New Roman"/>
          <w:sz w:val="24"/>
          <w:szCs w:val="24"/>
          <w:shd w:val="clear" w:color="auto" w:fill="FFFFFF"/>
        </w:rPr>
        <w:t xml:space="preserve"> premised</w:t>
      </w:r>
      <w:r>
        <w:rPr>
          <w:rFonts w:ascii="Arial" w:hAnsi="Arial" w:cs="Arial"/>
          <w:color w:val="5A5A5A"/>
          <w:sz w:val="18"/>
          <w:szCs w:val="18"/>
          <w:shd w:val="clear" w:color="auto" w:fill="FFFFFF"/>
        </w:rPr>
        <w:t>.</w:t>
      </w:r>
    </w:p>
    <w:p w14:paraId="5E8E3C97" w14:textId="77777777" w:rsidR="00CF536E" w:rsidRPr="004B7BDC" w:rsidRDefault="00CF536E" w:rsidP="00CF536E">
      <w:pPr>
        <w:shd w:val="clear" w:color="auto" w:fill="FFFFFF"/>
        <w:spacing w:before="100" w:beforeAutospacing="1" w:after="100" w:afterAutospacing="1" w:line="300" w:lineRule="atLeast"/>
        <w:jc w:val="both"/>
        <w:rPr>
          <w:rFonts w:ascii="Times New Roman" w:eastAsia="Times New Roman" w:hAnsi="Times New Roman" w:cs="Times New Roman"/>
          <w:sz w:val="24"/>
          <w:szCs w:val="24"/>
        </w:rPr>
      </w:pPr>
      <w:r w:rsidRPr="004B7BDC">
        <w:rPr>
          <w:rFonts w:ascii="Times New Roman" w:eastAsia="Times New Roman" w:hAnsi="Times New Roman" w:cs="Times New Roman"/>
          <w:sz w:val="24"/>
          <w:szCs w:val="24"/>
        </w:rPr>
        <w:t>In his consi</w:t>
      </w:r>
      <w:r>
        <w:rPr>
          <w:rFonts w:ascii="Times New Roman" w:eastAsia="Times New Roman" w:hAnsi="Times New Roman" w:cs="Times New Roman"/>
          <w:sz w:val="24"/>
          <w:szCs w:val="24"/>
        </w:rPr>
        <w:t xml:space="preserve">dered ruling, the learned judge </w:t>
      </w:r>
      <w:r w:rsidRPr="004B7BDC">
        <w:rPr>
          <w:rFonts w:ascii="Times New Roman" w:eastAsia="Times New Roman" w:hAnsi="Times New Roman" w:cs="Times New Roman"/>
          <w:sz w:val="24"/>
          <w:szCs w:val="24"/>
        </w:rPr>
        <w:t>summarized the issues for determination in the    application as follows:</w:t>
      </w:r>
    </w:p>
    <w:p w14:paraId="11B760FF" w14:textId="77777777" w:rsidR="00CF536E" w:rsidRPr="004B7BDC"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4B7BDC">
        <w:rPr>
          <w:rFonts w:ascii="Times New Roman" w:eastAsia="Times New Roman" w:hAnsi="Times New Roman" w:cs="Times New Roman"/>
          <w:bCs/>
          <w:sz w:val="24"/>
          <w:szCs w:val="24"/>
        </w:rPr>
        <w:t>“In order to establish a prima facie case, the plaintiff had a duty to prove that; she is the 1</w:t>
      </w:r>
      <w:r w:rsidRPr="004B7BDC">
        <w:rPr>
          <w:rFonts w:ascii="Times New Roman" w:eastAsia="Times New Roman" w:hAnsi="Times New Roman" w:cs="Times New Roman"/>
          <w:bCs/>
          <w:sz w:val="24"/>
          <w:szCs w:val="24"/>
          <w:vertAlign w:val="superscript"/>
        </w:rPr>
        <w:t>st</w:t>
      </w:r>
      <w:r w:rsidRPr="004B7BDC">
        <w:rPr>
          <w:rFonts w:ascii="Times New Roman" w:eastAsia="Times New Roman" w:hAnsi="Times New Roman" w:cs="Times New Roman"/>
          <w:bCs/>
          <w:sz w:val="24"/>
          <w:szCs w:val="24"/>
        </w:rPr>
        <w:t xml:space="preserve"> defendant’s spouse, she has her matrimonial home on the suit properties and that as </w:t>
      </w:r>
      <w:r w:rsidRPr="004B7BDC">
        <w:rPr>
          <w:rFonts w:ascii="Times New Roman" w:eastAsia="Times New Roman" w:hAnsi="Times New Roman" w:cs="Times New Roman"/>
          <w:bCs/>
          <w:sz w:val="24"/>
          <w:szCs w:val="24"/>
        </w:rPr>
        <w:lastRenderedPageBreak/>
        <w:t>at the date of execution of the charge in question, spousal consent was required as a matter of law before a charge could be created over a matrimonial home.”</w:t>
      </w:r>
    </w:p>
    <w:p w14:paraId="4310DEF1" w14:textId="77777777" w:rsidR="00CF536E" w:rsidRPr="004B7BDC" w:rsidRDefault="00CF536E" w:rsidP="00CF536E">
      <w:pPr>
        <w:shd w:val="clear" w:color="auto" w:fill="FFFFFF"/>
        <w:spacing w:after="150" w:line="324" w:lineRule="atLeast"/>
        <w:jc w:val="both"/>
        <w:rPr>
          <w:rFonts w:ascii="Times New Roman" w:eastAsia="Times New Roman" w:hAnsi="Times New Roman" w:cs="Times New Roman"/>
          <w:sz w:val="24"/>
          <w:szCs w:val="24"/>
        </w:rPr>
      </w:pPr>
      <w:r w:rsidRPr="004B7BDC">
        <w:rPr>
          <w:rFonts w:ascii="Times New Roman" w:eastAsia="Times New Roman" w:hAnsi="Times New Roman" w:cs="Times New Roman"/>
          <w:sz w:val="24"/>
          <w:szCs w:val="24"/>
        </w:rPr>
        <w:t>Dismissing the application for interlocutory    injunction, the learned judge found, </w:t>
      </w:r>
      <w:r w:rsidRPr="004B7BDC">
        <w:rPr>
          <w:rFonts w:ascii="Times New Roman" w:eastAsia="Times New Roman" w:hAnsi="Times New Roman" w:cs="Times New Roman"/>
          <w:b/>
          <w:bCs/>
          <w:i/>
          <w:iCs/>
          <w:sz w:val="24"/>
          <w:szCs w:val="24"/>
        </w:rPr>
        <w:t>inter alia;</w:t>
      </w:r>
      <w:r w:rsidRPr="004B7BDC">
        <w:rPr>
          <w:rFonts w:ascii="Times New Roman" w:eastAsia="Times New Roman" w:hAnsi="Times New Roman" w:cs="Times New Roman"/>
          <w:sz w:val="24"/>
          <w:szCs w:val="24"/>
        </w:rPr>
        <w:t> that:</w:t>
      </w:r>
    </w:p>
    <w:p w14:paraId="7945A840" w14:textId="77777777" w:rsidR="00CF536E" w:rsidRPr="004B7BDC" w:rsidRDefault="00CF536E" w:rsidP="00CF536E">
      <w:pPr>
        <w:numPr>
          <w:ilvl w:val="0"/>
          <w:numId w:val="9"/>
        </w:numPr>
        <w:shd w:val="clear" w:color="auto" w:fill="FFFFFF"/>
        <w:spacing w:before="100" w:beforeAutospacing="1" w:after="100" w:afterAutospacing="1" w:line="300" w:lineRule="atLeast"/>
        <w:ind w:left="375"/>
        <w:jc w:val="both"/>
        <w:rPr>
          <w:rFonts w:ascii="Times New Roman" w:eastAsia="Times New Roman" w:hAnsi="Times New Roman" w:cs="Times New Roman"/>
          <w:sz w:val="24"/>
          <w:szCs w:val="24"/>
        </w:rPr>
      </w:pPr>
      <w:r w:rsidRPr="004B7BDC">
        <w:rPr>
          <w:rFonts w:ascii="Times New Roman" w:eastAsia="Times New Roman" w:hAnsi="Times New Roman" w:cs="Times New Roman"/>
          <w:bCs/>
          <w:sz w:val="24"/>
          <w:szCs w:val="24"/>
        </w:rPr>
        <w:t>the appellant was the 1</w:t>
      </w:r>
      <w:r w:rsidRPr="004B7BDC">
        <w:rPr>
          <w:rFonts w:ascii="Times New Roman" w:eastAsia="Times New Roman" w:hAnsi="Times New Roman" w:cs="Times New Roman"/>
          <w:bCs/>
          <w:sz w:val="24"/>
          <w:szCs w:val="24"/>
          <w:vertAlign w:val="superscript"/>
        </w:rPr>
        <w:t>st</w:t>
      </w:r>
      <w:r w:rsidRPr="004B7BDC">
        <w:rPr>
          <w:rFonts w:ascii="Times New Roman" w:eastAsia="Times New Roman" w:hAnsi="Times New Roman" w:cs="Times New Roman"/>
          <w:bCs/>
          <w:sz w:val="24"/>
          <w:szCs w:val="24"/>
        </w:rPr>
        <w:t> respondent’s spouse,</w:t>
      </w:r>
    </w:p>
    <w:p w14:paraId="0054A440" w14:textId="77777777" w:rsidR="00CF536E" w:rsidRPr="004B7BDC" w:rsidRDefault="00CF536E" w:rsidP="00CF536E">
      <w:pPr>
        <w:numPr>
          <w:ilvl w:val="0"/>
          <w:numId w:val="10"/>
        </w:numPr>
        <w:shd w:val="clear" w:color="auto" w:fill="FFFFFF"/>
        <w:spacing w:before="100" w:beforeAutospacing="1" w:after="100" w:afterAutospacing="1" w:line="300" w:lineRule="atLeast"/>
        <w:ind w:left="375"/>
        <w:jc w:val="both"/>
        <w:rPr>
          <w:rFonts w:ascii="Times New Roman" w:eastAsia="Times New Roman" w:hAnsi="Times New Roman" w:cs="Times New Roman"/>
          <w:sz w:val="24"/>
          <w:szCs w:val="24"/>
        </w:rPr>
      </w:pPr>
      <w:r w:rsidRPr="004B7BDC">
        <w:rPr>
          <w:rFonts w:ascii="Times New Roman" w:eastAsia="Times New Roman" w:hAnsi="Times New Roman" w:cs="Times New Roman"/>
          <w:bCs/>
          <w:sz w:val="24"/>
          <w:szCs w:val="24"/>
        </w:rPr>
        <w:t>the appellant had not proved that her matrimonial home is situated on the suit properties,</w:t>
      </w:r>
    </w:p>
    <w:p w14:paraId="4A2DEE9C" w14:textId="77777777" w:rsidR="00CF536E" w:rsidRPr="004B7BDC"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4B7BDC">
        <w:rPr>
          <w:rFonts w:ascii="Times New Roman" w:eastAsia="Times New Roman" w:hAnsi="Times New Roman" w:cs="Times New Roman"/>
          <w:bCs/>
          <w:sz w:val="24"/>
          <w:szCs w:val="24"/>
        </w:rPr>
        <w:t>(iii)   the appellant had not proved that    under the law that was applicable    at the time the charge over th</w:t>
      </w:r>
      <w:r>
        <w:rPr>
          <w:rFonts w:ascii="Times New Roman" w:eastAsia="Times New Roman" w:hAnsi="Times New Roman" w:cs="Times New Roman"/>
          <w:bCs/>
          <w:sz w:val="24"/>
          <w:szCs w:val="24"/>
        </w:rPr>
        <w:t>e suit properties was executed </w:t>
      </w:r>
      <w:r w:rsidRPr="004B7BDC">
        <w:rPr>
          <w:rFonts w:ascii="Times New Roman" w:eastAsia="Times New Roman" w:hAnsi="Times New Roman" w:cs="Times New Roman"/>
          <w:bCs/>
          <w:sz w:val="24"/>
          <w:szCs w:val="24"/>
        </w:rPr>
        <w:t>spousal consent was required   prior to execution of the charge,</w:t>
      </w:r>
    </w:p>
    <w:p w14:paraId="5F27BBD3" w14:textId="77777777" w:rsidR="00CF536E" w:rsidRPr="004B7BDC"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4B7BDC">
        <w:rPr>
          <w:rFonts w:ascii="Times New Roman" w:eastAsia="Times New Roman" w:hAnsi="Times New Roman" w:cs="Times New Roman"/>
          <w:bCs/>
          <w:sz w:val="24"/>
          <w:szCs w:val="24"/>
        </w:rPr>
        <w:t xml:space="preserve">(iv)   although section 78 (1) of </w:t>
      </w:r>
      <w:proofErr w:type="gramStart"/>
      <w:r w:rsidRPr="004B7BDC">
        <w:rPr>
          <w:rFonts w:ascii="Times New Roman" w:eastAsia="Times New Roman" w:hAnsi="Times New Roman" w:cs="Times New Roman"/>
          <w:bCs/>
          <w:sz w:val="24"/>
          <w:szCs w:val="24"/>
        </w:rPr>
        <w:t>the  Land</w:t>
      </w:r>
      <w:proofErr w:type="gramEnd"/>
      <w:r w:rsidRPr="004B7BDC">
        <w:rPr>
          <w:rFonts w:ascii="Times New Roman" w:eastAsia="Times New Roman" w:hAnsi="Times New Roman" w:cs="Times New Roman"/>
          <w:bCs/>
          <w:sz w:val="24"/>
          <w:szCs w:val="24"/>
        </w:rPr>
        <w:t xml:space="preserve"> Registration Act, 2012 extends the general provision of    tha</w:t>
      </w:r>
      <w:r>
        <w:rPr>
          <w:rFonts w:ascii="Times New Roman" w:eastAsia="Times New Roman" w:hAnsi="Times New Roman" w:cs="Times New Roman"/>
          <w:bCs/>
          <w:sz w:val="24"/>
          <w:szCs w:val="24"/>
        </w:rPr>
        <w:t>t Act relating to charges which</w:t>
      </w:r>
      <w:r w:rsidRPr="004B7BDC">
        <w:rPr>
          <w:rFonts w:ascii="Times New Roman" w:eastAsia="Times New Roman" w:hAnsi="Times New Roman" w:cs="Times New Roman"/>
          <w:bCs/>
          <w:sz w:val="24"/>
          <w:szCs w:val="24"/>
        </w:rPr>
        <w:t xml:space="preserve"> includes the requirement of spousal consent to the charges that were created before the commencement of that Act, the   application of the provisions of the Land Act, 2012 to charges   executed prior to the coming into   effect of that Act would not   extend to formal requirements of     the content of such charges,</w:t>
      </w:r>
    </w:p>
    <w:p w14:paraId="125D7E1F" w14:textId="77777777" w:rsidR="00CF536E" w:rsidRPr="004B7BDC"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4B7BDC">
        <w:rPr>
          <w:rFonts w:ascii="Times New Roman" w:eastAsia="Times New Roman" w:hAnsi="Times New Roman" w:cs="Times New Roman"/>
          <w:bCs/>
          <w:sz w:val="24"/>
          <w:szCs w:val="24"/>
        </w:rPr>
        <w:t xml:space="preserve">(v)    </w:t>
      </w:r>
      <w:r>
        <w:rPr>
          <w:rFonts w:ascii="Times New Roman" w:eastAsia="Times New Roman" w:hAnsi="Times New Roman" w:cs="Times New Roman"/>
          <w:bCs/>
          <w:sz w:val="24"/>
          <w:szCs w:val="24"/>
        </w:rPr>
        <w:t>section 79 (3) of the Land Act, 2012 does not apply to charges</w:t>
      </w:r>
      <w:r w:rsidRPr="004B7BDC">
        <w:rPr>
          <w:rFonts w:ascii="Times New Roman" w:eastAsia="Times New Roman" w:hAnsi="Times New Roman" w:cs="Times New Roman"/>
          <w:bCs/>
          <w:sz w:val="24"/>
          <w:szCs w:val="24"/>
        </w:rPr>
        <w:t xml:space="preserve"> created prior to the         commencement of the Act,</w:t>
      </w:r>
    </w:p>
    <w:p w14:paraId="27BC3764" w14:textId="77777777" w:rsidR="00CF536E"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4B7BDC">
        <w:rPr>
          <w:rFonts w:ascii="Times New Roman" w:eastAsia="Times New Roman" w:hAnsi="Times New Roman" w:cs="Times New Roman"/>
          <w:bCs/>
          <w:sz w:val="24"/>
          <w:szCs w:val="24"/>
        </w:rPr>
        <w:t xml:space="preserve">(vi)   </w:t>
      </w:r>
      <w:r>
        <w:rPr>
          <w:rFonts w:ascii="Times New Roman" w:eastAsia="Times New Roman" w:hAnsi="Times New Roman" w:cs="Times New Roman"/>
          <w:bCs/>
          <w:sz w:val="24"/>
          <w:szCs w:val="24"/>
        </w:rPr>
        <w:t>the appellant had no right to </w:t>
      </w:r>
      <w:r w:rsidRPr="004B7BDC">
        <w:rPr>
          <w:rFonts w:ascii="Times New Roman" w:eastAsia="Times New Roman" w:hAnsi="Times New Roman" w:cs="Times New Roman"/>
          <w:bCs/>
          <w:sz w:val="24"/>
          <w:szCs w:val="24"/>
        </w:rPr>
        <w:t>challenge the validity of the char</w:t>
      </w:r>
      <w:r>
        <w:rPr>
          <w:rFonts w:ascii="Times New Roman" w:eastAsia="Times New Roman" w:hAnsi="Times New Roman" w:cs="Times New Roman"/>
          <w:bCs/>
          <w:sz w:val="24"/>
          <w:szCs w:val="24"/>
        </w:rPr>
        <w:t>ge or the process through</w:t>
      </w:r>
      <w:r w:rsidRPr="004B7BDC">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which the suit properties were</w:t>
      </w:r>
      <w:r w:rsidRPr="004B7BDC">
        <w:rPr>
          <w:rFonts w:ascii="Times New Roman" w:eastAsia="Times New Roman" w:hAnsi="Times New Roman" w:cs="Times New Roman"/>
          <w:bCs/>
          <w:sz w:val="24"/>
          <w:szCs w:val="24"/>
        </w:rPr>
        <w:t xml:space="preserve"> put up for sale.</w:t>
      </w:r>
      <w:r w:rsidRPr="004B7BDC">
        <w:rPr>
          <w:rFonts w:ascii="Times New Roman" w:eastAsia="Times New Roman" w:hAnsi="Times New Roman" w:cs="Times New Roman"/>
          <w:sz w:val="24"/>
          <w:szCs w:val="24"/>
        </w:rPr>
        <w:t>     </w:t>
      </w:r>
    </w:p>
    <w:p w14:paraId="7AA5BFC8" w14:textId="77777777" w:rsidR="00CF536E" w:rsidRPr="004B7BDC"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p>
    <w:p w14:paraId="43BB4E4C" w14:textId="77777777" w:rsidR="00CF536E" w:rsidRDefault="00CF536E" w:rsidP="00CF536E">
      <w:pPr>
        <w:jc w:val="both"/>
        <w:rPr>
          <w:rFonts w:ascii="Times New Roman" w:hAnsi="Times New Roman" w:cs="Times New Roman"/>
          <w:sz w:val="24"/>
          <w:szCs w:val="24"/>
        </w:rPr>
      </w:pPr>
      <w:r>
        <w:rPr>
          <w:rFonts w:ascii="Times New Roman" w:hAnsi="Times New Roman" w:cs="Times New Roman"/>
          <w:sz w:val="24"/>
          <w:szCs w:val="24"/>
        </w:rPr>
        <w:t>Appeal</w:t>
      </w:r>
    </w:p>
    <w:p w14:paraId="03B79028" w14:textId="77777777" w:rsidR="00CF536E" w:rsidRPr="008447E1" w:rsidRDefault="00CF536E" w:rsidP="00CF536E">
      <w:pPr>
        <w:shd w:val="clear" w:color="auto" w:fill="FFFFFF"/>
        <w:spacing w:before="100" w:beforeAutospacing="1" w:after="100" w:afterAutospacing="1" w:line="300" w:lineRule="atLeast"/>
        <w:jc w:val="both"/>
        <w:rPr>
          <w:rFonts w:ascii="Times New Roman" w:eastAsia="Times New Roman" w:hAnsi="Times New Roman" w:cs="Times New Roman"/>
          <w:sz w:val="24"/>
          <w:szCs w:val="24"/>
        </w:rPr>
      </w:pPr>
      <w:r>
        <w:rPr>
          <w:rFonts w:ascii="Times New Roman" w:hAnsi="Times New Roman" w:cs="Times New Roman"/>
          <w:sz w:val="24"/>
          <w:szCs w:val="24"/>
          <w:shd w:val="clear" w:color="auto" w:fill="FFFFFF"/>
        </w:rPr>
        <w:t>The appeal</w:t>
      </w:r>
      <w:r w:rsidRPr="008447E1">
        <w:rPr>
          <w:rFonts w:ascii="Times New Roman" w:hAnsi="Times New Roman" w:cs="Times New Roman"/>
          <w:sz w:val="24"/>
          <w:szCs w:val="24"/>
          <w:shd w:val="clear" w:color="auto" w:fill="FFFFFF"/>
        </w:rPr>
        <w:t xml:space="preserve"> challenges almost all the learned judge’s findings as stated above, except the f</w:t>
      </w:r>
      <w:r>
        <w:rPr>
          <w:rFonts w:ascii="Times New Roman" w:hAnsi="Times New Roman" w:cs="Times New Roman"/>
          <w:sz w:val="24"/>
          <w:szCs w:val="24"/>
          <w:shd w:val="clear" w:color="auto" w:fill="FFFFFF"/>
        </w:rPr>
        <w:t xml:space="preserve">irst one, that the appellant </w:t>
      </w:r>
      <w:r w:rsidRPr="008447E1">
        <w:rPr>
          <w:rFonts w:ascii="Times New Roman" w:hAnsi="Times New Roman" w:cs="Times New Roman"/>
          <w:sz w:val="24"/>
          <w:szCs w:val="24"/>
          <w:shd w:val="clear" w:color="auto" w:fill="FFFFFF"/>
        </w:rPr>
        <w:t>was the 1</w:t>
      </w:r>
      <w:r w:rsidRPr="008447E1">
        <w:rPr>
          <w:rFonts w:ascii="Times New Roman" w:hAnsi="Times New Roman" w:cs="Times New Roman"/>
          <w:sz w:val="24"/>
          <w:szCs w:val="24"/>
          <w:shd w:val="clear" w:color="auto" w:fill="FFFFFF"/>
          <w:vertAlign w:val="superscript"/>
        </w:rPr>
        <w:t>st</w:t>
      </w:r>
      <w:r w:rsidRPr="008447E1">
        <w:rPr>
          <w:rFonts w:ascii="Times New Roman" w:hAnsi="Times New Roman" w:cs="Times New Roman"/>
          <w:sz w:val="24"/>
          <w:szCs w:val="24"/>
          <w:shd w:val="clear" w:color="auto" w:fill="FFFFFF"/>
        </w:rPr>
        <w:t> respondent’s spouse.</w:t>
      </w:r>
      <w:r w:rsidRPr="008447E1">
        <w:rPr>
          <w:rFonts w:ascii="Times New Roman" w:hAnsi="Times New Roman" w:cs="Times New Roman"/>
          <w:sz w:val="24"/>
          <w:szCs w:val="24"/>
        </w:rPr>
        <w:t xml:space="preserve"> </w:t>
      </w:r>
      <w:r w:rsidRPr="008447E1">
        <w:rPr>
          <w:rFonts w:ascii="Times New Roman" w:eastAsia="Times New Roman" w:hAnsi="Times New Roman" w:cs="Times New Roman"/>
          <w:sz w:val="24"/>
          <w:szCs w:val="24"/>
        </w:rPr>
        <w:t>The 1</w:t>
      </w:r>
      <w:r w:rsidRPr="008447E1">
        <w:rPr>
          <w:rFonts w:ascii="Times New Roman" w:eastAsia="Times New Roman" w:hAnsi="Times New Roman" w:cs="Times New Roman"/>
          <w:sz w:val="24"/>
          <w:szCs w:val="24"/>
          <w:vertAlign w:val="superscript"/>
        </w:rPr>
        <w:t>st</w:t>
      </w:r>
      <w:r w:rsidRPr="008447E1">
        <w:rPr>
          <w:rFonts w:ascii="Times New Roman" w:eastAsia="Times New Roman" w:hAnsi="Times New Roman" w:cs="Times New Roman"/>
          <w:sz w:val="24"/>
          <w:szCs w:val="24"/>
        </w:rPr>
        <w:t> respondent simply left the matter to the Court’s discretion. </w:t>
      </w:r>
      <w:r>
        <w:rPr>
          <w:rFonts w:ascii="Times New Roman" w:eastAsia="Times New Roman" w:hAnsi="Times New Roman" w:cs="Times New Roman"/>
          <w:sz w:val="24"/>
          <w:szCs w:val="24"/>
        </w:rPr>
        <w:t xml:space="preserve"> He said that he made a mistake </w:t>
      </w:r>
      <w:r w:rsidRPr="008447E1">
        <w:rPr>
          <w:rFonts w:ascii="Times New Roman" w:eastAsia="Times New Roman" w:hAnsi="Times New Roman" w:cs="Times New Roman"/>
          <w:sz w:val="24"/>
          <w:szCs w:val="24"/>
        </w:rPr>
        <w:t>by guaranteei</w:t>
      </w:r>
      <w:r>
        <w:rPr>
          <w:rFonts w:ascii="Times New Roman" w:eastAsia="Times New Roman" w:hAnsi="Times New Roman" w:cs="Times New Roman"/>
          <w:sz w:val="24"/>
          <w:szCs w:val="24"/>
        </w:rPr>
        <w:t>ng the borrower, who had since </w:t>
      </w:r>
      <w:r w:rsidRPr="008447E1">
        <w:rPr>
          <w:rFonts w:ascii="Times New Roman" w:eastAsia="Times New Roman" w:hAnsi="Times New Roman" w:cs="Times New Roman"/>
          <w:sz w:val="24"/>
          <w:szCs w:val="24"/>
        </w:rPr>
        <w:t>defaulted in repayme</w:t>
      </w:r>
      <w:r>
        <w:rPr>
          <w:rFonts w:ascii="Times New Roman" w:eastAsia="Times New Roman" w:hAnsi="Times New Roman" w:cs="Times New Roman"/>
          <w:sz w:val="24"/>
          <w:szCs w:val="24"/>
        </w:rPr>
        <w:t>nt of the money advanced to</w:t>
      </w:r>
      <w:r w:rsidRPr="008447E1">
        <w:rPr>
          <w:rFonts w:ascii="Times New Roman" w:eastAsia="Times New Roman" w:hAnsi="Times New Roman" w:cs="Times New Roman"/>
          <w:sz w:val="24"/>
          <w:szCs w:val="24"/>
        </w:rPr>
        <w:t xml:space="preserve"> him by the 2</w:t>
      </w:r>
      <w:r w:rsidRPr="008447E1">
        <w:rPr>
          <w:rFonts w:ascii="Times New Roman" w:eastAsia="Times New Roman" w:hAnsi="Times New Roman" w:cs="Times New Roman"/>
          <w:sz w:val="24"/>
          <w:szCs w:val="24"/>
          <w:vertAlign w:val="superscript"/>
        </w:rPr>
        <w:t>nd</w:t>
      </w:r>
      <w:r w:rsidRPr="008447E1">
        <w:rPr>
          <w:rFonts w:ascii="Times New Roman" w:eastAsia="Times New Roman" w:hAnsi="Times New Roman" w:cs="Times New Roman"/>
          <w:sz w:val="24"/>
          <w:szCs w:val="24"/>
        </w:rPr>
        <w:t> respondent.</w:t>
      </w:r>
    </w:p>
    <w:p w14:paraId="3421FA24" w14:textId="77777777" w:rsidR="00CF536E" w:rsidRPr="00E14D20" w:rsidRDefault="00CF536E" w:rsidP="00CF536E">
      <w:pPr>
        <w:shd w:val="clear" w:color="auto" w:fill="FFFFFF"/>
        <w:spacing w:before="100" w:beforeAutospacing="1" w:after="100" w:afterAutospacing="1" w:line="300" w:lineRule="atLeast"/>
        <w:jc w:val="both"/>
        <w:rPr>
          <w:rFonts w:ascii="Times New Roman" w:eastAsia="Times New Roman" w:hAnsi="Times New Roman" w:cs="Times New Roman"/>
          <w:sz w:val="24"/>
          <w:szCs w:val="24"/>
        </w:rPr>
      </w:pPr>
      <w:r w:rsidRPr="008447E1">
        <w:rPr>
          <w:rFonts w:ascii="Times New Roman" w:eastAsia="Times New Roman" w:hAnsi="Times New Roman" w:cs="Times New Roman"/>
          <w:b/>
          <w:bCs/>
          <w:sz w:val="24"/>
          <w:szCs w:val="24"/>
        </w:rPr>
        <w:t xml:space="preserve">Miss. </w:t>
      </w:r>
      <w:proofErr w:type="spellStart"/>
      <w:r w:rsidRPr="008447E1">
        <w:rPr>
          <w:rFonts w:ascii="Times New Roman" w:eastAsia="Times New Roman" w:hAnsi="Times New Roman" w:cs="Times New Roman"/>
          <w:b/>
          <w:bCs/>
          <w:sz w:val="24"/>
          <w:szCs w:val="24"/>
        </w:rPr>
        <w:t>Kisaka</w:t>
      </w:r>
      <w:proofErr w:type="spellEnd"/>
      <w:r w:rsidRPr="008447E1">
        <w:rPr>
          <w:rFonts w:ascii="Times New Roman" w:eastAsia="Times New Roman" w:hAnsi="Times New Roman" w:cs="Times New Roman"/>
          <w:b/>
          <w:bCs/>
          <w:sz w:val="24"/>
          <w:szCs w:val="24"/>
        </w:rPr>
        <w:t>,</w:t>
      </w:r>
      <w:r w:rsidRPr="00E14D20">
        <w:rPr>
          <w:rFonts w:ascii="Times New Roman" w:eastAsia="Times New Roman" w:hAnsi="Times New Roman" w:cs="Times New Roman"/>
          <w:sz w:val="24"/>
          <w:szCs w:val="24"/>
        </w:rPr>
        <w:t> learned counsel for the respondent, opposed the appeal.  She reiterated that the    appellant was not obliged to grant spousal consent since the charge in issue was drawn and ex</w:t>
      </w:r>
      <w:r>
        <w:rPr>
          <w:rFonts w:ascii="Times New Roman" w:eastAsia="Times New Roman" w:hAnsi="Times New Roman" w:cs="Times New Roman"/>
          <w:sz w:val="24"/>
          <w:szCs w:val="24"/>
        </w:rPr>
        <w:t>ecuted </w:t>
      </w:r>
      <w:r w:rsidRPr="00E14D20">
        <w:rPr>
          <w:rFonts w:ascii="Times New Roman" w:eastAsia="Times New Roman" w:hAnsi="Times New Roman" w:cs="Times New Roman"/>
          <w:sz w:val="24"/>
          <w:szCs w:val="24"/>
        </w:rPr>
        <w:t>on 28</w:t>
      </w:r>
      <w:r w:rsidRPr="00E14D20">
        <w:rPr>
          <w:rFonts w:ascii="Times New Roman" w:eastAsia="Times New Roman" w:hAnsi="Times New Roman" w:cs="Times New Roman"/>
          <w:sz w:val="24"/>
          <w:szCs w:val="24"/>
          <w:vertAlign w:val="superscript"/>
        </w:rPr>
        <w:t>th</w:t>
      </w:r>
      <w:r w:rsidRPr="00E14D20">
        <w:rPr>
          <w:rFonts w:ascii="Times New Roman" w:eastAsia="Times New Roman" w:hAnsi="Times New Roman" w:cs="Times New Roman"/>
          <w:sz w:val="24"/>
          <w:szCs w:val="24"/>
        </w:rPr>
        <w:t> February, 2011 whereas the </w:t>
      </w:r>
      <w:r w:rsidRPr="008447E1">
        <w:rPr>
          <w:rFonts w:ascii="Times New Roman" w:eastAsia="Times New Roman" w:hAnsi="Times New Roman" w:cs="Times New Roman"/>
          <w:b/>
          <w:bCs/>
          <w:sz w:val="24"/>
          <w:szCs w:val="24"/>
        </w:rPr>
        <w:t>Land Act, 2012,</w:t>
      </w:r>
      <w:r w:rsidRPr="00E14D20">
        <w:rPr>
          <w:rFonts w:ascii="Times New Roman" w:eastAsia="Times New Roman" w:hAnsi="Times New Roman" w:cs="Times New Roman"/>
          <w:sz w:val="24"/>
          <w:szCs w:val="24"/>
        </w:rPr>
        <w:t> which provides for spousal consent over    matrimonial properties, came into effect on 2</w:t>
      </w:r>
      <w:r w:rsidRPr="00E14D20">
        <w:rPr>
          <w:rFonts w:ascii="Times New Roman" w:eastAsia="Times New Roman" w:hAnsi="Times New Roman" w:cs="Times New Roman"/>
          <w:sz w:val="24"/>
          <w:szCs w:val="24"/>
          <w:vertAlign w:val="superscript"/>
        </w:rPr>
        <w:t>nd</w:t>
      </w:r>
      <w:r w:rsidRPr="00E14D20">
        <w:rPr>
          <w:rFonts w:ascii="Times New Roman" w:eastAsia="Times New Roman" w:hAnsi="Times New Roman" w:cs="Times New Roman"/>
          <w:sz w:val="24"/>
          <w:szCs w:val="24"/>
        </w:rPr>
        <w:t> May, 2012.  The 2</w:t>
      </w:r>
      <w:r w:rsidRPr="00E14D20">
        <w:rPr>
          <w:rFonts w:ascii="Times New Roman" w:eastAsia="Times New Roman" w:hAnsi="Times New Roman" w:cs="Times New Roman"/>
          <w:sz w:val="24"/>
          <w:szCs w:val="24"/>
          <w:vertAlign w:val="superscript"/>
        </w:rPr>
        <w:t>nd</w:t>
      </w:r>
      <w:r w:rsidRPr="00E14D20">
        <w:rPr>
          <w:rFonts w:ascii="Times New Roman" w:eastAsia="Times New Roman" w:hAnsi="Times New Roman" w:cs="Times New Roman"/>
          <w:sz w:val="24"/>
          <w:szCs w:val="24"/>
        </w:rPr>
        <w:t> respondent could not therefore have   been expected to obey a law that was not in force    when the char</w:t>
      </w:r>
      <w:r>
        <w:rPr>
          <w:rFonts w:ascii="Times New Roman" w:eastAsia="Times New Roman" w:hAnsi="Times New Roman" w:cs="Times New Roman"/>
          <w:sz w:val="24"/>
          <w:szCs w:val="24"/>
        </w:rPr>
        <w:t>ge was drawn since a law cannot</w:t>
      </w:r>
      <w:r w:rsidRPr="00E14D20">
        <w:rPr>
          <w:rFonts w:ascii="Times New Roman" w:eastAsia="Times New Roman" w:hAnsi="Times New Roman" w:cs="Times New Roman"/>
          <w:sz w:val="24"/>
          <w:szCs w:val="24"/>
        </w:rPr>
        <w:t xml:space="preserve"> operate retrospectively.</w:t>
      </w:r>
    </w:p>
    <w:p w14:paraId="168605FB" w14:textId="01C3EA6A" w:rsidR="00CF536E" w:rsidRPr="00E14D20" w:rsidRDefault="00CF536E" w:rsidP="00CF536E">
      <w:pPr>
        <w:shd w:val="clear" w:color="auto" w:fill="FFFFFF"/>
        <w:spacing w:before="100" w:beforeAutospacing="1" w:after="100" w:afterAutospacing="1" w:line="300" w:lineRule="atLeast"/>
        <w:jc w:val="both"/>
        <w:rPr>
          <w:rFonts w:ascii="Times New Roman" w:eastAsia="Times New Roman" w:hAnsi="Times New Roman" w:cs="Times New Roman"/>
          <w:sz w:val="24"/>
          <w:szCs w:val="24"/>
        </w:rPr>
      </w:pPr>
      <w:r w:rsidRPr="00CF536E">
        <w:rPr>
          <w:rFonts w:ascii="Times New Roman" w:eastAsia="Times New Roman" w:hAnsi="Times New Roman" w:cs="Times New Roman"/>
          <w:iCs/>
          <w:sz w:val="24"/>
          <w:szCs w:val="24"/>
        </w:rPr>
        <w:t>Matrimonial home</w:t>
      </w:r>
      <w:r w:rsidRPr="008447E1">
        <w:rPr>
          <w:rFonts w:ascii="Times New Roman" w:eastAsia="Times New Roman" w:hAnsi="Times New Roman" w:cs="Times New Roman"/>
          <w:i/>
          <w:iCs/>
          <w:sz w:val="24"/>
          <w:szCs w:val="24"/>
        </w:rPr>
        <w:t> </w:t>
      </w:r>
      <w:r w:rsidRPr="00E14D20">
        <w:rPr>
          <w:rFonts w:ascii="Times New Roman" w:eastAsia="Times New Roman" w:hAnsi="Times New Roman" w:cs="Times New Roman"/>
          <w:sz w:val="24"/>
          <w:szCs w:val="24"/>
        </w:rPr>
        <w:t>is defined by the </w:t>
      </w:r>
      <w:r>
        <w:rPr>
          <w:rFonts w:ascii="Times New Roman" w:eastAsia="Times New Roman" w:hAnsi="Times New Roman" w:cs="Times New Roman"/>
          <w:b/>
          <w:bCs/>
          <w:sz w:val="24"/>
          <w:szCs w:val="24"/>
        </w:rPr>
        <w:t>Land Act, </w:t>
      </w:r>
      <w:r w:rsidRPr="008447E1">
        <w:rPr>
          <w:rFonts w:ascii="Times New Roman" w:eastAsia="Times New Roman" w:hAnsi="Times New Roman" w:cs="Times New Roman"/>
          <w:b/>
          <w:bCs/>
          <w:sz w:val="24"/>
          <w:szCs w:val="24"/>
        </w:rPr>
        <w:t>2012</w:t>
      </w:r>
      <w:r w:rsidRPr="00E14D20">
        <w:rPr>
          <w:rFonts w:ascii="Times New Roman" w:eastAsia="Times New Roman" w:hAnsi="Times New Roman" w:cs="Times New Roman"/>
          <w:sz w:val="24"/>
          <w:szCs w:val="24"/>
        </w:rPr>
        <w:t> to mean </w:t>
      </w:r>
      <w:r w:rsidRPr="008447E1">
        <w:rPr>
          <w:rFonts w:ascii="Times New Roman" w:eastAsia="Times New Roman" w:hAnsi="Times New Roman" w:cs="Times New Roman"/>
          <w:i/>
          <w:iCs/>
          <w:sz w:val="24"/>
          <w:szCs w:val="24"/>
        </w:rPr>
        <w:t>“any property that is owned or leased   by one or both spouses and occupied by the spouses   as their family home.”</w:t>
      </w:r>
    </w:p>
    <w:p w14:paraId="2EA02BED" w14:textId="77777777" w:rsidR="00CF536E" w:rsidRPr="00E14D20" w:rsidRDefault="00CF536E" w:rsidP="00CF536E">
      <w:pPr>
        <w:shd w:val="clear" w:color="auto" w:fill="FFFFFF"/>
        <w:spacing w:after="150" w:line="324" w:lineRule="atLeast"/>
        <w:ind w:left="720"/>
        <w:jc w:val="both"/>
        <w:rPr>
          <w:rFonts w:ascii="Times New Roman" w:eastAsia="Times New Roman" w:hAnsi="Times New Roman" w:cs="Times New Roman"/>
          <w:sz w:val="24"/>
          <w:szCs w:val="24"/>
        </w:rPr>
      </w:pPr>
      <w:r w:rsidRPr="00E14D20">
        <w:rPr>
          <w:rFonts w:ascii="Times New Roman" w:eastAsia="Times New Roman" w:hAnsi="Times New Roman" w:cs="Times New Roman"/>
          <w:sz w:val="24"/>
          <w:szCs w:val="24"/>
        </w:rPr>
        <w:t>Taking into account the</w:t>
      </w:r>
      <w:r>
        <w:rPr>
          <w:rFonts w:ascii="Times New Roman" w:eastAsia="Times New Roman" w:hAnsi="Times New Roman" w:cs="Times New Roman"/>
          <w:sz w:val="24"/>
          <w:szCs w:val="24"/>
        </w:rPr>
        <w:t xml:space="preserve"> above definition, the learned </w:t>
      </w:r>
      <w:r w:rsidRPr="00E14D20">
        <w:rPr>
          <w:rFonts w:ascii="Times New Roman" w:eastAsia="Times New Roman" w:hAnsi="Times New Roman" w:cs="Times New Roman"/>
          <w:sz w:val="24"/>
          <w:szCs w:val="24"/>
        </w:rPr>
        <w:t xml:space="preserve">judge held that the appellant </w:t>
      </w:r>
      <w:r>
        <w:rPr>
          <w:rFonts w:ascii="Times New Roman" w:eastAsia="Times New Roman" w:hAnsi="Times New Roman" w:cs="Times New Roman"/>
          <w:sz w:val="24"/>
          <w:szCs w:val="24"/>
        </w:rPr>
        <w:t xml:space="preserve">had failed to show, firstly, </w:t>
      </w:r>
      <w:r w:rsidRPr="00E14D20">
        <w:rPr>
          <w:rFonts w:ascii="Times New Roman" w:eastAsia="Times New Roman" w:hAnsi="Times New Roman" w:cs="Times New Roman"/>
          <w:sz w:val="24"/>
          <w:szCs w:val="24"/>
        </w:rPr>
        <w:t xml:space="preserve">that there is a home on the suit   properties and, secondly, that </w:t>
      </w:r>
      <w:r w:rsidRPr="00E14D20">
        <w:rPr>
          <w:rFonts w:ascii="Times New Roman" w:eastAsia="Times New Roman" w:hAnsi="Times New Roman" w:cs="Times New Roman"/>
          <w:sz w:val="24"/>
          <w:szCs w:val="24"/>
        </w:rPr>
        <w:lastRenderedPageBreak/>
        <w:t>together with the 1</w:t>
      </w:r>
      <w:r w:rsidRPr="00E14D20">
        <w:rPr>
          <w:rFonts w:ascii="Times New Roman" w:eastAsia="Times New Roman" w:hAnsi="Times New Roman" w:cs="Times New Roman"/>
          <w:sz w:val="24"/>
          <w:szCs w:val="24"/>
          <w:vertAlign w:val="superscript"/>
        </w:rPr>
        <w:t>st</w:t>
      </w:r>
      <w:r w:rsidRPr="00E14D20">
        <w:rPr>
          <w:rFonts w:ascii="Times New Roman" w:eastAsia="Times New Roman" w:hAnsi="Times New Roman" w:cs="Times New Roman"/>
          <w:sz w:val="24"/>
          <w:szCs w:val="24"/>
        </w:rPr>
        <w:t> respondent they we</w:t>
      </w:r>
      <w:r>
        <w:rPr>
          <w:rFonts w:ascii="Times New Roman" w:eastAsia="Times New Roman" w:hAnsi="Times New Roman" w:cs="Times New Roman"/>
          <w:sz w:val="24"/>
          <w:szCs w:val="24"/>
        </w:rPr>
        <w:t xml:space="preserve">re occupying the alleged </w:t>
      </w:r>
      <w:r w:rsidRPr="00E14D20">
        <w:rPr>
          <w:rFonts w:ascii="Times New Roman" w:eastAsia="Times New Roman" w:hAnsi="Times New Roman" w:cs="Times New Roman"/>
          <w:sz w:val="24"/>
          <w:szCs w:val="24"/>
        </w:rPr>
        <w:t>home. </w:t>
      </w:r>
      <w:r>
        <w:rPr>
          <w:rFonts w:ascii="Times New Roman" w:eastAsia="Times New Roman" w:hAnsi="Times New Roman" w:cs="Times New Roman"/>
          <w:sz w:val="24"/>
          <w:szCs w:val="24"/>
        </w:rPr>
        <w:t>P</w:t>
      </w:r>
      <w:r w:rsidRPr="00E14D20">
        <w:rPr>
          <w:rFonts w:ascii="Times New Roman" w:eastAsia="Times New Roman" w:hAnsi="Times New Roman" w:cs="Times New Roman"/>
          <w:sz w:val="24"/>
          <w:szCs w:val="24"/>
        </w:rPr>
        <w:t>erhaps photographs of the home, if at all, or a valuation report containing appropriate description of</w:t>
      </w:r>
      <w:r>
        <w:rPr>
          <w:rFonts w:ascii="Times New Roman" w:eastAsia="Times New Roman" w:hAnsi="Times New Roman" w:cs="Times New Roman"/>
          <w:sz w:val="24"/>
          <w:szCs w:val="24"/>
        </w:rPr>
        <w:t xml:space="preserve"> the suit properties would have</w:t>
      </w:r>
      <w:r w:rsidRPr="00E14D20">
        <w:rPr>
          <w:rFonts w:ascii="Times New Roman" w:eastAsia="Times New Roman" w:hAnsi="Times New Roman" w:cs="Times New Roman"/>
          <w:sz w:val="24"/>
          <w:szCs w:val="24"/>
        </w:rPr>
        <w:t xml:space="preserve"> sufficed.  In the </w:t>
      </w:r>
      <w:r>
        <w:rPr>
          <w:rFonts w:ascii="Times New Roman" w:eastAsia="Times New Roman" w:hAnsi="Times New Roman" w:cs="Times New Roman"/>
          <w:sz w:val="24"/>
          <w:szCs w:val="24"/>
        </w:rPr>
        <w:t>circumstances, we cannot fault </w:t>
      </w:r>
      <w:r w:rsidRPr="00E14D20">
        <w:rPr>
          <w:rFonts w:ascii="Times New Roman" w:eastAsia="Times New Roman" w:hAnsi="Times New Roman" w:cs="Times New Roman"/>
          <w:sz w:val="24"/>
          <w:szCs w:val="24"/>
        </w:rPr>
        <w:t>the learned judge for the conclusion that he arrived regarding absence of proof   of existence of a matrimonial home on the suit properties.</w:t>
      </w:r>
    </w:p>
    <w:p w14:paraId="51C1F059" w14:textId="77777777" w:rsidR="00CF536E" w:rsidRPr="00E14D20" w:rsidRDefault="00CF536E" w:rsidP="00CF536E">
      <w:pPr>
        <w:shd w:val="clear" w:color="auto" w:fill="FFFFFF"/>
        <w:spacing w:before="100" w:beforeAutospacing="1" w:after="100" w:afterAutospacing="1" w:line="300" w:lineRule="atLeast"/>
        <w:jc w:val="both"/>
        <w:rPr>
          <w:rFonts w:ascii="Times New Roman" w:eastAsia="Times New Roman" w:hAnsi="Times New Roman" w:cs="Times New Roman"/>
          <w:sz w:val="24"/>
          <w:szCs w:val="24"/>
        </w:rPr>
      </w:pPr>
      <w:r w:rsidRPr="00E14D20">
        <w:rPr>
          <w:rFonts w:ascii="Times New Roman" w:eastAsia="Times New Roman" w:hAnsi="Times New Roman" w:cs="Times New Roman"/>
          <w:sz w:val="24"/>
          <w:szCs w:val="24"/>
        </w:rPr>
        <w:t>But even if the</w:t>
      </w:r>
      <w:r>
        <w:rPr>
          <w:rFonts w:ascii="Times New Roman" w:eastAsia="Times New Roman" w:hAnsi="Times New Roman" w:cs="Times New Roman"/>
          <w:sz w:val="24"/>
          <w:szCs w:val="24"/>
        </w:rPr>
        <w:t xml:space="preserve"> appellant had shown that their</w:t>
      </w:r>
      <w:r w:rsidRPr="00E14D20">
        <w:rPr>
          <w:rFonts w:ascii="Times New Roman" w:eastAsia="Times New Roman" w:hAnsi="Times New Roman" w:cs="Times New Roman"/>
          <w:sz w:val="24"/>
          <w:szCs w:val="24"/>
        </w:rPr>
        <w:t xml:space="preserve"> matrimonia</w:t>
      </w:r>
      <w:r>
        <w:rPr>
          <w:rFonts w:ascii="Times New Roman" w:eastAsia="Times New Roman" w:hAnsi="Times New Roman" w:cs="Times New Roman"/>
          <w:sz w:val="24"/>
          <w:szCs w:val="24"/>
        </w:rPr>
        <w:t>l home was situated in the suit</w:t>
      </w:r>
      <w:r w:rsidRPr="00E14D20">
        <w:rPr>
          <w:rFonts w:ascii="Times New Roman" w:eastAsia="Times New Roman" w:hAnsi="Times New Roman" w:cs="Times New Roman"/>
          <w:sz w:val="24"/>
          <w:szCs w:val="24"/>
        </w:rPr>
        <w:t xml:space="preserve"> properties, the appellant still had to prove that her consent to charg</w:t>
      </w:r>
      <w:r>
        <w:rPr>
          <w:rFonts w:ascii="Times New Roman" w:eastAsia="Times New Roman" w:hAnsi="Times New Roman" w:cs="Times New Roman"/>
          <w:sz w:val="24"/>
          <w:szCs w:val="24"/>
        </w:rPr>
        <w:t xml:space="preserve">e the properties was by law </w:t>
      </w:r>
      <w:r w:rsidRPr="00E14D20">
        <w:rPr>
          <w:rFonts w:ascii="Times New Roman" w:eastAsia="Times New Roman" w:hAnsi="Times New Roman" w:cs="Times New Roman"/>
          <w:sz w:val="24"/>
          <w:szCs w:val="24"/>
        </w:rPr>
        <w:t xml:space="preserve">required and was not </w:t>
      </w:r>
      <w:r>
        <w:rPr>
          <w:rFonts w:ascii="Times New Roman" w:eastAsia="Times New Roman" w:hAnsi="Times New Roman" w:cs="Times New Roman"/>
          <w:sz w:val="24"/>
          <w:szCs w:val="24"/>
        </w:rPr>
        <w:t>obtained, considering that the </w:t>
      </w:r>
      <w:r w:rsidRPr="00E14D20">
        <w:rPr>
          <w:rFonts w:ascii="Times New Roman" w:eastAsia="Times New Roman" w:hAnsi="Times New Roman" w:cs="Times New Roman"/>
          <w:sz w:val="24"/>
          <w:szCs w:val="24"/>
        </w:rPr>
        <w:t>charge in issue was drawn and executed before the </w:t>
      </w:r>
      <w:r w:rsidRPr="008447E1">
        <w:rPr>
          <w:rFonts w:ascii="Times New Roman" w:eastAsia="Times New Roman" w:hAnsi="Times New Roman" w:cs="Times New Roman"/>
          <w:b/>
          <w:bCs/>
          <w:sz w:val="24"/>
          <w:szCs w:val="24"/>
        </w:rPr>
        <w:t>Land Act, 2012 </w:t>
      </w:r>
      <w:r w:rsidRPr="00E14D20">
        <w:rPr>
          <w:rFonts w:ascii="Times New Roman" w:eastAsia="Times New Roman" w:hAnsi="Times New Roman" w:cs="Times New Roman"/>
          <w:sz w:val="24"/>
          <w:szCs w:val="24"/>
        </w:rPr>
        <w:t>and the</w:t>
      </w:r>
      <w:r w:rsidRPr="008447E1">
        <w:rPr>
          <w:rFonts w:ascii="Times New Roman" w:eastAsia="Times New Roman" w:hAnsi="Times New Roman" w:cs="Times New Roman"/>
          <w:b/>
          <w:bCs/>
          <w:sz w:val="24"/>
          <w:szCs w:val="24"/>
        </w:rPr>
        <w:t> Land Registration Act, 2012</w:t>
      </w:r>
      <w:r w:rsidRPr="00E14D20">
        <w:rPr>
          <w:rFonts w:ascii="Times New Roman" w:eastAsia="Times New Roman" w:hAnsi="Times New Roman" w:cs="Times New Roman"/>
          <w:sz w:val="24"/>
          <w:szCs w:val="24"/>
        </w:rPr>
        <w:t> that espouse spousal consent were enacted.</w:t>
      </w:r>
    </w:p>
    <w:p w14:paraId="182E6A97" w14:textId="77777777" w:rsidR="00CF536E" w:rsidRPr="00E14D20" w:rsidRDefault="00CF536E" w:rsidP="00CF536E">
      <w:pPr>
        <w:shd w:val="clear" w:color="auto" w:fill="FFFFFF"/>
        <w:spacing w:before="100" w:beforeAutospacing="1" w:after="100" w:afterAutospacing="1" w:line="300" w:lineRule="atLeast"/>
        <w:ind w:left="15"/>
        <w:jc w:val="both"/>
        <w:rPr>
          <w:rFonts w:ascii="Times New Roman" w:eastAsia="Times New Roman" w:hAnsi="Times New Roman" w:cs="Times New Roman"/>
          <w:sz w:val="24"/>
          <w:szCs w:val="24"/>
        </w:rPr>
      </w:pPr>
      <w:r w:rsidRPr="008447E1">
        <w:rPr>
          <w:rFonts w:ascii="Times New Roman" w:eastAsia="Times New Roman" w:hAnsi="Times New Roman" w:cs="Times New Roman"/>
          <w:b/>
          <w:bCs/>
          <w:sz w:val="24"/>
          <w:szCs w:val="24"/>
        </w:rPr>
        <w:t>Section 78 (1) </w:t>
      </w:r>
      <w:r w:rsidRPr="00E14D20">
        <w:rPr>
          <w:rFonts w:ascii="Times New Roman" w:eastAsia="Times New Roman" w:hAnsi="Times New Roman" w:cs="Times New Roman"/>
          <w:sz w:val="24"/>
          <w:szCs w:val="24"/>
        </w:rPr>
        <w:t>of the</w:t>
      </w:r>
      <w:r w:rsidRPr="008447E1">
        <w:rPr>
          <w:rFonts w:ascii="Times New Roman" w:eastAsia="Times New Roman" w:hAnsi="Times New Roman" w:cs="Times New Roman"/>
          <w:b/>
          <w:bCs/>
          <w:sz w:val="24"/>
          <w:szCs w:val="24"/>
        </w:rPr>
        <w:t> Land Act, 2012</w:t>
      </w:r>
      <w:r>
        <w:rPr>
          <w:rFonts w:ascii="Times New Roman" w:eastAsia="Times New Roman" w:hAnsi="Times New Roman" w:cs="Times New Roman"/>
          <w:sz w:val="24"/>
          <w:szCs w:val="24"/>
        </w:rPr>
        <w:t xml:space="preserve"> stipulates </w:t>
      </w:r>
      <w:r w:rsidRPr="00E14D20">
        <w:rPr>
          <w:rFonts w:ascii="Times New Roman" w:eastAsia="Times New Roman" w:hAnsi="Times New Roman" w:cs="Times New Roman"/>
          <w:sz w:val="24"/>
          <w:szCs w:val="24"/>
        </w:rPr>
        <w:t>that:</w:t>
      </w:r>
    </w:p>
    <w:p w14:paraId="47BBD7AE" w14:textId="77777777" w:rsidR="00CF536E" w:rsidRPr="00E14D20"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8447E1">
        <w:rPr>
          <w:rFonts w:ascii="Times New Roman" w:eastAsia="Times New Roman" w:hAnsi="Times New Roman" w:cs="Times New Roman"/>
          <w:bCs/>
          <w:sz w:val="24"/>
          <w:szCs w:val="24"/>
        </w:rPr>
        <w:t>“(1) This Part applies to all charges on land including any charge made before the coming into effect of this Act and in effect at that time, any other charges of land which are specifically referred to in any section of this Part.”</w:t>
      </w:r>
    </w:p>
    <w:p w14:paraId="0C4E0A3A" w14:textId="77777777" w:rsidR="00CF536E" w:rsidRPr="00E14D20"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E14D20">
        <w:rPr>
          <w:rFonts w:ascii="Times New Roman" w:eastAsia="Times New Roman" w:hAnsi="Times New Roman" w:cs="Times New Roman"/>
          <w:sz w:val="24"/>
          <w:szCs w:val="24"/>
        </w:rPr>
        <w:t>Regarding applicability</w:t>
      </w:r>
      <w:r>
        <w:rPr>
          <w:rFonts w:ascii="Times New Roman" w:eastAsia="Times New Roman" w:hAnsi="Times New Roman" w:cs="Times New Roman"/>
          <w:sz w:val="24"/>
          <w:szCs w:val="24"/>
        </w:rPr>
        <w:t xml:space="preserve"> of the above quoted </w:t>
      </w:r>
      <w:r w:rsidRPr="00E14D20">
        <w:rPr>
          <w:rFonts w:ascii="Times New Roman" w:eastAsia="Times New Roman" w:hAnsi="Times New Roman" w:cs="Times New Roman"/>
          <w:sz w:val="24"/>
          <w:szCs w:val="24"/>
        </w:rPr>
        <w:t>provision of the law to charges executed prior to enactment of the </w:t>
      </w:r>
      <w:r w:rsidRPr="008447E1">
        <w:rPr>
          <w:rFonts w:ascii="Times New Roman" w:eastAsia="Times New Roman" w:hAnsi="Times New Roman" w:cs="Times New Roman"/>
          <w:bCs/>
          <w:sz w:val="24"/>
          <w:szCs w:val="24"/>
        </w:rPr>
        <w:t>Land act, 2012,</w:t>
      </w:r>
      <w:r>
        <w:rPr>
          <w:rFonts w:ascii="Times New Roman" w:eastAsia="Times New Roman" w:hAnsi="Times New Roman" w:cs="Times New Roman"/>
          <w:sz w:val="24"/>
          <w:szCs w:val="24"/>
        </w:rPr>
        <w:t> the learned judge</w:t>
      </w:r>
      <w:r w:rsidRPr="00E14D20">
        <w:rPr>
          <w:rFonts w:ascii="Times New Roman" w:eastAsia="Times New Roman" w:hAnsi="Times New Roman" w:cs="Times New Roman"/>
          <w:sz w:val="24"/>
          <w:szCs w:val="24"/>
        </w:rPr>
        <w:t xml:space="preserve"> held that the provisions cannot be extended to the   formal requirements </w:t>
      </w:r>
      <w:r>
        <w:rPr>
          <w:rFonts w:ascii="Times New Roman" w:eastAsia="Times New Roman" w:hAnsi="Times New Roman" w:cs="Times New Roman"/>
          <w:sz w:val="24"/>
          <w:szCs w:val="24"/>
        </w:rPr>
        <w:t>of and content of such charges </w:t>
      </w:r>
      <w:r w:rsidRPr="00E14D20">
        <w:rPr>
          <w:rFonts w:ascii="Times New Roman" w:eastAsia="Times New Roman" w:hAnsi="Times New Roman" w:cs="Times New Roman"/>
          <w:sz w:val="24"/>
          <w:szCs w:val="24"/>
        </w:rPr>
        <w:t>because:</w:t>
      </w:r>
    </w:p>
    <w:p w14:paraId="28EB08A5" w14:textId="77777777" w:rsidR="00CF536E" w:rsidRPr="00E14D20"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8447E1">
        <w:rPr>
          <w:rFonts w:ascii="Times New Roman" w:eastAsia="Times New Roman" w:hAnsi="Times New Roman" w:cs="Times New Roman"/>
          <w:bCs/>
          <w:sz w:val="24"/>
          <w:szCs w:val="24"/>
        </w:rPr>
        <w:t>“… the parties executing charges prior to the commencement of that Act could not be expected to comply with the requirements of a law that was not in existence.  To give section 78 (1) of the Land Act, 2012 an interpretation that extends its operation to the formal requirements and content of charges created before the commencement of that Act would make the said Act inconsistent with the provisions of Article 40 (2) (a) of the Constitution of Kenya, 2010 as it would take away property interests of charges under such charges arbitrarily.”</w:t>
      </w:r>
    </w:p>
    <w:p w14:paraId="5BB776E9" w14:textId="77777777" w:rsidR="00CF536E" w:rsidRPr="008447E1" w:rsidRDefault="00CF536E" w:rsidP="00CF536E">
      <w:pPr>
        <w:shd w:val="clear" w:color="auto" w:fill="FFFFFF"/>
        <w:spacing w:before="100" w:beforeAutospacing="1" w:after="100" w:afterAutospacing="1" w:line="300" w:lineRule="atLeast"/>
        <w:jc w:val="both"/>
        <w:rPr>
          <w:rFonts w:ascii="Times New Roman" w:eastAsia="Times New Roman" w:hAnsi="Times New Roman" w:cs="Times New Roman"/>
          <w:sz w:val="24"/>
          <w:szCs w:val="24"/>
        </w:rPr>
      </w:pPr>
      <w:r w:rsidRPr="008447E1">
        <w:rPr>
          <w:rFonts w:ascii="Times New Roman" w:eastAsia="Times New Roman" w:hAnsi="Times New Roman" w:cs="Times New Roman"/>
          <w:sz w:val="24"/>
          <w:szCs w:val="24"/>
        </w:rPr>
        <w:t>Supreme Court of Kenya held in </w:t>
      </w:r>
      <w:r w:rsidRPr="008447E1">
        <w:rPr>
          <w:rFonts w:ascii="Times New Roman" w:eastAsia="Times New Roman" w:hAnsi="Times New Roman" w:cs="Times New Roman"/>
          <w:b/>
          <w:bCs/>
          <w:sz w:val="24"/>
          <w:szCs w:val="24"/>
          <w:u w:val="single"/>
        </w:rPr>
        <w:t xml:space="preserve">S. K. </w:t>
      </w:r>
      <w:proofErr w:type="spellStart"/>
      <w:r w:rsidRPr="008447E1">
        <w:rPr>
          <w:rFonts w:ascii="Times New Roman" w:eastAsia="Times New Roman" w:hAnsi="Times New Roman" w:cs="Times New Roman"/>
          <w:b/>
          <w:bCs/>
          <w:sz w:val="24"/>
          <w:szCs w:val="24"/>
          <w:u w:val="single"/>
        </w:rPr>
        <w:t>Macharia</w:t>
      </w:r>
      <w:proofErr w:type="spellEnd"/>
      <w:r w:rsidRPr="008447E1">
        <w:rPr>
          <w:rFonts w:ascii="Times New Roman" w:eastAsia="Times New Roman" w:hAnsi="Times New Roman" w:cs="Times New Roman"/>
          <w:b/>
          <w:bCs/>
          <w:sz w:val="24"/>
          <w:szCs w:val="24"/>
          <w:u w:val="single"/>
        </w:rPr>
        <w:t xml:space="preserve"> &amp; Another V Kenya</w:t>
      </w:r>
      <w:r w:rsidRPr="008447E1">
        <w:rPr>
          <w:rFonts w:ascii="Times New Roman" w:eastAsia="Times New Roman" w:hAnsi="Times New Roman" w:cs="Times New Roman"/>
          <w:sz w:val="24"/>
          <w:szCs w:val="24"/>
          <w:u w:val="single"/>
        </w:rPr>
        <w:t> </w:t>
      </w:r>
      <w:r w:rsidRPr="008447E1">
        <w:rPr>
          <w:rFonts w:ascii="Times New Roman" w:eastAsia="Times New Roman" w:hAnsi="Times New Roman" w:cs="Times New Roman"/>
          <w:b/>
          <w:bCs/>
          <w:sz w:val="24"/>
          <w:szCs w:val="24"/>
          <w:u w:val="single"/>
        </w:rPr>
        <w:t xml:space="preserve">Commercial Bank &amp; Others [2012] </w:t>
      </w:r>
      <w:proofErr w:type="spellStart"/>
      <w:r w:rsidRPr="008447E1">
        <w:rPr>
          <w:rFonts w:ascii="Times New Roman" w:eastAsia="Times New Roman" w:hAnsi="Times New Roman" w:cs="Times New Roman"/>
          <w:b/>
          <w:bCs/>
          <w:sz w:val="24"/>
          <w:szCs w:val="24"/>
          <w:u w:val="single"/>
        </w:rPr>
        <w:t>eKLR</w:t>
      </w:r>
      <w:proofErr w:type="spellEnd"/>
      <w:r w:rsidRPr="008447E1">
        <w:rPr>
          <w:rFonts w:ascii="Times New Roman" w:eastAsia="Times New Roman" w:hAnsi="Times New Roman" w:cs="Times New Roman"/>
          <w:sz w:val="24"/>
          <w:szCs w:val="24"/>
        </w:rPr>
        <w:t> that:</w:t>
      </w:r>
    </w:p>
    <w:p w14:paraId="2859A1BC" w14:textId="77777777" w:rsidR="00CF536E" w:rsidRPr="008447E1" w:rsidRDefault="00CF536E" w:rsidP="00CF536E">
      <w:pPr>
        <w:shd w:val="clear" w:color="auto" w:fill="FFFFFF"/>
        <w:spacing w:after="150" w:line="324" w:lineRule="atLeast"/>
        <w:ind w:left="600"/>
        <w:jc w:val="both"/>
        <w:rPr>
          <w:rFonts w:ascii="Times New Roman" w:eastAsia="Times New Roman" w:hAnsi="Times New Roman" w:cs="Times New Roman"/>
          <w:sz w:val="24"/>
          <w:szCs w:val="24"/>
        </w:rPr>
      </w:pPr>
      <w:r w:rsidRPr="008447E1">
        <w:rPr>
          <w:rFonts w:ascii="Times New Roman" w:eastAsia="Times New Roman" w:hAnsi="Times New Roman" w:cs="Times New Roman"/>
          <w:bCs/>
          <w:sz w:val="24"/>
          <w:szCs w:val="24"/>
        </w:rPr>
        <w:t>“Retrospective law is not unconstitutional unless it:</w:t>
      </w:r>
    </w:p>
    <w:p w14:paraId="119E8204" w14:textId="77777777" w:rsidR="00CF536E" w:rsidRPr="008447E1" w:rsidRDefault="00CF536E" w:rsidP="00CF536E">
      <w:pPr>
        <w:numPr>
          <w:ilvl w:val="0"/>
          <w:numId w:val="12"/>
        </w:numPr>
        <w:shd w:val="clear" w:color="auto" w:fill="FFFFFF"/>
        <w:spacing w:before="100" w:beforeAutospacing="1" w:after="100" w:afterAutospacing="1" w:line="300" w:lineRule="atLeast"/>
        <w:ind w:left="375"/>
        <w:jc w:val="both"/>
        <w:rPr>
          <w:rFonts w:ascii="Times New Roman" w:eastAsia="Times New Roman" w:hAnsi="Times New Roman" w:cs="Times New Roman"/>
          <w:sz w:val="24"/>
          <w:szCs w:val="24"/>
        </w:rPr>
      </w:pPr>
      <w:r w:rsidRPr="008447E1">
        <w:rPr>
          <w:rFonts w:ascii="Times New Roman" w:eastAsia="Times New Roman" w:hAnsi="Times New Roman" w:cs="Times New Roman"/>
          <w:bCs/>
          <w:sz w:val="24"/>
          <w:szCs w:val="24"/>
        </w:rPr>
        <w:t>is in the nature of a bill of attainder;</w:t>
      </w:r>
    </w:p>
    <w:p w14:paraId="08EE8955" w14:textId="77777777" w:rsidR="00CF536E" w:rsidRPr="008447E1" w:rsidRDefault="00CF536E" w:rsidP="00CF536E">
      <w:pPr>
        <w:numPr>
          <w:ilvl w:val="0"/>
          <w:numId w:val="12"/>
        </w:numPr>
        <w:shd w:val="clear" w:color="auto" w:fill="FFFFFF"/>
        <w:spacing w:before="100" w:beforeAutospacing="1" w:after="100" w:afterAutospacing="1" w:line="300" w:lineRule="atLeast"/>
        <w:ind w:left="375"/>
        <w:jc w:val="both"/>
        <w:rPr>
          <w:rFonts w:ascii="Times New Roman" w:eastAsia="Times New Roman" w:hAnsi="Times New Roman" w:cs="Times New Roman"/>
          <w:sz w:val="24"/>
          <w:szCs w:val="24"/>
        </w:rPr>
      </w:pPr>
      <w:r w:rsidRPr="008447E1">
        <w:rPr>
          <w:rFonts w:ascii="Times New Roman" w:eastAsia="Times New Roman" w:hAnsi="Times New Roman" w:cs="Times New Roman"/>
          <w:bCs/>
          <w:sz w:val="24"/>
          <w:szCs w:val="24"/>
        </w:rPr>
        <w:t>impairs the obligation under contracts;</w:t>
      </w:r>
    </w:p>
    <w:p w14:paraId="421725FF" w14:textId="77777777" w:rsidR="00CF536E" w:rsidRPr="008447E1" w:rsidRDefault="00CF536E" w:rsidP="00CF536E">
      <w:pPr>
        <w:numPr>
          <w:ilvl w:val="0"/>
          <w:numId w:val="12"/>
        </w:numPr>
        <w:shd w:val="clear" w:color="auto" w:fill="FFFFFF"/>
        <w:spacing w:before="100" w:beforeAutospacing="1" w:after="100" w:afterAutospacing="1" w:line="300" w:lineRule="atLeast"/>
        <w:ind w:left="375"/>
        <w:jc w:val="both"/>
        <w:rPr>
          <w:rFonts w:ascii="Times New Roman" w:eastAsia="Times New Roman" w:hAnsi="Times New Roman" w:cs="Times New Roman"/>
          <w:sz w:val="24"/>
          <w:szCs w:val="24"/>
        </w:rPr>
      </w:pPr>
      <w:r w:rsidRPr="008447E1">
        <w:rPr>
          <w:rFonts w:ascii="Times New Roman" w:eastAsia="Times New Roman" w:hAnsi="Times New Roman" w:cs="Times New Roman"/>
          <w:bCs/>
          <w:sz w:val="24"/>
          <w:szCs w:val="24"/>
        </w:rPr>
        <w:t>divests vested rights; or</w:t>
      </w:r>
    </w:p>
    <w:p w14:paraId="0D19703F" w14:textId="77777777" w:rsidR="00CF536E" w:rsidRPr="008447E1" w:rsidRDefault="00CF536E" w:rsidP="00CF536E">
      <w:pPr>
        <w:numPr>
          <w:ilvl w:val="0"/>
          <w:numId w:val="12"/>
        </w:numPr>
        <w:shd w:val="clear" w:color="auto" w:fill="FFFFFF"/>
        <w:spacing w:before="100" w:beforeAutospacing="1" w:after="100" w:afterAutospacing="1" w:line="300" w:lineRule="atLeast"/>
        <w:ind w:left="375"/>
        <w:jc w:val="both"/>
        <w:rPr>
          <w:rFonts w:ascii="Times New Roman" w:eastAsia="Times New Roman" w:hAnsi="Times New Roman" w:cs="Times New Roman"/>
          <w:sz w:val="24"/>
          <w:szCs w:val="24"/>
        </w:rPr>
      </w:pPr>
      <w:r w:rsidRPr="008447E1">
        <w:rPr>
          <w:rFonts w:ascii="Times New Roman" w:eastAsia="Times New Roman" w:hAnsi="Times New Roman" w:cs="Times New Roman"/>
          <w:bCs/>
          <w:sz w:val="24"/>
          <w:szCs w:val="24"/>
        </w:rPr>
        <w:t>is constitutionally forbidden.”</w:t>
      </w:r>
    </w:p>
    <w:p w14:paraId="23F3D4BD" w14:textId="77777777" w:rsidR="00CF536E" w:rsidRPr="008447E1" w:rsidRDefault="00CF536E" w:rsidP="00CF536E">
      <w:pPr>
        <w:shd w:val="clear" w:color="auto" w:fill="FFFFFF"/>
        <w:spacing w:before="100" w:beforeAutospacing="1" w:after="100" w:afterAutospacing="1" w:line="300" w:lineRule="atLeast"/>
        <w:ind w:left="15"/>
        <w:jc w:val="both"/>
        <w:rPr>
          <w:rFonts w:ascii="Times New Roman" w:eastAsia="Times New Roman" w:hAnsi="Times New Roman" w:cs="Times New Roman"/>
          <w:sz w:val="24"/>
          <w:szCs w:val="24"/>
        </w:rPr>
      </w:pPr>
      <w:r w:rsidRPr="008447E1">
        <w:rPr>
          <w:rFonts w:ascii="Times New Roman" w:eastAsia="Times New Roman" w:hAnsi="Times New Roman" w:cs="Times New Roman"/>
          <w:sz w:val="24"/>
          <w:szCs w:val="24"/>
        </w:rPr>
        <w:t>While the question as to whether </w:t>
      </w:r>
      <w:r w:rsidRPr="008447E1">
        <w:rPr>
          <w:rFonts w:ascii="Times New Roman" w:eastAsia="Times New Roman" w:hAnsi="Times New Roman" w:cs="Times New Roman"/>
          <w:b/>
          <w:bCs/>
          <w:sz w:val="24"/>
          <w:szCs w:val="24"/>
        </w:rPr>
        <w:t>section 78 (1) </w:t>
      </w:r>
      <w:r w:rsidRPr="008447E1">
        <w:rPr>
          <w:rFonts w:ascii="Times New Roman" w:eastAsia="Times New Roman" w:hAnsi="Times New Roman" w:cs="Times New Roman"/>
          <w:sz w:val="24"/>
          <w:szCs w:val="24"/>
        </w:rPr>
        <w:t>of the</w:t>
      </w:r>
      <w:r w:rsidRPr="008447E1">
        <w:rPr>
          <w:rFonts w:ascii="Times New Roman" w:eastAsia="Times New Roman" w:hAnsi="Times New Roman" w:cs="Times New Roman"/>
          <w:b/>
          <w:bCs/>
          <w:sz w:val="24"/>
          <w:szCs w:val="24"/>
        </w:rPr>
        <w:t> Land Act, 2012</w:t>
      </w:r>
      <w:r w:rsidRPr="008447E1">
        <w:rPr>
          <w:rFonts w:ascii="Times New Roman" w:eastAsia="Times New Roman" w:hAnsi="Times New Roman" w:cs="Times New Roman"/>
          <w:sz w:val="24"/>
          <w:szCs w:val="24"/>
        </w:rPr>
        <w:t> operates retrospectively or not   must await determination by the trial court, all   we can say at this junctu</w:t>
      </w:r>
      <w:r>
        <w:rPr>
          <w:rFonts w:ascii="Times New Roman" w:eastAsia="Times New Roman" w:hAnsi="Times New Roman" w:cs="Times New Roman"/>
          <w:sz w:val="24"/>
          <w:szCs w:val="24"/>
        </w:rPr>
        <w:t xml:space="preserve">re is that the appellant did </w:t>
      </w:r>
      <w:r w:rsidRPr="008447E1">
        <w:rPr>
          <w:rFonts w:ascii="Times New Roman" w:eastAsia="Times New Roman" w:hAnsi="Times New Roman" w:cs="Times New Roman"/>
          <w:sz w:val="24"/>
          <w:szCs w:val="24"/>
        </w:rPr>
        <w:t>not est</w:t>
      </w:r>
      <w:r>
        <w:rPr>
          <w:rFonts w:ascii="Times New Roman" w:eastAsia="Times New Roman" w:hAnsi="Times New Roman" w:cs="Times New Roman"/>
          <w:sz w:val="24"/>
          <w:szCs w:val="24"/>
        </w:rPr>
        <w:t>ablish that the learned judge exercised his</w:t>
      </w:r>
      <w:r w:rsidRPr="008447E1">
        <w:rPr>
          <w:rFonts w:ascii="Times New Roman" w:eastAsia="Times New Roman" w:hAnsi="Times New Roman" w:cs="Times New Roman"/>
          <w:sz w:val="24"/>
          <w:szCs w:val="24"/>
        </w:rPr>
        <w:t xml:space="preserve"> discretion erroneousl</w:t>
      </w:r>
      <w:r>
        <w:rPr>
          <w:rFonts w:ascii="Times New Roman" w:eastAsia="Times New Roman" w:hAnsi="Times New Roman" w:cs="Times New Roman"/>
          <w:sz w:val="24"/>
          <w:szCs w:val="24"/>
        </w:rPr>
        <w:t xml:space="preserve">y in rejecting her contention </w:t>
      </w:r>
      <w:r w:rsidRPr="008447E1">
        <w:rPr>
          <w:rFonts w:ascii="Times New Roman" w:eastAsia="Times New Roman" w:hAnsi="Times New Roman" w:cs="Times New Roman"/>
          <w:sz w:val="24"/>
          <w:szCs w:val="24"/>
        </w:rPr>
        <w:t>that her consent</w:t>
      </w:r>
      <w:r>
        <w:rPr>
          <w:rFonts w:ascii="Times New Roman" w:eastAsia="Times New Roman" w:hAnsi="Times New Roman" w:cs="Times New Roman"/>
          <w:sz w:val="24"/>
          <w:szCs w:val="24"/>
        </w:rPr>
        <w:t xml:space="preserve"> was required before the suit</w:t>
      </w:r>
      <w:r w:rsidRPr="008447E1">
        <w:rPr>
          <w:rFonts w:ascii="Times New Roman" w:eastAsia="Times New Roman" w:hAnsi="Times New Roman" w:cs="Times New Roman"/>
          <w:sz w:val="24"/>
          <w:szCs w:val="24"/>
        </w:rPr>
        <w:t xml:space="preserve"> properties could be charged to the 2</w:t>
      </w:r>
      <w:r w:rsidRPr="008447E1">
        <w:rPr>
          <w:rFonts w:ascii="Times New Roman" w:eastAsia="Times New Roman" w:hAnsi="Times New Roman" w:cs="Times New Roman"/>
          <w:sz w:val="24"/>
          <w:szCs w:val="24"/>
          <w:vertAlign w:val="superscript"/>
        </w:rPr>
        <w:t>nd</w:t>
      </w:r>
      <w:r w:rsidRPr="008447E1">
        <w:rPr>
          <w:rFonts w:ascii="Times New Roman" w:eastAsia="Times New Roman" w:hAnsi="Times New Roman" w:cs="Times New Roman"/>
          <w:sz w:val="24"/>
          <w:szCs w:val="24"/>
        </w:rPr>
        <w:t> respondent.</w:t>
      </w:r>
      <w:r>
        <w:rPr>
          <w:rFonts w:ascii="Times New Roman" w:eastAsia="Times New Roman" w:hAnsi="Times New Roman" w:cs="Times New Roman"/>
          <w:sz w:val="24"/>
          <w:szCs w:val="24"/>
        </w:rPr>
        <w:t xml:space="preserve"> </w:t>
      </w:r>
      <w:r w:rsidRPr="008447E1">
        <w:rPr>
          <w:rFonts w:ascii="Times New Roman" w:eastAsia="Times New Roman" w:hAnsi="Times New Roman" w:cs="Times New Roman"/>
          <w:sz w:val="24"/>
          <w:szCs w:val="24"/>
        </w:rPr>
        <w:t>All in all, we find this application lacking in merit and dismiss it with costs to the 2</w:t>
      </w:r>
      <w:r w:rsidRPr="008447E1">
        <w:rPr>
          <w:rFonts w:ascii="Times New Roman" w:eastAsia="Times New Roman" w:hAnsi="Times New Roman" w:cs="Times New Roman"/>
          <w:sz w:val="24"/>
          <w:szCs w:val="24"/>
          <w:vertAlign w:val="superscript"/>
        </w:rPr>
        <w:t>nd</w:t>
      </w:r>
      <w:r w:rsidRPr="008447E1">
        <w:rPr>
          <w:rFonts w:ascii="Times New Roman" w:eastAsia="Times New Roman" w:hAnsi="Times New Roman" w:cs="Times New Roman"/>
          <w:sz w:val="24"/>
          <w:szCs w:val="24"/>
        </w:rPr>
        <w:t> respondent.</w:t>
      </w:r>
    </w:p>
    <w:p w14:paraId="5C3524CF" w14:textId="77777777" w:rsidR="00CF536E" w:rsidRDefault="00CF536E" w:rsidP="00CF536E">
      <w:pPr>
        <w:jc w:val="both"/>
        <w:rPr>
          <w:rFonts w:ascii="Times New Roman" w:hAnsi="Times New Roman" w:cs="Times New Roman"/>
          <w:sz w:val="24"/>
          <w:szCs w:val="24"/>
        </w:rPr>
      </w:pPr>
    </w:p>
    <w:p w14:paraId="7DD20458" w14:textId="77777777" w:rsidR="00CF536E" w:rsidRPr="00A26FC9" w:rsidRDefault="00CF536E" w:rsidP="00CF536E">
      <w:pPr>
        <w:jc w:val="both"/>
        <w:rPr>
          <w:rFonts w:ascii="Times New Roman" w:hAnsi="Times New Roman" w:cs="Times New Roman"/>
          <w:sz w:val="24"/>
          <w:szCs w:val="24"/>
        </w:rPr>
      </w:pPr>
    </w:p>
    <w:p w14:paraId="5114D570" w14:textId="77777777" w:rsidR="00CF536E" w:rsidRPr="00756CB9" w:rsidRDefault="00CF536E" w:rsidP="004D39C1">
      <w:pPr>
        <w:pStyle w:val="NormalWeb"/>
        <w:spacing w:before="0" w:beforeAutospacing="0" w:after="200" w:afterAutospacing="0" w:line="360" w:lineRule="auto"/>
        <w:jc w:val="both"/>
      </w:pPr>
    </w:p>
    <w:sectPr w:rsidR="00CF536E" w:rsidRPr="00756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56ECA"/>
    <w:multiLevelType w:val="hybridMultilevel"/>
    <w:tmpl w:val="2A6A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401800"/>
    <w:multiLevelType w:val="multilevel"/>
    <w:tmpl w:val="CBF284C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2A7742BA"/>
    <w:multiLevelType w:val="hybridMultilevel"/>
    <w:tmpl w:val="07C43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F96B18"/>
    <w:multiLevelType w:val="hybridMultilevel"/>
    <w:tmpl w:val="57048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315124"/>
    <w:multiLevelType w:val="hybridMultilevel"/>
    <w:tmpl w:val="711A87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A03BF3"/>
    <w:multiLevelType w:val="hybridMultilevel"/>
    <w:tmpl w:val="96E0B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5A0792"/>
    <w:multiLevelType w:val="multilevel"/>
    <w:tmpl w:val="436AC11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4F1E01FA"/>
    <w:multiLevelType w:val="hybridMultilevel"/>
    <w:tmpl w:val="32AA35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247D2F"/>
    <w:multiLevelType w:val="hybridMultilevel"/>
    <w:tmpl w:val="0352A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94B5A"/>
    <w:multiLevelType w:val="multilevel"/>
    <w:tmpl w:val="1AD0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FE3D01"/>
    <w:multiLevelType w:val="multilevel"/>
    <w:tmpl w:val="35927FF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77652289"/>
    <w:multiLevelType w:val="hybridMultilevel"/>
    <w:tmpl w:val="711A87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7"/>
  </w:num>
  <w:num w:numId="3">
    <w:abstractNumId w:val="11"/>
  </w:num>
  <w:num w:numId="4">
    <w:abstractNumId w:val="3"/>
  </w:num>
  <w:num w:numId="5">
    <w:abstractNumId w:val="0"/>
  </w:num>
  <w:num w:numId="6">
    <w:abstractNumId w:val="5"/>
  </w:num>
  <w:num w:numId="7">
    <w:abstractNumId w:val="8"/>
  </w:num>
  <w:num w:numId="8">
    <w:abstractNumId w:val="2"/>
  </w:num>
  <w:num w:numId="9">
    <w:abstractNumId w:val="1"/>
  </w:num>
  <w:num w:numId="10">
    <w:abstractNumId w:val="10"/>
    <w:lvlOverride w:ilvl="0">
      <w:startOverride w:val="2"/>
    </w:lvlOverride>
  </w:num>
  <w:num w:numId="11">
    <w:abstractNumId w:val="9"/>
    <w:lvlOverride w:ilvl="0">
      <w:startOverride w:val="27"/>
    </w:lvlOverride>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67F"/>
    <w:rsid w:val="00085DC4"/>
    <w:rsid w:val="000C0DE3"/>
    <w:rsid w:val="002E7A8E"/>
    <w:rsid w:val="003365BD"/>
    <w:rsid w:val="004C3193"/>
    <w:rsid w:val="004D39C1"/>
    <w:rsid w:val="0061424B"/>
    <w:rsid w:val="00651FA9"/>
    <w:rsid w:val="00697256"/>
    <w:rsid w:val="006C5D77"/>
    <w:rsid w:val="007166E7"/>
    <w:rsid w:val="00727879"/>
    <w:rsid w:val="00756CB9"/>
    <w:rsid w:val="00782F9E"/>
    <w:rsid w:val="007A24ED"/>
    <w:rsid w:val="008476BD"/>
    <w:rsid w:val="00B131A5"/>
    <w:rsid w:val="00B3111D"/>
    <w:rsid w:val="00B9067F"/>
    <w:rsid w:val="00BB1876"/>
    <w:rsid w:val="00CD141A"/>
    <w:rsid w:val="00CF536E"/>
    <w:rsid w:val="00E66B48"/>
    <w:rsid w:val="00F457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AC12"/>
  <w15:chartTrackingRefBased/>
  <w15:docId w15:val="{1959F7CB-2D5D-4F01-9319-2030686F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67F"/>
    <w:rPr>
      <w:rFonts w:ascii="Calibri" w:eastAsia="Calibri" w:hAnsi="Calibri" w:cs="Calibri"/>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067F"/>
    <w:pPr>
      <w:spacing w:after="0" w:line="240" w:lineRule="auto"/>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85D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5DC4"/>
    <w:rPr>
      <w:b/>
      <w:bCs/>
    </w:rPr>
  </w:style>
  <w:style w:type="character" w:styleId="Emphasis">
    <w:name w:val="Emphasis"/>
    <w:basedOn w:val="DefaultParagraphFont"/>
    <w:uiPriority w:val="20"/>
    <w:qFormat/>
    <w:rsid w:val="00BB1876"/>
    <w:rPr>
      <w:i/>
      <w:iCs/>
    </w:rPr>
  </w:style>
  <w:style w:type="paragraph" w:styleId="ListParagraph">
    <w:name w:val="List Paragraph"/>
    <w:basedOn w:val="Normal"/>
    <w:uiPriority w:val="34"/>
    <w:qFormat/>
    <w:rsid w:val="00CF536E"/>
    <w:pPr>
      <w:ind w:left="720"/>
      <w:contextualSpacing/>
    </w:pPr>
    <w:rPr>
      <w:rFonts w:asciiTheme="minorHAnsi" w:eastAsiaTheme="minorHAnsi"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15444">
      <w:bodyDiv w:val="1"/>
      <w:marLeft w:val="0"/>
      <w:marRight w:val="0"/>
      <w:marTop w:val="0"/>
      <w:marBottom w:val="0"/>
      <w:divBdr>
        <w:top w:val="none" w:sz="0" w:space="0" w:color="auto"/>
        <w:left w:val="none" w:sz="0" w:space="0" w:color="auto"/>
        <w:bottom w:val="none" w:sz="0" w:space="0" w:color="auto"/>
        <w:right w:val="none" w:sz="0" w:space="0" w:color="auto"/>
      </w:divBdr>
    </w:div>
    <w:div w:id="2133088992">
      <w:bodyDiv w:val="1"/>
      <w:marLeft w:val="0"/>
      <w:marRight w:val="0"/>
      <w:marTop w:val="0"/>
      <w:marBottom w:val="0"/>
      <w:divBdr>
        <w:top w:val="none" w:sz="0" w:space="0" w:color="auto"/>
        <w:left w:val="none" w:sz="0" w:space="0" w:color="auto"/>
        <w:bottom w:val="none" w:sz="0" w:space="0" w:color="auto"/>
        <w:right w:val="none" w:sz="0" w:space="0" w:color="auto"/>
      </w:divBdr>
    </w:div>
    <w:div w:id="214272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3.wdp"/><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jpeg"/><Relationship Id="rId12" Type="http://schemas.openxmlformats.org/officeDocument/2006/relationships/image" Target="media/image5.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file:///C:\var\folders\vr\1nchqjwn5t34clmr76fc2x880000gn\T\com.microsoft.Word\WebArchiveCopyPasteTempFiles\page1image31166944" TargetMode="External"/><Relationship Id="rId11" Type="http://schemas.microsoft.com/office/2007/relationships/hdphoto" Target="media/hdphoto2.wdp"/><Relationship Id="rId5" Type="http://schemas.openxmlformats.org/officeDocument/2006/relationships/image" Target="media/image1.jpeg"/><Relationship Id="rId15" Type="http://schemas.microsoft.com/office/2007/relationships/hdphoto" Target="media/hdphoto4.wdp"/><Relationship Id="rId23" Type="http://schemas.openxmlformats.org/officeDocument/2006/relationships/theme" Target="theme/theme1.xml"/><Relationship Id="rId10" Type="http://schemas.openxmlformats.org/officeDocument/2006/relationships/image" Target="media/image4.png"/><Relationship Id="rId19" Type="http://schemas.microsoft.com/office/2007/relationships/hdphoto" Target="media/hdphoto6.wdp"/><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12</Pages>
  <Words>3871</Words>
  <Characters>22067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kagwe</dc:creator>
  <cp:keywords/>
  <dc:description/>
  <cp:lastModifiedBy>hp</cp:lastModifiedBy>
  <cp:revision>4</cp:revision>
  <dcterms:created xsi:type="dcterms:W3CDTF">2022-10-04T06:46:00Z</dcterms:created>
  <dcterms:modified xsi:type="dcterms:W3CDTF">2022-10-04T12:52:00Z</dcterms:modified>
</cp:coreProperties>
</file>