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rPr>
        <w:drawing>
          <wp:inline distB="0" distT="0" distL="0" distR="0">
            <wp:extent cx="1676847" cy="1868716"/>
            <wp:effectExtent b="0" l="0" r="0" t="0"/>
            <wp:docPr descr="Kenya School of Law eLearning" id="2" name="image1.jpg"/>
            <a:graphic>
              <a:graphicData uri="http://schemas.openxmlformats.org/drawingml/2006/picture">
                <pic:pic>
                  <pic:nvPicPr>
                    <pic:cNvPr descr="Kenya School of Law eLearning" id="0" name="image1.jpg"/>
                    <pic:cNvPicPr preferRelativeResize="0"/>
                  </pic:nvPicPr>
                  <pic:blipFill>
                    <a:blip r:embed="rId7"/>
                    <a:srcRect b="0" l="0" r="0" t="0"/>
                    <a:stretch>
                      <a:fillRect/>
                    </a:stretch>
                  </pic:blipFill>
                  <pic:spPr>
                    <a:xfrm>
                      <a:off x="0" y="0"/>
                      <a:ext cx="1676847" cy="186871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KENYA SCHOOL OF LAW</w:t>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ADVOCATES TRAINING PROGRAMME.</w:t>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ATP 108 - COMMERCIAL TRANSACTIONS</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CLASS E, FIRM 8</w:t>
      </w:r>
    </w:p>
    <w:p w:rsidR="00000000" w:rsidDel="00000000" w:rsidP="00000000" w:rsidRDefault="00000000" w:rsidRPr="00000000" w14:paraId="00000006">
      <w:pPr>
        <w:spacing w:line="48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Names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Mutiso Rachel Mulondu</w:t>
        <w:tab/>
        <w:tab/>
        <w:tab/>
        <w:tab/>
        <w:tab/>
        <w:t xml:space="preserve">20220454</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Koech Vincent Kipkirui</w:t>
        <w:tab/>
        <w:tab/>
        <w:tab/>
        <w:tab/>
        <w:tab/>
        <w:t xml:space="preserve">20221519</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Getrude Manga Washalla</w:t>
        <w:tab/>
        <w:tab/>
        <w:tab/>
        <w:tab/>
        <w:tab/>
        <w:t xml:space="preserve">20220416</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Mwita Griffin Mirumbe</w:t>
        <w:tab/>
        <w:tab/>
        <w:tab/>
        <w:tab/>
        <w:tab/>
        <w:t xml:space="preserve">20220736</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Muraguri Ashley Wanjiru</w:t>
        <w:tab/>
        <w:tab/>
        <w:tab/>
        <w:tab/>
        <w:tab/>
        <w:t xml:space="preserve">20220202</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Nderi Justin Mugera</w:t>
        <w:tab/>
        <w:tab/>
        <w:tab/>
        <w:tab/>
        <w:tab/>
        <w:tab/>
        <w:t xml:space="preserve">20221405</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Kyalo Samuel Mwendwa</w:t>
        <w:tab/>
        <w:tab/>
        <w:tab/>
        <w:tab/>
        <w:tab/>
        <w:t xml:space="preserve">20221562</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i w:val="1"/>
          <w:sz w:val="26"/>
          <w:szCs w:val="26"/>
          <w:u w:val="single"/>
          <w:rtl w:val="0"/>
        </w:rPr>
        <w:t xml:space="preserve">Telcom Kenya Limited &amp; another v Competition Authority of Kenya</w:t>
      </w:r>
      <w:r w:rsidDel="00000000" w:rsidR="00000000" w:rsidRPr="00000000">
        <w:rPr>
          <w:rFonts w:ascii="Times New Roman" w:cs="Times New Roman" w:eastAsia="Times New Roman" w:hAnsi="Times New Roman"/>
          <w:b w:val="1"/>
          <w:sz w:val="26"/>
          <w:szCs w:val="26"/>
          <w:u w:val="single"/>
          <w:rtl w:val="0"/>
        </w:rPr>
        <w:t xml:space="preserve"> [2020] eKLR</w:t>
      </w:r>
    </w:p>
    <w:p w:rsidR="00000000" w:rsidDel="00000000" w:rsidP="00000000" w:rsidRDefault="00000000" w:rsidRPr="00000000" w14:paraId="00000010">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Introduction</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in this case are Telcom Kenya Limited as the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appellant, Airtel Networks Kenya Limited as the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appellant and Competition Authority of Kenya as the respondent.</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appellants appealed the decision of the respondent to the Competition Tribunal. The Competition Tribunal comprised of Stephen Kipkenda who was the Chairperson, Kimani Muhoro-member, Rebecca Mogire-member, Dr. Destaings Nyongesa-member and Valentine Mwende-member.</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and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appellants are companies incorporated in Kenya which provide mobile telecommunications connectivity and a variety of telecom and other services. The respondent is a State Corporation established under the Competition Act No.12 of 2010 and has a wide mandate on matters of competition law and policy under the Act. For the purposes of this appeal, the respondent’s mandate is to control mergers through approvals of proposed mergers with or without conditions as set out under the Competition Act, CAP 504.</w:t>
      </w:r>
    </w:p>
    <w:p w:rsidR="00000000" w:rsidDel="00000000" w:rsidP="00000000" w:rsidRDefault="00000000" w:rsidRPr="00000000" w14:paraId="00000014">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Facts</w:t>
      </w:r>
    </w:p>
    <w:p w:rsidR="00000000" w:rsidDel="00000000" w:rsidP="00000000" w:rsidRDefault="00000000" w:rsidRPr="00000000" w14:paraId="00000015">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proposed merger between the appellants contained in the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Appellant’s </w:t>
      </w:r>
      <w:r w:rsidDel="00000000" w:rsidR="00000000" w:rsidRPr="00000000">
        <w:rPr>
          <w:rFonts w:ascii="Times New Roman" w:cs="Times New Roman" w:eastAsia="Times New Roman" w:hAnsi="Times New Roman"/>
          <w:i w:val="1"/>
          <w:sz w:val="24"/>
          <w:szCs w:val="24"/>
          <w:rtl w:val="0"/>
        </w:rPr>
        <w:t xml:space="preserve">Merger Notification Form dated 9</w:t>
      </w:r>
      <w:r w:rsidDel="00000000" w:rsidR="00000000" w:rsidRPr="00000000">
        <w:rPr>
          <w:rFonts w:ascii="Times New Roman" w:cs="Times New Roman" w:eastAsia="Times New Roman" w:hAnsi="Times New Roman"/>
          <w:i w:val="1"/>
          <w:sz w:val="24"/>
          <w:szCs w:val="24"/>
          <w:vertAlign w:val="superscript"/>
          <w:rtl w:val="0"/>
        </w:rPr>
        <w:t xml:space="preserve">th</w:t>
      </w:r>
      <w:r w:rsidDel="00000000" w:rsidR="00000000" w:rsidRPr="00000000">
        <w:rPr>
          <w:rFonts w:ascii="Times New Roman" w:cs="Times New Roman" w:eastAsia="Times New Roman" w:hAnsi="Times New Roman"/>
          <w:i w:val="1"/>
          <w:sz w:val="24"/>
          <w:szCs w:val="24"/>
          <w:rtl w:val="0"/>
        </w:rPr>
        <w:t xml:space="preserve"> May 2019. </w:t>
      </w: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Appellants had in the said Merger Notification sought the Respondent’s approval of the proposed merger in line with the Respondent’s Mandate under the </w:t>
      </w:r>
      <w:r w:rsidDel="00000000" w:rsidR="00000000" w:rsidRPr="00000000">
        <w:rPr>
          <w:rFonts w:ascii="Times New Roman" w:cs="Times New Roman" w:eastAsia="Times New Roman" w:hAnsi="Times New Roman"/>
          <w:b w:val="1"/>
          <w:i w:val="1"/>
          <w:sz w:val="24"/>
          <w:szCs w:val="24"/>
          <w:rtl w:val="0"/>
        </w:rPr>
        <w:t xml:space="preserve">Competition Act, No. 12 of 2010,</w:t>
      </w:r>
      <w:r w:rsidDel="00000000" w:rsidR="00000000" w:rsidRPr="00000000">
        <w:rPr>
          <w:rFonts w:ascii="Times New Roman" w:cs="Times New Roman" w:eastAsia="Times New Roman" w:hAnsi="Times New Roman"/>
          <w:sz w:val="24"/>
          <w:szCs w:val="24"/>
          <w:rtl w:val="0"/>
        </w:rPr>
        <w:t xml:space="preserve"> wherein the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Appellant sought to acquire the mobile operations, enterprise and Carrier services business of the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Appellant.</w:t>
      </w:r>
    </w:p>
    <w:p w:rsidR="00000000" w:rsidDel="00000000" w:rsidP="00000000" w:rsidRDefault="00000000" w:rsidRPr="00000000" w14:paraId="00000017">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t>
      </w:r>
      <w:r w:rsidDel="00000000" w:rsidR="00000000" w:rsidRPr="00000000">
        <w:rPr>
          <w:rFonts w:ascii="Times New Roman" w:cs="Times New Roman" w:eastAsia="Times New Roman" w:hAnsi="Times New Roman"/>
          <w:i w:val="1"/>
          <w:sz w:val="24"/>
          <w:szCs w:val="24"/>
          <w:rtl w:val="0"/>
        </w:rPr>
        <w:t xml:space="preserve">25</w:t>
      </w:r>
      <w:r w:rsidDel="00000000" w:rsidR="00000000" w:rsidRPr="00000000">
        <w:rPr>
          <w:rFonts w:ascii="Times New Roman" w:cs="Times New Roman" w:eastAsia="Times New Roman" w:hAnsi="Times New Roman"/>
          <w:i w:val="1"/>
          <w:sz w:val="24"/>
          <w:szCs w:val="24"/>
          <w:vertAlign w:val="superscript"/>
          <w:rtl w:val="0"/>
        </w:rPr>
        <w:t xml:space="preserve">th</w:t>
      </w:r>
      <w:r w:rsidDel="00000000" w:rsidR="00000000" w:rsidRPr="00000000">
        <w:rPr>
          <w:rFonts w:ascii="Times New Roman" w:cs="Times New Roman" w:eastAsia="Times New Roman" w:hAnsi="Times New Roman"/>
          <w:i w:val="1"/>
          <w:sz w:val="24"/>
          <w:szCs w:val="24"/>
          <w:rtl w:val="0"/>
        </w:rPr>
        <w:t xml:space="preserve"> October 2019</w:t>
      </w:r>
      <w:r w:rsidDel="00000000" w:rsidR="00000000" w:rsidRPr="00000000">
        <w:rPr>
          <w:rFonts w:ascii="Times New Roman" w:cs="Times New Roman" w:eastAsia="Times New Roman" w:hAnsi="Times New Roman"/>
          <w:sz w:val="24"/>
          <w:szCs w:val="24"/>
          <w:rtl w:val="0"/>
        </w:rPr>
        <w:t xml:space="preserve">, the Appellants and the Respondent held a meeting at the Respondent’s offices to discuss the conditions proposed to be imposed on the merged entity upon the approval of the proposed transaction.</w:t>
      </w:r>
    </w:p>
    <w:p w:rsidR="00000000" w:rsidDel="00000000" w:rsidP="00000000" w:rsidRDefault="00000000" w:rsidRPr="00000000" w14:paraId="00000018">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Respondent’s </w:t>
      </w:r>
      <w:r w:rsidDel="00000000" w:rsidR="00000000" w:rsidRPr="00000000">
        <w:rPr>
          <w:rFonts w:ascii="Times New Roman" w:cs="Times New Roman" w:eastAsia="Times New Roman" w:hAnsi="Times New Roman"/>
          <w:i w:val="1"/>
          <w:sz w:val="24"/>
          <w:szCs w:val="24"/>
          <w:rtl w:val="0"/>
        </w:rPr>
        <w:t xml:space="preserve">Notice of Merger Determination dated 31</w:t>
      </w:r>
      <w:r w:rsidDel="00000000" w:rsidR="00000000" w:rsidRPr="00000000">
        <w:rPr>
          <w:rFonts w:ascii="Times New Roman" w:cs="Times New Roman" w:eastAsia="Times New Roman" w:hAnsi="Times New Roman"/>
          <w:i w:val="1"/>
          <w:sz w:val="24"/>
          <w:szCs w:val="24"/>
          <w:vertAlign w:val="superscript"/>
          <w:rtl w:val="0"/>
        </w:rPr>
        <w:t xml:space="preserve">st</w:t>
      </w:r>
      <w:r w:rsidDel="00000000" w:rsidR="00000000" w:rsidRPr="00000000">
        <w:rPr>
          <w:rFonts w:ascii="Times New Roman" w:cs="Times New Roman" w:eastAsia="Times New Roman" w:hAnsi="Times New Roman"/>
          <w:i w:val="1"/>
          <w:sz w:val="24"/>
          <w:szCs w:val="24"/>
          <w:rtl w:val="0"/>
        </w:rPr>
        <w:t xml:space="preserve"> October 2019</w:t>
      </w:r>
      <w:r w:rsidDel="00000000" w:rsidR="00000000" w:rsidRPr="00000000">
        <w:rPr>
          <w:rFonts w:ascii="Times New Roman" w:cs="Times New Roman" w:eastAsia="Times New Roman" w:hAnsi="Times New Roman"/>
          <w:sz w:val="24"/>
          <w:szCs w:val="24"/>
          <w:rtl w:val="0"/>
        </w:rPr>
        <w:t xml:space="preserve">, the Respondent approved the proposed merger with the following conditions: -</w:t>
      </w:r>
    </w:p>
    <w:p w:rsidR="00000000" w:rsidDel="00000000" w:rsidP="00000000" w:rsidRDefault="00000000" w:rsidRPr="00000000" w14:paraId="00000019">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  The merged entity shall not sell or transfer the following Operating and Frequency Spectrum Licenses within the remaining duration of the licences;</w:t>
      </w:r>
      <w:r w:rsidDel="00000000" w:rsidR="00000000" w:rsidRPr="00000000">
        <w:rPr>
          <w:rtl w:val="0"/>
        </w:rPr>
      </w:r>
    </w:p>
    <w:p w:rsidR="00000000" w:rsidDel="00000000" w:rsidP="00000000" w:rsidRDefault="00000000" w:rsidRPr="00000000" w14:paraId="0000001A">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u w:val="single"/>
          <w:rtl w:val="0"/>
        </w:rPr>
        <w:t xml:space="preserve">Operating Licenses</w:t>
      </w:r>
      <w:r w:rsidDel="00000000" w:rsidR="00000000" w:rsidRPr="00000000">
        <w:rPr>
          <w:rtl w:val="0"/>
        </w:rPr>
      </w:r>
    </w:p>
    <w:p w:rsidR="00000000" w:rsidDel="00000000" w:rsidP="00000000" w:rsidRDefault="00000000" w:rsidRPr="00000000" w14:paraId="0000001B">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a.  Network Facility Provider –Tier 1-License No. TL/NFP/T1/00001</w:t>
      </w:r>
      <w:r w:rsidDel="00000000" w:rsidR="00000000" w:rsidRPr="00000000">
        <w:rPr>
          <w:rtl w:val="0"/>
        </w:rPr>
      </w:r>
    </w:p>
    <w:p w:rsidR="00000000" w:rsidDel="00000000" w:rsidP="00000000" w:rsidRDefault="00000000" w:rsidRPr="00000000" w14:paraId="0000001C">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b.  Applications Service Provider – License No. TL/ASP/00001</w:t>
      </w:r>
      <w:r w:rsidDel="00000000" w:rsidR="00000000" w:rsidRPr="00000000">
        <w:rPr>
          <w:rtl w:val="0"/>
        </w:rPr>
      </w:r>
    </w:p>
    <w:p w:rsidR="00000000" w:rsidDel="00000000" w:rsidP="00000000" w:rsidRDefault="00000000" w:rsidRPr="00000000" w14:paraId="0000001D">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c.  Content Service Provider License No TL/CSP/00001</w:t>
      </w:r>
      <w:r w:rsidDel="00000000" w:rsidR="00000000" w:rsidRPr="00000000">
        <w:rPr>
          <w:rtl w:val="0"/>
        </w:rPr>
      </w:r>
    </w:p>
    <w:p w:rsidR="00000000" w:rsidDel="00000000" w:rsidP="00000000" w:rsidRDefault="00000000" w:rsidRPr="00000000" w14:paraId="0000001E">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  International Systems and Services Provider – License No.   TL/ULF/IGS/00001</w:t>
      </w:r>
      <w:r w:rsidDel="00000000" w:rsidR="00000000" w:rsidRPr="00000000">
        <w:rPr>
          <w:rtl w:val="0"/>
        </w:rPr>
      </w:r>
    </w:p>
    <w:p w:rsidR="00000000" w:rsidDel="00000000" w:rsidP="00000000" w:rsidRDefault="00000000" w:rsidRPr="00000000" w14:paraId="0000001F">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  Submarine Cable Landing- License No. TL/SCR/00003</w:t>
      </w:r>
      <w:r w:rsidDel="00000000" w:rsidR="00000000" w:rsidRPr="00000000">
        <w:rPr>
          <w:rtl w:val="0"/>
        </w:rPr>
      </w:r>
    </w:p>
    <w:p w:rsidR="00000000" w:rsidDel="00000000" w:rsidP="00000000" w:rsidRDefault="00000000" w:rsidRPr="00000000" w14:paraId="00000020">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u w:val="single"/>
          <w:rtl w:val="0"/>
        </w:rPr>
        <w:t xml:space="preserve">Frequency Spectrum Licenses</w:t>
      </w:r>
      <w:r w:rsidDel="00000000" w:rsidR="00000000" w:rsidRPr="00000000">
        <w:rPr>
          <w:rtl w:val="0"/>
        </w:rPr>
      </w:r>
    </w:p>
    <w:p w:rsidR="00000000" w:rsidDel="00000000" w:rsidP="00000000" w:rsidRDefault="00000000" w:rsidRPr="00000000" w14:paraId="00000021">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  800MHZ- License No. FL/0008</w:t>
      </w:r>
      <w:r w:rsidDel="00000000" w:rsidR="00000000" w:rsidRPr="00000000">
        <w:rPr>
          <w:rtl w:val="0"/>
        </w:rPr>
      </w:r>
    </w:p>
    <w:p w:rsidR="00000000" w:rsidDel="00000000" w:rsidP="00000000" w:rsidRDefault="00000000" w:rsidRPr="00000000" w14:paraId="00000022">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  900MHZ- License No. FL/0009</w:t>
      </w:r>
      <w:r w:rsidDel="00000000" w:rsidR="00000000" w:rsidRPr="00000000">
        <w:rPr>
          <w:rtl w:val="0"/>
        </w:rPr>
      </w:r>
    </w:p>
    <w:p w:rsidR="00000000" w:rsidDel="00000000" w:rsidP="00000000" w:rsidRDefault="00000000" w:rsidRPr="00000000" w14:paraId="00000023">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  1800MHZ- License No. FL/001/002</w:t>
      </w:r>
      <w:r w:rsidDel="00000000" w:rsidR="00000000" w:rsidRPr="00000000">
        <w:rPr>
          <w:rtl w:val="0"/>
        </w:rPr>
      </w:r>
    </w:p>
    <w:p w:rsidR="00000000" w:rsidDel="00000000" w:rsidP="00000000" w:rsidRDefault="00000000" w:rsidRPr="00000000" w14:paraId="00000024">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  2100MHZ- License No. FL/001/002</w:t>
      </w:r>
      <w:r w:rsidDel="00000000" w:rsidR="00000000" w:rsidRPr="00000000">
        <w:rPr>
          <w:rtl w:val="0"/>
        </w:rPr>
      </w:r>
    </w:p>
    <w:p w:rsidR="00000000" w:rsidDel="00000000" w:rsidP="00000000" w:rsidRDefault="00000000" w:rsidRPr="00000000" w14:paraId="00000025">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ii.  Upon expiry of the term of the merged entities’ operating license, the spectrum in the 900 MHZ and 1800 MHZ acquired from Telkom shall revert back to the Government of Kenya (GoK);</w:t>
      </w:r>
      <w:r w:rsidDel="00000000" w:rsidR="00000000" w:rsidRPr="00000000">
        <w:rPr>
          <w:rtl w:val="0"/>
        </w:rPr>
      </w:r>
    </w:p>
    <w:p w:rsidR="00000000" w:rsidDel="00000000" w:rsidP="00000000" w:rsidRDefault="00000000" w:rsidRPr="00000000" w14:paraId="00000026">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iii.  The merged entity, or part of it, is restricted from entering into any form of sale agreement within the next five years. However, in the event of any indication of a failing firm within the period, the Communications Authority shall conduct a forensic cost of the merged entity;</w:t>
      </w:r>
      <w:r w:rsidDel="00000000" w:rsidR="00000000" w:rsidRPr="00000000">
        <w:rPr>
          <w:rtl w:val="0"/>
        </w:rPr>
      </w:r>
    </w:p>
    <w:p w:rsidR="00000000" w:rsidDel="00000000" w:rsidP="00000000" w:rsidRDefault="00000000" w:rsidRPr="00000000" w14:paraId="00000027">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iv.  The merged entity shall honor all the existing contractual terms with the Government of Kenya entities;</w:t>
      </w:r>
      <w:r w:rsidDel="00000000" w:rsidR="00000000" w:rsidRPr="00000000">
        <w:rPr>
          <w:rtl w:val="0"/>
        </w:rPr>
      </w:r>
    </w:p>
    <w:p w:rsidR="00000000" w:rsidDel="00000000" w:rsidP="00000000" w:rsidRDefault="00000000" w:rsidRPr="00000000" w14:paraId="00000028">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v.  The merged entity shall only access the 4,204 kms of the fibre managed by Telkom on behalf of the GoK at the current market rates and no preferential rates shall be accorded to them unless as provided for in existing contracts;</w:t>
      </w:r>
      <w:r w:rsidDel="00000000" w:rsidR="00000000" w:rsidRPr="00000000">
        <w:rPr>
          <w:rtl w:val="0"/>
        </w:rPr>
      </w:r>
    </w:p>
    <w:p w:rsidR="00000000" w:rsidDel="00000000" w:rsidP="00000000" w:rsidRDefault="00000000" w:rsidRPr="00000000" w14:paraId="00000029">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vi.  The merged entity shall not enjoy any preferential access to use capacity on the 4,204 kms of fibre managed by Telkom on behalf of Gok;</w:t>
      </w:r>
      <w:r w:rsidDel="00000000" w:rsidR="00000000" w:rsidRPr="00000000">
        <w:rPr>
          <w:rtl w:val="0"/>
        </w:rPr>
      </w:r>
    </w:p>
    <w:p w:rsidR="00000000" w:rsidDel="00000000" w:rsidP="00000000" w:rsidRDefault="00000000" w:rsidRPr="00000000" w14:paraId="0000002A">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vii.  The merged entity shall ensure that at least three hundred and forty nine (349) of the six hundred and seventy four (674) employees of the target are retained as follows:</w:t>
      </w:r>
      <w:r w:rsidDel="00000000" w:rsidR="00000000" w:rsidRPr="00000000">
        <w:rPr>
          <w:rtl w:val="0"/>
        </w:rPr>
      </w:r>
    </w:p>
    <w:p w:rsidR="00000000" w:rsidDel="00000000" w:rsidP="00000000" w:rsidRDefault="00000000" w:rsidRPr="00000000" w14:paraId="0000002B">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  120 employees by the merged entity for a period of two (2) years from the date of the implementation of the merger;</w:t>
      </w:r>
      <w:r w:rsidDel="00000000" w:rsidR="00000000" w:rsidRPr="00000000">
        <w:rPr>
          <w:rtl w:val="0"/>
        </w:rPr>
      </w:r>
    </w:p>
    <w:p w:rsidR="00000000" w:rsidDel="00000000" w:rsidP="00000000" w:rsidRDefault="00000000" w:rsidRPr="00000000" w14:paraId="0000002C">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  114 employees by Telkom Kenya Limited for a period of two years from the date of the implementation of the merger; and</w:t>
      </w:r>
      <w:r w:rsidDel="00000000" w:rsidR="00000000" w:rsidRPr="00000000">
        <w:rPr>
          <w:rtl w:val="0"/>
        </w:rPr>
      </w:r>
    </w:p>
    <w:p w:rsidR="00000000" w:rsidDel="00000000" w:rsidP="00000000" w:rsidRDefault="00000000" w:rsidRPr="00000000" w14:paraId="0000002D">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  115 employees to be absorbed by the network partners of the merged entity; and</w:t>
      </w:r>
      <w:r w:rsidDel="00000000" w:rsidR="00000000" w:rsidRPr="00000000">
        <w:rPr>
          <w:rtl w:val="0"/>
        </w:rPr>
      </w:r>
    </w:p>
    <w:p w:rsidR="00000000" w:rsidDel="00000000" w:rsidP="00000000" w:rsidRDefault="00000000" w:rsidRPr="00000000" w14:paraId="0000002E">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viii.  The merged entity to annually furnish the Authority with a detailed report on the compliance with the above conditions.</w:t>
      </w: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letter dated 19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November 2019 from the appellants advocates, the appellants expressed dissatisfaction with the respondent’s notice of merger determination arguing that they needed to discuss the proposed conditions with their principals before reverting to the authority. In the aforesaid letter, the appellants’ indicated that they were agreeable to conditions 4 and 8(subject to the period for condition 8 being defined), and that the parties had a number of concerns in relation to conditions 1,2,3,5,6 and 7 which concerns the appellants raised in the said letter.</w:t>
      </w:r>
    </w:p>
    <w:p w:rsidR="00000000" w:rsidDel="00000000" w:rsidP="00000000" w:rsidRDefault="00000000" w:rsidRPr="00000000" w14:paraId="00000030">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i w:val="1"/>
          <w:sz w:val="24"/>
          <w:szCs w:val="24"/>
          <w:vertAlign w:val="superscript"/>
          <w:rtl w:val="0"/>
        </w:rPr>
        <w:t xml:space="preserve">th</w:t>
      </w:r>
      <w:r w:rsidDel="00000000" w:rsidR="00000000" w:rsidRPr="00000000">
        <w:rPr>
          <w:rFonts w:ascii="Times New Roman" w:cs="Times New Roman" w:eastAsia="Times New Roman" w:hAnsi="Times New Roman"/>
          <w:i w:val="1"/>
          <w:sz w:val="24"/>
          <w:szCs w:val="24"/>
          <w:rtl w:val="0"/>
        </w:rPr>
        <w:t xml:space="preserve"> December 2019</w:t>
      </w:r>
      <w:r w:rsidDel="00000000" w:rsidR="00000000" w:rsidRPr="00000000">
        <w:rPr>
          <w:rFonts w:ascii="Times New Roman" w:cs="Times New Roman" w:eastAsia="Times New Roman" w:hAnsi="Times New Roman"/>
          <w:sz w:val="24"/>
          <w:szCs w:val="24"/>
          <w:rtl w:val="0"/>
        </w:rPr>
        <w:t xml:space="preserve">, the Respondent gave reasons behind the determination of </w:t>
      </w:r>
      <w:r w:rsidDel="00000000" w:rsidR="00000000" w:rsidRPr="00000000">
        <w:rPr>
          <w:rFonts w:ascii="Times New Roman" w:cs="Times New Roman" w:eastAsia="Times New Roman" w:hAnsi="Times New Roman"/>
          <w:i w:val="1"/>
          <w:sz w:val="24"/>
          <w:szCs w:val="24"/>
          <w:rtl w:val="0"/>
        </w:rPr>
        <w:t xml:space="preserve">31</w:t>
      </w:r>
      <w:r w:rsidDel="00000000" w:rsidR="00000000" w:rsidRPr="00000000">
        <w:rPr>
          <w:rFonts w:ascii="Times New Roman" w:cs="Times New Roman" w:eastAsia="Times New Roman" w:hAnsi="Times New Roman"/>
          <w:i w:val="1"/>
          <w:sz w:val="24"/>
          <w:szCs w:val="24"/>
          <w:vertAlign w:val="superscript"/>
          <w:rtl w:val="0"/>
        </w:rPr>
        <w:t xml:space="preserve">st</w:t>
      </w:r>
      <w:r w:rsidDel="00000000" w:rsidR="00000000" w:rsidRPr="00000000">
        <w:rPr>
          <w:rFonts w:ascii="Times New Roman" w:cs="Times New Roman" w:eastAsia="Times New Roman" w:hAnsi="Times New Roman"/>
          <w:i w:val="1"/>
          <w:sz w:val="24"/>
          <w:szCs w:val="24"/>
          <w:rtl w:val="0"/>
        </w:rPr>
        <w:t xml:space="preserve"> October 2019</w:t>
      </w:r>
      <w:r w:rsidDel="00000000" w:rsidR="00000000" w:rsidRPr="00000000">
        <w:rPr>
          <w:rFonts w:ascii="Times New Roman" w:cs="Times New Roman" w:eastAsia="Times New Roman" w:hAnsi="Times New Roman"/>
          <w:sz w:val="24"/>
          <w:szCs w:val="24"/>
          <w:rtl w:val="0"/>
        </w:rPr>
        <w:t xml:space="preserve">, and vide a letter dated </w:t>
      </w:r>
      <w:r w:rsidDel="00000000" w:rsidR="00000000" w:rsidRPr="00000000">
        <w:rPr>
          <w:rFonts w:ascii="Times New Roman" w:cs="Times New Roman" w:eastAsia="Times New Roman" w:hAnsi="Times New Roman"/>
          <w:i w:val="1"/>
          <w:sz w:val="24"/>
          <w:szCs w:val="24"/>
          <w:rtl w:val="0"/>
        </w:rPr>
        <w:t xml:space="preserve">9</w:t>
      </w:r>
      <w:r w:rsidDel="00000000" w:rsidR="00000000" w:rsidRPr="00000000">
        <w:rPr>
          <w:rFonts w:ascii="Times New Roman" w:cs="Times New Roman" w:eastAsia="Times New Roman" w:hAnsi="Times New Roman"/>
          <w:i w:val="1"/>
          <w:sz w:val="24"/>
          <w:szCs w:val="24"/>
          <w:vertAlign w:val="superscript"/>
          <w:rtl w:val="0"/>
        </w:rPr>
        <w:t xml:space="preserve">th</w:t>
      </w:r>
      <w:r w:rsidDel="00000000" w:rsidR="00000000" w:rsidRPr="00000000">
        <w:rPr>
          <w:rFonts w:ascii="Times New Roman" w:cs="Times New Roman" w:eastAsia="Times New Roman" w:hAnsi="Times New Roman"/>
          <w:i w:val="1"/>
          <w:sz w:val="24"/>
          <w:szCs w:val="24"/>
          <w:rtl w:val="0"/>
        </w:rPr>
        <w:t xml:space="preserve"> December 2019</w:t>
      </w:r>
      <w:r w:rsidDel="00000000" w:rsidR="00000000" w:rsidRPr="00000000">
        <w:rPr>
          <w:rFonts w:ascii="Times New Roman" w:cs="Times New Roman" w:eastAsia="Times New Roman" w:hAnsi="Times New Roman"/>
          <w:sz w:val="24"/>
          <w:szCs w:val="24"/>
          <w:rtl w:val="0"/>
        </w:rPr>
        <w:t xml:space="preserve">, the Appellants raised reservations on the conditions imposed by the Respondent and requested that the Respondent’s Notice of Determination </w:t>
      </w:r>
      <w:r w:rsidDel="00000000" w:rsidR="00000000" w:rsidRPr="00000000">
        <w:rPr>
          <w:rFonts w:ascii="Times New Roman" w:cs="Times New Roman" w:eastAsia="Times New Roman" w:hAnsi="Times New Roman"/>
          <w:i w:val="1"/>
          <w:sz w:val="24"/>
          <w:szCs w:val="24"/>
          <w:rtl w:val="0"/>
        </w:rPr>
        <w:t xml:space="preserve">dated 31</w:t>
      </w:r>
      <w:r w:rsidDel="00000000" w:rsidR="00000000" w:rsidRPr="00000000">
        <w:rPr>
          <w:rFonts w:ascii="Times New Roman" w:cs="Times New Roman" w:eastAsia="Times New Roman" w:hAnsi="Times New Roman"/>
          <w:i w:val="1"/>
          <w:sz w:val="24"/>
          <w:szCs w:val="24"/>
          <w:vertAlign w:val="superscript"/>
          <w:rtl w:val="0"/>
        </w:rPr>
        <w:t xml:space="preserve">st</w:t>
      </w:r>
      <w:r w:rsidDel="00000000" w:rsidR="00000000" w:rsidRPr="00000000">
        <w:rPr>
          <w:rFonts w:ascii="Times New Roman" w:cs="Times New Roman" w:eastAsia="Times New Roman" w:hAnsi="Times New Roman"/>
          <w:i w:val="1"/>
          <w:sz w:val="24"/>
          <w:szCs w:val="24"/>
          <w:rtl w:val="0"/>
        </w:rPr>
        <w:t xml:space="preserve"> October 2019</w:t>
      </w:r>
      <w:r w:rsidDel="00000000" w:rsidR="00000000" w:rsidRPr="00000000">
        <w:rPr>
          <w:rFonts w:ascii="Times New Roman" w:cs="Times New Roman" w:eastAsia="Times New Roman" w:hAnsi="Times New Roman"/>
          <w:sz w:val="24"/>
          <w:szCs w:val="24"/>
          <w:rtl w:val="0"/>
        </w:rPr>
        <w:t xml:space="preserve"> not be published in the Kenya Gazette, on the Respondent’s website or in any other media.</w:t>
      </w:r>
    </w:p>
    <w:p w:rsidR="00000000" w:rsidDel="00000000" w:rsidP="00000000" w:rsidRDefault="00000000" w:rsidRPr="00000000" w14:paraId="00000031">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 a letter dated </w:t>
      </w:r>
      <w:r w:rsidDel="00000000" w:rsidR="00000000" w:rsidRPr="00000000">
        <w:rPr>
          <w:rFonts w:ascii="Times New Roman" w:cs="Times New Roman" w:eastAsia="Times New Roman" w:hAnsi="Times New Roman"/>
          <w:i w:val="1"/>
          <w:sz w:val="24"/>
          <w:szCs w:val="24"/>
          <w:rtl w:val="0"/>
        </w:rPr>
        <w:t xml:space="preserve">16</w:t>
      </w:r>
      <w:r w:rsidDel="00000000" w:rsidR="00000000" w:rsidRPr="00000000">
        <w:rPr>
          <w:rFonts w:ascii="Times New Roman" w:cs="Times New Roman" w:eastAsia="Times New Roman" w:hAnsi="Times New Roman"/>
          <w:i w:val="1"/>
          <w:sz w:val="24"/>
          <w:szCs w:val="24"/>
          <w:vertAlign w:val="superscript"/>
          <w:rtl w:val="0"/>
        </w:rPr>
        <w:t xml:space="preserve">th</w:t>
      </w:r>
      <w:r w:rsidDel="00000000" w:rsidR="00000000" w:rsidRPr="00000000">
        <w:rPr>
          <w:rFonts w:ascii="Times New Roman" w:cs="Times New Roman" w:eastAsia="Times New Roman" w:hAnsi="Times New Roman"/>
          <w:i w:val="1"/>
          <w:sz w:val="24"/>
          <w:szCs w:val="24"/>
          <w:rtl w:val="0"/>
        </w:rPr>
        <w:t xml:space="preserve"> December 2019;</w:t>
      </w:r>
      <w:r w:rsidDel="00000000" w:rsidR="00000000" w:rsidRPr="00000000">
        <w:rPr>
          <w:rFonts w:ascii="Times New Roman" w:cs="Times New Roman" w:eastAsia="Times New Roman" w:hAnsi="Times New Roman"/>
          <w:sz w:val="24"/>
          <w:szCs w:val="24"/>
          <w:rtl w:val="0"/>
        </w:rPr>
        <w:t xml:space="preserve"> the Respondent informed the Appellants that the Authority became </w:t>
      </w:r>
      <w:r w:rsidDel="00000000" w:rsidR="00000000" w:rsidRPr="00000000">
        <w:rPr>
          <w:rFonts w:ascii="Times New Roman" w:cs="Times New Roman" w:eastAsia="Times New Roman" w:hAnsi="Times New Roman"/>
          <w:i w:val="1"/>
          <w:sz w:val="24"/>
          <w:szCs w:val="24"/>
          <w:rtl w:val="0"/>
        </w:rPr>
        <w:t xml:space="preserve">functus officio</w:t>
      </w:r>
      <w:r w:rsidDel="00000000" w:rsidR="00000000" w:rsidRPr="00000000">
        <w:rPr>
          <w:rFonts w:ascii="Times New Roman" w:cs="Times New Roman" w:eastAsia="Times New Roman" w:hAnsi="Times New Roman"/>
          <w:sz w:val="24"/>
          <w:szCs w:val="24"/>
          <w:rtl w:val="0"/>
        </w:rPr>
        <w:t xml:space="preserve"> in respect to the matter once the merger was approved.</w:t>
      </w:r>
    </w:p>
    <w:p w:rsidR="00000000" w:rsidDel="00000000" w:rsidP="00000000" w:rsidRDefault="00000000" w:rsidRPr="00000000" w14:paraId="00000032">
      <w:pPr>
        <w:spacing w:after="150" w:before="15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Respondent eventually gazetted the Notice of Determination dated </w:t>
      </w:r>
      <w:r w:rsidDel="00000000" w:rsidR="00000000" w:rsidRPr="00000000">
        <w:rPr>
          <w:rFonts w:ascii="Times New Roman" w:cs="Times New Roman" w:eastAsia="Times New Roman" w:hAnsi="Times New Roman"/>
          <w:i w:val="1"/>
          <w:sz w:val="24"/>
          <w:szCs w:val="24"/>
          <w:rtl w:val="0"/>
        </w:rPr>
        <w:t xml:space="preserve">31</w:t>
      </w:r>
      <w:r w:rsidDel="00000000" w:rsidR="00000000" w:rsidRPr="00000000">
        <w:rPr>
          <w:rFonts w:ascii="Times New Roman" w:cs="Times New Roman" w:eastAsia="Times New Roman" w:hAnsi="Times New Roman"/>
          <w:i w:val="1"/>
          <w:sz w:val="24"/>
          <w:szCs w:val="24"/>
          <w:vertAlign w:val="superscript"/>
          <w:rtl w:val="0"/>
        </w:rPr>
        <w:t xml:space="preserve">st</w:t>
      </w:r>
      <w:r w:rsidDel="00000000" w:rsidR="00000000" w:rsidRPr="00000000">
        <w:rPr>
          <w:rFonts w:ascii="Times New Roman" w:cs="Times New Roman" w:eastAsia="Times New Roman" w:hAnsi="Times New Roman"/>
          <w:i w:val="1"/>
          <w:sz w:val="24"/>
          <w:szCs w:val="24"/>
          <w:rtl w:val="0"/>
        </w:rPr>
        <w:t xml:space="preserve"> October 2019 </w:t>
      </w: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Fonts w:ascii="Times New Roman" w:cs="Times New Roman" w:eastAsia="Times New Roman" w:hAnsi="Times New Roman"/>
          <w:i w:val="1"/>
          <w:sz w:val="24"/>
          <w:szCs w:val="24"/>
          <w:rtl w:val="0"/>
        </w:rPr>
        <w:t xml:space="preserve"> 13</w:t>
      </w:r>
      <w:r w:rsidDel="00000000" w:rsidR="00000000" w:rsidRPr="00000000">
        <w:rPr>
          <w:rFonts w:ascii="Times New Roman" w:cs="Times New Roman" w:eastAsia="Times New Roman" w:hAnsi="Times New Roman"/>
          <w:i w:val="1"/>
          <w:sz w:val="24"/>
          <w:szCs w:val="24"/>
          <w:vertAlign w:val="superscript"/>
          <w:rtl w:val="0"/>
        </w:rPr>
        <w:t xml:space="preserve">th</w:t>
      </w:r>
      <w:r w:rsidDel="00000000" w:rsidR="00000000" w:rsidRPr="00000000">
        <w:rPr>
          <w:rFonts w:ascii="Times New Roman" w:cs="Times New Roman" w:eastAsia="Times New Roman" w:hAnsi="Times New Roman"/>
          <w:i w:val="1"/>
          <w:sz w:val="24"/>
          <w:szCs w:val="24"/>
          <w:rtl w:val="0"/>
        </w:rPr>
        <w:t xml:space="preserve"> December 2020.</w:t>
      </w:r>
    </w:p>
    <w:p w:rsidR="00000000" w:rsidDel="00000000" w:rsidP="00000000" w:rsidRDefault="00000000" w:rsidRPr="00000000" w14:paraId="00000033">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appellants were aggrieved by this decision and filed a Notice of Motion for review of the conditions before the Competition Tribunal.</w:t>
      </w:r>
    </w:p>
    <w:p w:rsidR="00000000" w:rsidDel="00000000" w:rsidP="00000000" w:rsidRDefault="00000000" w:rsidRPr="00000000" w14:paraId="00000034">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Issues for determination</w:t>
      </w:r>
    </w:p>
    <w:p w:rsidR="00000000" w:rsidDel="00000000" w:rsidP="00000000" w:rsidRDefault="00000000" w:rsidRPr="00000000" w14:paraId="00000035">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  Whether Conditions 1 and 2 infringes on the Appellants’ right to property and made ultra vires of the Respondent’s Statutory Mandate;</w:t>
      </w:r>
      <w:r w:rsidDel="00000000" w:rsidR="00000000" w:rsidRPr="00000000">
        <w:rPr>
          <w:rtl w:val="0"/>
        </w:rPr>
      </w:r>
    </w:p>
    <w:p w:rsidR="00000000" w:rsidDel="00000000" w:rsidP="00000000" w:rsidRDefault="00000000" w:rsidRPr="00000000" w14:paraId="00000036">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ii.  Whether Condition 3 is vague and inimical to competition by limiting the Merged entity’s normal operation as a going concern;</w:t>
      </w:r>
      <w:r w:rsidDel="00000000" w:rsidR="00000000" w:rsidRPr="00000000">
        <w:rPr>
          <w:rtl w:val="0"/>
        </w:rPr>
      </w:r>
    </w:p>
    <w:p w:rsidR="00000000" w:rsidDel="00000000" w:rsidP="00000000" w:rsidRDefault="00000000" w:rsidRPr="00000000" w14:paraId="00000037">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iii.  Whether condition 5 and 6 are discriminatory on the 1</w:t>
      </w:r>
      <w:r w:rsidDel="00000000" w:rsidR="00000000" w:rsidRPr="00000000">
        <w:rPr>
          <w:rFonts w:ascii="Times New Roman" w:cs="Times New Roman" w:eastAsia="Times New Roman" w:hAnsi="Times New Roman"/>
          <w:i w:val="1"/>
          <w:sz w:val="24"/>
          <w:szCs w:val="24"/>
          <w:vertAlign w:val="superscript"/>
          <w:rtl w:val="0"/>
        </w:rPr>
        <w:t xml:space="preserve">st</w:t>
      </w:r>
      <w:r w:rsidDel="00000000" w:rsidR="00000000" w:rsidRPr="00000000">
        <w:rPr>
          <w:rFonts w:ascii="Times New Roman" w:cs="Times New Roman" w:eastAsia="Times New Roman" w:hAnsi="Times New Roman"/>
          <w:i w:val="1"/>
          <w:sz w:val="24"/>
          <w:szCs w:val="24"/>
          <w:rtl w:val="0"/>
        </w:rPr>
        <w:t xml:space="preserve"> Appellant by hindering the merged entity from enjoying any preferential access;</w:t>
      </w:r>
      <w:r w:rsidDel="00000000" w:rsidR="00000000" w:rsidRPr="00000000">
        <w:rPr>
          <w:rtl w:val="0"/>
        </w:rPr>
      </w:r>
    </w:p>
    <w:p w:rsidR="00000000" w:rsidDel="00000000" w:rsidP="00000000" w:rsidRDefault="00000000" w:rsidRPr="00000000" w14:paraId="00000038">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iv.  Whether Condition 7 requiring retention period of employees of the target for two years is justified in light of the prevailing circumstances</w:t>
      </w:r>
      <w:r w:rsidDel="00000000" w:rsidR="00000000" w:rsidRPr="00000000">
        <w:rPr>
          <w:rtl w:val="0"/>
        </w:rPr>
      </w:r>
    </w:p>
    <w:p w:rsidR="00000000" w:rsidDel="00000000" w:rsidP="00000000" w:rsidRDefault="00000000" w:rsidRPr="00000000" w14:paraId="00000039">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v.  Whether Condition 8 is vague by failing to stipulate the time limit for furnishing of detailed reports; and</w:t>
      </w: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vi.  Who bears the cost of this Application</w:t>
      </w: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Analysis</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Tribunal draws its jurisdiction for review of a merger determination from </w:t>
      </w:r>
      <w:r w:rsidDel="00000000" w:rsidR="00000000" w:rsidRPr="00000000">
        <w:rPr>
          <w:rFonts w:ascii="Times New Roman" w:cs="Times New Roman" w:eastAsia="Times New Roman" w:hAnsi="Times New Roman"/>
          <w:i w:val="1"/>
          <w:sz w:val="24"/>
          <w:szCs w:val="24"/>
          <w:rtl w:val="0"/>
        </w:rPr>
        <w:t xml:space="preserve">Section 48 of the Competition Act, No 12 of 2010</w:t>
      </w:r>
      <w:r w:rsidDel="00000000" w:rsidR="00000000" w:rsidRPr="00000000">
        <w:rPr>
          <w:rFonts w:ascii="Times New Roman" w:cs="Times New Roman" w:eastAsia="Times New Roman" w:hAnsi="Times New Roman"/>
          <w:sz w:val="24"/>
          <w:szCs w:val="24"/>
          <w:rtl w:val="0"/>
        </w:rPr>
        <w:t xml:space="preserve">. The Tribunal, by Notice in the Kenya Gazette </w:t>
      </w:r>
      <w:r w:rsidDel="00000000" w:rsidR="00000000" w:rsidRPr="00000000">
        <w:rPr>
          <w:rFonts w:ascii="Times New Roman" w:cs="Times New Roman" w:eastAsia="Times New Roman" w:hAnsi="Times New Roman"/>
          <w:i w:val="1"/>
          <w:sz w:val="24"/>
          <w:szCs w:val="24"/>
          <w:rtl w:val="0"/>
        </w:rPr>
        <w:t xml:space="preserve">(Gazette No 768) </w:t>
      </w:r>
      <w:r w:rsidDel="00000000" w:rsidR="00000000" w:rsidRPr="00000000">
        <w:rPr>
          <w:rFonts w:ascii="Times New Roman" w:cs="Times New Roman" w:eastAsia="Times New Roman" w:hAnsi="Times New Roman"/>
          <w:sz w:val="24"/>
          <w:szCs w:val="24"/>
          <w:rtl w:val="0"/>
        </w:rPr>
        <w:t xml:space="preserve">of </w:t>
      </w:r>
      <w:r w:rsidDel="00000000" w:rsidR="00000000" w:rsidRPr="00000000">
        <w:rPr>
          <w:rFonts w:ascii="Times New Roman" w:cs="Times New Roman" w:eastAsia="Times New Roman" w:hAnsi="Times New Roman"/>
          <w:i w:val="1"/>
          <w:sz w:val="24"/>
          <w:szCs w:val="24"/>
          <w:rtl w:val="0"/>
        </w:rPr>
        <w:t xml:space="preserve">31</w:t>
      </w:r>
      <w:r w:rsidDel="00000000" w:rsidR="00000000" w:rsidRPr="00000000">
        <w:rPr>
          <w:rFonts w:ascii="Times New Roman" w:cs="Times New Roman" w:eastAsia="Times New Roman" w:hAnsi="Times New Roman"/>
          <w:i w:val="1"/>
          <w:sz w:val="24"/>
          <w:szCs w:val="24"/>
          <w:vertAlign w:val="superscript"/>
          <w:rtl w:val="0"/>
        </w:rPr>
        <w:t xml:space="preserve">st</w:t>
      </w:r>
      <w:r w:rsidDel="00000000" w:rsidR="00000000" w:rsidRPr="00000000">
        <w:rPr>
          <w:rFonts w:ascii="Times New Roman" w:cs="Times New Roman" w:eastAsia="Times New Roman" w:hAnsi="Times New Roman"/>
          <w:i w:val="1"/>
          <w:sz w:val="24"/>
          <w:szCs w:val="24"/>
          <w:rtl w:val="0"/>
        </w:rPr>
        <w:t xml:space="preserve"> January 2020, </w:t>
      </w:r>
      <w:r w:rsidDel="00000000" w:rsidR="00000000" w:rsidRPr="00000000">
        <w:rPr>
          <w:rFonts w:ascii="Times New Roman" w:cs="Times New Roman" w:eastAsia="Times New Roman" w:hAnsi="Times New Roman"/>
          <w:sz w:val="24"/>
          <w:szCs w:val="24"/>
          <w:rtl w:val="0"/>
        </w:rPr>
        <w:t xml:space="preserve">did give notice of the instant Application for review, and invited interested parties to make submissions to the Tribunal as required under the Act. After the lapse of the thirty (30) days given in the said notice, no interested party made any submissions to the Tribunal and as such the Tribunal gave directions on the hearing of the Application</w:t>
      </w:r>
    </w:p>
    <w:p w:rsidR="00000000" w:rsidDel="00000000" w:rsidP="00000000" w:rsidRDefault="00000000" w:rsidRPr="00000000" w14:paraId="0000003D">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 draws its mandate from the </w:t>
      </w:r>
      <w:r w:rsidDel="00000000" w:rsidR="00000000" w:rsidRPr="00000000">
        <w:rPr>
          <w:rFonts w:ascii="Times New Roman" w:cs="Times New Roman" w:eastAsia="Times New Roman" w:hAnsi="Times New Roman"/>
          <w:b w:val="1"/>
          <w:i w:val="1"/>
          <w:sz w:val="24"/>
          <w:szCs w:val="24"/>
          <w:rtl w:val="0"/>
        </w:rPr>
        <w:t xml:space="preserve">Competition Act, No. 12 of 2010,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i w:val="1"/>
          <w:sz w:val="24"/>
          <w:szCs w:val="24"/>
          <w:rtl w:val="0"/>
        </w:rPr>
        <w:t xml:space="preserve">Section 3 of the Act</w:t>
      </w:r>
      <w:r w:rsidDel="00000000" w:rsidR="00000000" w:rsidRPr="00000000">
        <w:rPr>
          <w:rFonts w:ascii="Times New Roman" w:cs="Times New Roman" w:eastAsia="Times New Roman" w:hAnsi="Times New Roman"/>
          <w:sz w:val="24"/>
          <w:szCs w:val="24"/>
          <w:rtl w:val="0"/>
        </w:rPr>
        <w:t xml:space="preserve"> provides as follows:-</w:t>
      </w:r>
    </w:p>
    <w:p w:rsidR="00000000" w:rsidDel="00000000" w:rsidP="00000000" w:rsidRDefault="00000000" w:rsidRPr="00000000" w14:paraId="0000003E">
      <w:pPr>
        <w:spacing w:after="150" w:before="15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“The object of this Act is to enhance the welfare of the people of Kenya by promoting and protecting effective competition in markets and preventing unfair and misleading conduct throughout Kenya”.</w:t>
      </w:r>
      <w:r w:rsidDel="00000000" w:rsidR="00000000" w:rsidRPr="00000000">
        <w:rPr>
          <w:rtl w:val="0"/>
        </w:rPr>
      </w:r>
    </w:p>
    <w:p w:rsidR="00000000" w:rsidDel="00000000" w:rsidP="00000000" w:rsidRDefault="00000000" w:rsidRPr="00000000" w14:paraId="0000003F">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Appellants have begun by impugning the procedure taken by the Respondent in approving the merger as infringing on their right to fair administrative action under </w:t>
      </w:r>
      <w:r w:rsidDel="00000000" w:rsidR="00000000" w:rsidRPr="00000000">
        <w:rPr>
          <w:rFonts w:ascii="Times New Roman" w:cs="Times New Roman" w:eastAsia="Times New Roman" w:hAnsi="Times New Roman"/>
          <w:i w:val="1"/>
          <w:sz w:val="24"/>
          <w:szCs w:val="24"/>
          <w:rtl w:val="0"/>
        </w:rPr>
        <w:t xml:space="preserve">Article 47 of the Constitution, Section 4(1) of the Fair Administrative Action Act, 2015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Section 46 of the Competition Act, 2010</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Appellants submit that the decision reached by the Respondent in conditionally approving the merger is </w:t>
      </w:r>
      <w:r w:rsidDel="00000000" w:rsidR="00000000" w:rsidRPr="00000000">
        <w:rPr>
          <w:rFonts w:ascii="Times New Roman" w:cs="Times New Roman" w:eastAsia="Times New Roman" w:hAnsi="Times New Roman"/>
          <w:i w:val="1"/>
          <w:sz w:val="24"/>
          <w:szCs w:val="24"/>
          <w:rtl w:val="0"/>
        </w:rPr>
        <w:t xml:space="preserve">void ab initio</w:t>
      </w:r>
      <w:r w:rsidDel="00000000" w:rsidR="00000000" w:rsidRPr="00000000">
        <w:rPr>
          <w:rFonts w:ascii="Times New Roman" w:cs="Times New Roman" w:eastAsia="Times New Roman" w:hAnsi="Times New Roman"/>
          <w:sz w:val="24"/>
          <w:szCs w:val="24"/>
          <w:rtl w:val="0"/>
        </w:rPr>
        <w:t xml:space="preserve"> for failure to accord the Appellants a right to be heard and present their case against the proposed adverse administrative decisions alluded to in the meeting held on </w:t>
      </w:r>
      <w:r w:rsidDel="00000000" w:rsidR="00000000" w:rsidRPr="00000000">
        <w:rPr>
          <w:rFonts w:ascii="Times New Roman" w:cs="Times New Roman" w:eastAsia="Times New Roman" w:hAnsi="Times New Roman"/>
          <w:i w:val="1"/>
          <w:sz w:val="24"/>
          <w:szCs w:val="24"/>
          <w:rtl w:val="0"/>
        </w:rPr>
        <w:t xml:space="preserve">25</w:t>
      </w:r>
      <w:r w:rsidDel="00000000" w:rsidR="00000000" w:rsidRPr="00000000">
        <w:rPr>
          <w:rFonts w:ascii="Times New Roman" w:cs="Times New Roman" w:eastAsia="Times New Roman" w:hAnsi="Times New Roman"/>
          <w:i w:val="1"/>
          <w:sz w:val="24"/>
          <w:szCs w:val="24"/>
          <w:vertAlign w:val="superscript"/>
          <w:rtl w:val="0"/>
        </w:rPr>
        <w:t xml:space="preserve">th</w:t>
      </w:r>
      <w:r w:rsidDel="00000000" w:rsidR="00000000" w:rsidRPr="00000000">
        <w:rPr>
          <w:rFonts w:ascii="Times New Roman" w:cs="Times New Roman" w:eastAsia="Times New Roman" w:hAnsi="Times New Roman"/>
          <w:i w:val="1"/>
          <w:sz w:val="24"/>
          <w:szCs w:val="24"/>
          <w:rtl w:val="0"/>
        </w:rPr>
        <w:t xml:space="preserve"> October, 2019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Appellants’ own admission, the meeting held on </w:t>
      </w:r>
      <w:r w:rsidDel="00000000" w:rsidR="00000000" w:rsidRPr="00000000">
        <w:rPr>
          <w:rFonts w:ascii="Times New Roman" w:cs="Times New Roman" w:eastAsia="Times New Roman" w:hAnsi="Times New Roman"/>
          <w:i w:val="1"/>
          <w:sz w:val="24"/>
          <w:szCs w:val="24"/>
          <w:rtl w:val="0"/>
        </w:rPr>
        <w:t xml:space="preserve">25</w:t>
      </w:r>
      <w:r w:rsidDel="00000000" w:rsidR="00000000" w:rsidRPr="00000000">
        <w:rPr>
          <w:rFonts w:ascii="Times New Roman" w:cs="Times New Roman" w:eastAsia="Times New Roman" w:hAnsi="Times New Roman"/>
          <w:i w:val="1"/>
          <w:sz w:val="24"/>
          <w:szCs w:val="24"/>
          <w:vertAlign w:val="superscript"/>
          <w:rtl w:val="0"/>
        </w:rPr>
        <w:t xml:space="preserve">th</w:t>
      </w:r>
      <w:r w:rsidDel="00000000" w:rsidR="00000000" w:rsidRPr="00000000">
        <w:rPr>
          <w:rFonts w:ascii="Times New Roman" w:cs="Times New Roman" w:eastAsia="Times New Roman" w:hAnsi="Times New Roman"/>
          <w:i w:val="1"/>
          <w:sz w:val="24"/>
          <w:szCs w:val="24"/>
          <w:rtl w:val="0"/>
        </w:rPr>
        <w:t xml:space="preserve"> October, 2019</w:t>
      </w:r>
      <w:r w:rsidDel="00000000" w:rsidR="00000000" w:rsidRPr="00000000">
        <w:rPr>
          <w:rFonts w:ascii="Times New Roman" w:cs="Times New Roman" w:eastAsia="Times New Roman" w:hAnsi="Times New Roman"/>
          <w:sz w:val="24"/>
          <w:szCs w:val="24"/>
          <w:rtl w:val="0"/>
        </w:rPr>
        <w:t xml:space="preserve"> offered a notice that the Respondent intended to approve the merger with several conditions attached. Upon receiving that notice, they voiced their displeasure and the Respondent indulged them. The Appellants also admit that after the Respondent received their protest it sent the amended conditions for their consideration on the same date. The Respondent herein discharged the first obligation being to communicate to the Appellants of the impending administrative decision being that it minded to approve the merger with several conditions which they had notice of and had an opportunity to interrogate save that they needed to discuss at their Administrative levels.</w:t>
      </w:r>
    </w:p>
    <w:p w:rsidR="00000000" w:rsidDel="00000000" w:rsidP="00000000" w:rsidRDefault="00000000" w:rsidRPr="00000000" w14:paraId="00000041">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second issue on whether the appellants were given adequate opportunity to present their case. It is not in dispute that after being notified of the impending administrative decision, the Appellants requested for time to respond and present their case. The Appellants further decry that notwithstanding their concerns on the conditions imposed, the Respondent without reference proceeded to publish the determination six (6) days later. The Respondent’s contention is that its Board having sat, it was </w:t>
      </w:r>
      <w:r w:rsidDel="00000000" w:rsidR="00000000" w:rsidRPr="00000000">
        <w:rPr>
          <w:rFonts w:ascii="Times New Roman" w:cs="Times New Roman" w:eastAsia="Times New Roman" w:hAnsi="Times New Roman"/>
          <w:i w:val="1"/>
          <w:sz w:val="24"/>
          <w:szCs w:val="24"/>
          <w:rtl w:val="0"/>
        </w:rPr>
        <w:t xml:space="preserve">functus officio</w:t>
      </w:r>
      <w:r w:rsidDel="00000000" w:rsidR="00000000" w:rsidRPr="00000000">
        <w:rPr>
          <w:rFonts w:ascii="Times New Roman" w:cs="Times New Roman" w:eastAsia="Times New Roman" w:hAnsi="Times New Roman"/>
          <w:sz w:val="24"/>
          <w:szCs w:val="24"/>
          <w:rtl w:val="0"/>
        </w:rPr>
        <w:t xml:space="preserve"> and thus the only remedy was a challenge before this Tribunal. However, from the record, we find that by a letter dated </w:t>
      </w:r>
      <w:r w:rsidDel="00000000" w:rsidR="00000000" w:rsidRPr="00000000">
        <w:rPr>
          <w:rFonts w:ascii="Times New Roman" w:cs="Times New Roman" w:eastAsia="Times New Roman" w:hAnsi="Times New Roman"/>
          <w:i w:val="1"/>
          <w:sz w:val="24"/>
          <w:szCs w:val="24"/>
          <w:rtl w:val="0"/>
        </w:rPr>
        <w:t xml:space="preserve">19</w:t>
      </w:r>
      <w:r w:rsidDel="00000000" w:rsidR="00000000" w:rsidRPr="00000000">
        <w:rPr>
          <w:rFonts w:ascii="Times New Roman" w:cs="Times New Roman" w:eastAsia="Times New Roman" w:hAnsi="Times New Roman"/>
          <w:i w:val="1"/>
          <w:sz w:val="24"/>
          <w:szCs w:val="24"/>
          <w:vertAlign w:val="superscript"/>
          <w:rtl w:val="0"/>
        </w:rPr>
        <w:t xml:space="preserve">th</w:t>
      </w:r>
      <w:r w:rsidDel="00000000" w:rsidR="00000000" w:rsidRPr="00000000">
        <w:rPr>
          <w:rFonts w:ascii="Times New Roman" w:cs="Times New Roman" w:eastAsia="Times New Roman" w:hAnsi="Times New Roman"/>
          <w:i w:val="1"/>
          <w:sz w:val="24"/>
          <w:szCs w:val="24"/>
          <w:rtl w:val="0"/>
        </w:rPr>
        <w:t xml:space="preserve"> November, 2019</w:t>
      </w:r>
      <w:r w:rsidDel="00000000" w:rsidR="00000000" w:rsidRPr="00000000">
        <w:rPr>
          <w:rFonts w:ascii="Times New Roman" w:cs="Times New Roman" w:eastAsia="Times New Roman" w:hAnsi="Times New Roman"/>
          <w:sz w:val="24"/>
          <w:szCs w:val="24"/>
          <w:rtl w:val="0"/>
        </w:rPr>
        <w:t xml:space="preserve"> the Appellants wrote to the Respondent challenging the conditions and requesting for the conditions to be revised. The Appellants further admit that the said letter received a reply from the Respondent as contained in a letter dated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i w:val="1"/>
          <w:sz w:val="24"/>
          <w:szCs w:val="24"/>
          <w:vertAlign w:val="superscript"/>
          <w:rtl w:val="0"/>
        </w:rPr>
        <w:t xml:space="preserve">th</w:t>
      </w:r>
      <w:r w:rsidDel="00000000" w:rsidR="00000000" w:rsidRPr="00000000">
        <w:rPr>
          <w:rFonts w:ascii="Times New Roman" w:cs="Times New Roman" w:eastAsia="Times New Roman" w:hAnsi="Times New Roman"/>
          <w:i w:val="1"/>
          <w:sz w:val="24"/>
          <w:szCs w:val="24"/>
          <w:rtl w:val="0"/>
        </w:rPr>
        <w:t xml:space="preserve"> December, 2019</w:t>
      </w:r>
      <w:r w:rsidDel="00000000" w:rsidR="00000000" w:rsidRPr="00000000">
        <w:rPr>
          <w:rFonts w:ascii="Times New Roman" w:cs="Times New Roman" w:eastAsia="Times New Roman" w:hAnsi="Times New Roman"/>
          <w:sz w:val="24"/>
          <w:szCs w:val="24"/>
          <w:rtl w:val="0"/>
        </w:rPr>
        <w:t xml:space="preserve">. The Appellants however discredit the letter as being “incoherent and vague”. It is therefore the admission of the Appellants that they were granted the opportunity to present their case and a letter to that effect detailing their case is on record.</w:t>
      </w:r>
    </w:p>
    <w:p w:rsidR="00000000" w:rsidDel="00000000" w:rsidP="00000000" w:rsidRDefault="00000000" w:rsidRPr="00000000" w14:paraId="00000042">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Section 44 of the Competition Act</w:t>
      </w:r>
      <w:r w:rsidDel="00000000" w:rsidR="00000000" w:rsidRPr="00000000">
        <w:rPr>
          <w:rFonts w:ascii="Times New Roman" w:cs="Times New Roman" w:eastAsia="Times New Roman" w:hAnsi="Times New Roman"/>
          <w:b w:val="1"/>
          <w:sz w:val="24"/>
          <w:szCs w:val="24"/>
          <w:rtl w:val="0"/>
        </w:rPr>
        <w:t xml:space="preserve"> provides that a determination shall be made within </w:t>
      </w:r>
      <w:r w:rsidDel="00000000" w:rsidR="00000000" w:rsidRPr="00000000">
        <w:rPr>
          <w:rFonts w:ascii="Times New Roman" w:cs="Times New Roman" w:eastAsia="Times New Roman" w:hAnsi="Times New Roman"/>
          <w:b w:val="1"/>
          <w:i w:val="1"/>
          <w:sz w:val="24"/>
          <w:szCs w:val="24"/>
          <w:rtl w:val="0"/>
        </w:rPr>
        <w:t xml:space="preserve">sixty (60)</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days of receiving the merger notification or further information (if required)</w:t>
      </w:r>
      <w:r w:rsidDel="00000000" w:rsidR="00000000" w:rsidRPr="00000000">
        <w:rPr>
          <w:rFonts w:ascii="Times New Roman" w:cs="Times New Roman" w:eastAsia="Times New Roman" w:hAnsi="Times New Roman"/>
          <w:b w:val="1"/>
          <w:sz w:val="24"/>
          <w:szCs w:val="24"/>
          <w:rtl w:val="0"/>
        </w:rPr>
        <w:t xml:space="preserve"> or within </w:t>
      </w:r>
      <w:r w:rsidDel="00000000" w:rsidR="00000000" w:rsidRPr="00000000">
        <w:rPr>
          <w:rFonts w:ascii="Times New Roman" w:cs="Times New Roman" w:eastAsia="Times New Roman" w:hAnsi="Times New Roman"/>
          <w:b w:val="1"/>
          <w:i w:val="1"/>
          <w:sz w:val="24"/>
          <w:szCs w:val="24"/>
          <w:rtl w:val="0"/>
        </w:rPr>
        <w:t xml:space="preserve">thirty (30) days after a hearing conference is convened</w:t>
      </w:r>
      <w:r w:rsidDel="00000000" w:rsidR="00000000" w:rsidRPr="00000000">
        <w:rPr>
          <w:rFonts w:ascii="Times New Roman" w:cs="Times New Roman" w:eastAsia="Times New Roman" w:hAnsi="Times New Roman"/>
          <w:b w:val="1"/>
          <w:sz w:val="24"/>
          <w:szCs w:val="24"/>
          <w:rtl w:val="0"/>
        </w:rPr>
        <w:t xml:space="preserve">. Provisions for extension are accordingly made under </w:t>
      </w:r>
      <w:r w:rsidDel="00000000" w:rsidR="00000000" w:rsidRPr="00000000">
        <w:rPr>
          <w:rFonts w:ascii="Times New Roman" w:cs="Times New Roman" w:eastAsia="Times New Roman" w:hAnsi="Times New Roman"/>
          <w:b w:val="1"/>
          <w:i w:val="1"/>
          <w:sz w:val="24"/>
          <w:szCs w:val="24"/>
          <w:rtl w:val="0"/>
        </w:rPr>
        <w:t xml:space="preserve">Section 44 (2) of the Act. </w:t>
      </w:r>
      <w:r w:rsidDel="00000000" w:rsidR="00000000" w:rsidRPr="00000000">
        <w:rPr>
          <w:rFonts w:ascii="Times New Roman" w:cs="Times New Roman" w:eastAsia="Times New Roman" w:hAnsi="Times New Roman"/>
          <w:sz w:val="24"/>
          <w:szCs w:val="24"/>
          <w:rtl w:val="0"/>
        </w:rPr>
        <w:t xml:space="preserve">It is the consensus of the parties that the merger notification was submitted and received on </w:t>
      </w:r>
      <w:r w:rsidDel="00000000" w:rsidR="00000000" w:rsidRPr="00000000">
        <w:rPr>
          <w:rFonts w:ascii="Times New Roman" w:cs="Times New Roman" w:eastAsia="Times New Roman" w:hAnsi="Times New Roman"/>
          <w:i w:val="1"/>
          <w:sz w:val="24"/>
          <w:szCs w:val="24"/>
          <w:rtl w:val="0"/>
        </w:rPr>
        <w:t xml:space="preserve">9</w:t>
      </w:r>
      <w:r w:rsidDel="00000000" w:rsidR="00000000" w:rsidRPr="00000000">
        <w:rPr>
          <w:rFonts w:ascii="Times New Roman" w:cs="Times New Roman" w:eastAsia="Times New Roman" w:hAnsi="Times New Roman"/>
          <w:i w:val="1"/>
          <w:sz w:val="24"/>
          <w:szCs w:val="24"/>
          <w:vertAlign w:val="superscript"/>
          <w:rtl w:val="0"/>
        </w:rPr>
        <w:t xml:space="preserve">th</w:t>
      </w:r>
      <w:r w:rsidDel="00000000" w:rsidR="00000000" w:rsidRPr="00000000">
        <w:rPr>
          <w:rFonts w:ascii="Times New Roman" w:cs="Times New Roman" w:eastAsia="Times New Roman" w:hAnsi="Times New Roman"/>
          <w:i w:val="1"/>
          <w:sz w:val="24"/>
          <w:szCs w:val="24"/>
          <w:rtl w:val="0"/>
        </w:rPr>
        <w:t xml:space="preserve"> May, 2019</w:t>
      </w:r>
      <w:r w:rsidDel="00000000" w:rsidR="00000000" w:rsidRPr="00000000">
        <w:rPr>
          <w:rFonts w:ascii="Times New Roman" w:cs="Times New Roman" w:eastAsia="Times New Roman" w:hAnsi="Times New Roman"/>
          <w:sz w:val="24"/>
          <w:szCs w:val="24"/>
          <w:rtl w:val="0"/>
        </w:rPr>
        <w:t xml:space="preserve">. From that date, the sixty days began running. This time may, however, not be definite since some information was exchanged and time began running only after the last exchange. From the facts given, the last correspondence was made on 20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August 2019 and sixty days began running from then. The sixty days fell on 19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October 2019. It is the tribunal’s conclusion that adequate time was given to the appellants to challenge the procedural and administrative fidelity of the respondent.</w:t>
      </w:r>
    </w:p>
    <w:p w:rsidR="00000000" w:rsidDel="00000000" w:rsidP="00000000" w:rsidRDefault="00000000" w:rsidRPr="00000000" w14:paraId="00000043">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Condition 1 and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which provides that upon the expiry of the merged entities’ operating licence, the spectrum in the 900MHZ and 1800MHZ acquired from Telkom shall revert back to the Government of Kenya (GoK) and that the Appellants are barred from selling the stated licences and spectrums during the pendency of their respective licence period has been challenged on infringing on the right to property. </w:t>
      </w:r>
      <w:r w:rsidDel="00000000" w:rsidR="00000000" w:rsidRPr="00000000">
        <w:rPr>
          <w:rFonts w:ascii="Times New Roman" w:cs="Times New Roman" w:eastAsia="Times New Roman" w:hAnsi="Times New Roman"/>
          <w:sz w:val="24"/>
          <w:szCs w:val="24"/>
          <w:rtl w:val="0"/>
        </w:rPr>
        <w:t xml:space="preserve">The tribunal, being guided by a number of precedents, found that a licence be it an operating licence or a spectrum licence is a critical asset in the telecommunication industry. It found out that the same consists of property used by the appellants and other telecommunication service providers in service production. The tribunal took judicial notice that the allocation and licencing of frequency spectrum and operating licences is a scarce resource and involves planning for purposes of harmony which informs the attendant conditions issued with the licence.</w:t>
      </w:r>
    </w:p>
    <w:p w:rsidR="00000000" w:rsidDel="00000000" w:rsidP="00000000" w:rsidRDefault="00000000" w:rsidRPr="00000000" w14:paraId="00000044">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Tribunal notes that the Appellants wrote to the Respondents via a letter dated </w:t>
      </w:r>
      <w:r w:rsidDel="00000000" w:rsidR="00000000" w:rsidRPr="00000000">
        <w:rPr>
          <w:rFonts w:ascii="Times New Roman" w:cs="Times New Roman" w:eastAsia="Times New Roman" w:hAnsi="Times New Roman"/>
          <w:i w:val="1"/>
          <w:sz w:val="24"/>
          <w:szCs w:val="24"/>
          <w:rtl w:val="0"/>
        </w:rPr>
        <w:t xml:space="preserve">19</w:t>
      </w:r>
      <w:r w:rsidDel="00000000" w:rsidR="00000000" w:rsidRPr="00000000">
        <w:rPr>
          <w:rFonts w:ascii="Times New Roman" w:cs="Times New Roman" w:eastAsia="Times New Roman" w:hAnsi="Times New Roman"/>
          <w:i w:val="1"/>
          <w:sz w:val="24"/>
          <w:szCs w:val="24"/>
          <w:vertAlign w:val="superscript"/>
          <w:rtl w:val="0"/>
        </w:rPr>
        <w:t xml:space="preserve">th</w:t>
      </w:r>
      <w:r w:rsidDel="00000000" w:rsidR="00000000" w:rsidRPr="00000000">
        <w:rPr>
          <w:rFonts w:ascii="Times New Roman" w:cs="Times New Roman" w:eastAsia="Times New Roman" w:hAnsi="Times New Roman"/>
          <w:i w:val="1"/>
          <w:sz w:val="24"/>
          <w:szCs w:val="24"/>
          <w:rtl w:val="0"/>
        </w:rPr>
        <w:t xml:space="preserve"> November, 2019</w:t>
      </w:r>
      <w:r w:rsidDel="00000000" w:rsidR="00000000" w:rsidRPr="00000000">
        <w:rPr>
          <w:rFonts w:ascii="Times New Roman" w:cs="Times New Roman" w:eastAsia="Times New Roman" w:hAnsi="Times New Roman"/>
          <w:sz w:val="24"/>
          <w:szCs w:val="24"/>
          <w:rtl w:val="0"/>
        </w:rPr>
        <w:t xml:space="preserve"> stating that there were already adequate measures to ensure that there are measures to safeguard the telecommunications sector. They submitted that there can be no transfer or assignment of a licence granted by the Communications Authority of Kenya without its written consent. They also submitted that the terms of the licence require that a licencee notifies the Communication Authority of Kenya of any change in structure of ownership among others, thirty (30) days prior to the intended change. It is therefore the Appellants’ feeling that conditions 1 and 2 are unnecessary since they are already catered for under the terms of the </w:t>
      </w:r>
      <w:r w:rsidDel="00000000" w:rsidR="00000000" w:rsidRPr="00000000">
        <w:rPr>
          <w:rFonts w:ascii="Times New Roman" w:cs="Times New Roman" w:eastAsia="Times New Roman" w:hAnsi="Times New Roman"/>
          <w:i w:val="1"/>
          <w:sz w:val="24"/>
          <w:szCs w:val="24"/>
          <w:rtl w:val="0"/>
        </w:rPr>
        <w:t xml:space="preserve">Competition Act,</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i w:val="1"/>
          <w:sz w:val="24"/>
          <w:szCs w:val="24"/>
          <w:rtl w:val="0"/>
        </w:rPr>
        <w:t xml:space="preserve">Kenya Information and Communication Act, </w:t>
      </w:r>
      <w:r w:rsidDel="00000000" w:rsidR="00000000" w:rsidRPr="00000000">
        <w:rPr>
          <w:rFonts w:ascii="Times New Roman" w:cs="Times New Roman" w:eastAsia="Times New Roman" w:hAnsi="Times New Roman"/>
          <w:sz w:val="24"/>
          <w:szCs w:val="24"/>
          <w:rtl w:val="0"/>
        </w:rPr>
        <w:t xml:space="preserve">and the terms of the licence. The aforesaid has the effect of pre-empting the Appellants’ businesses instead of leaving the same to market forces and the same be determined in light of the prevailing circumstances of the time since they, at all times will be monitored by the Respondent and the Communications Authority of Kenya.</w:t>
      </w:r>
    </w:p>
    <w:p w:rsidR="00000000" w:rsidDel="00000000" w:rsidP="00000000" w:rsidRDefault="00000000" w:rsidRPr="00000000" w14:paraId="00000045">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Appellants also argue that there is no justification for providing that the 900MHZ and 1800MHZ reverts back to the government at the expiry of the licence considering that there is a total bandwidth of 25MHZ in the 1800MHZ which is currently unassigned. Furthermore, the Appellants submit that there are mechanisms within the disposal of the Communications Authority of Kenya to recall and recover the spectrum should another operator express the need in entering the market.</w:t>
      </w:r>
    </w:p>
    <w:p w:rsidR="00000000" w:rsidDel="00000000" w:rsidP="00000000" w:rsidRDefault="00000000" w:rsidRPr="00000000" w14:paraId="00000046">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pleadings, there is no indication by the respondent that the merger will in any way affect the terms of the licence granted to the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appellant. In absence of that indication, the Respondent fails to satisfy the requirement that </w:t>
      </w:r>
      <w:r w:rsidDel="00000000" w:rsidR="00000000" w:rsidRPr="00000000">
        <w:rPr>
          <w:rFonts w:ascii="Times New Roman" w:cs="Times New Roman" w:eastAsia="Times New Roman" w:hAnsi="Times New Roman"/>
          <w:i w:val="1"/>
          <w:sz w:val="24"/>
          <w:szCs w:val="24"/>
          <w:rtl w:val="0"/>
        </w:rPr>
        <w:t xml:space="preserve">“Public authorities must be held to their practices and promises by the courts and the only exception is where a public authority has a sufficient overriding interest to justify a departure from what has been previously promised”</w:t>
      </w:r>
      <w:r w:rsidDel="00000000" w:rsidR="00000000" w:rsidRPr="00000000">
        <w:rPr>
          <w:rFonts w:ascii="Times New Roman" w:cs="Times New Roman" w:eastAsia="Times New Roman" w:hAnsi="Times New Roman"/>
          <w:sz w:val="24"/>
          <w:szCs w:val="24"/>
          <w:rtl w:val="0"/>
        </w:rPr>
        <w:t xml:space="preserve"> in order to fetter the Appellant’s legitimate expectation.</w:t>
      </w:r>
    </w:p>
    <w:p w:rsidR="00000000" w:rsidDel="00000000" w:rsidP="00000000" w:rsidRDefault="00000000" w:rsidRPr="00000000" w14:paraId="00000047">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consolidation of the Appellants’ operations and leveraging on complementary synergies to them is an opportunity that would give them a chance at competing in the market. The role of the Respondent therefore is to give effect to the said intention provided the same does not negatively affect competition. This, therefore, means that the burden of proof shifts to the Respondent to demonstrate that the merger negatively affects competition thus informing its decision to impose the conditions disputed herein.</w:t>
      </w:r>
    </w:p>
    <w:p w:rsidR="00000000" w:rsidDel="00000000" w:rsidP="00000000" w:rsidRDefault="00000000" w:rsidRPr="00000000" w14:paraId="00000048">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 in imposing condition 1 has stated that the same is to ensure that the merged entity does not sell the spectrum allocation. It has not denied the contention, that, the same cannot be sold without the written consent of the Communications Authority of Kenya and pursuant to the terms of the licence. The Respondent has not given any evidence to back its speculation that the market will be at a threat of being turned into a monopoly if condition 1 and 2 are not imposed. It has further steered clear of the Appellants’ argument that there are adequate safeguards to cushion such an eventuality.</w:t>
      </w:r>
    </w:p>
    <w:p w:rsidR="00000000" w:rsidDel="00000000" w:rsidP="00000000" w:rsidRDefault="00000000" w:rsidRPr="00000000" w14:paraId="00000049">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present case, the appellants are decrying injury in the market facing a dominant leader and without approval of the merger both entities will face collapse. As a result, the market will be dominated by a single market player contrary to the import of competition law. On the other hand, Safaricom PLC submitted to the respondent that it will be disadvantaged when the appellants merge their spectrum base and therefore it will not be able to offer quality services like before.</w:t>
      </w:r>
    </w:p>
    <w:p w:rsidR="00000000" w:rsidDel="00000000" w:rsidP="00000000" w:rsidRDefault="00000000" w:rsidRPr="00000000" w14:paraId="0000004A">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of this Review Application is that the Respondent has stifled competition by imposing the impugned conditions on the Appellants’ merger. It flows therefore that by imposing the obligation that the 900MHZ and the 1900MHZ reverts back to the government without granting the Appellants the right to battle for its renewal as per the terms of the licence it holds would mean that the complementary synergies would be short lived considering that the same expires in four years while it is submitted that the merged entity needs two years to break even.</w:t>
      </w:r>
    </w:p>
    <w:p w:rsidR="00000000" w:rsidDel="00000000" w:rsidP="00000000" w:rsidRDefault="00000000" w:rsidRPr="00000000" w14:paraId="0000004B">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is trite law that the purpose of competition law is to protect and nurture competition and not to shield the competitors. This was provided for in the </w:t>
      </w:r>
      <w:r w:rsidDel="00000000" w:rsidR="00000000" w:rsidRPr="00000000">
        <w:rPr>
          <w:rFonts w:ascii="Times New Roman" w:cs="Times New Roman" w:eastAsia="Times New Roman" w:hAnsi="Times New Roman"/>
          <w:b w:val="1"/>
          <w:i w:val="1"/>
          <w:sz w:val="24"/>
          <w:szCs w:val="24"/>
          <w:rtl w:val="0"/>
        </w:rPr>
        <w:t xml:space="preserve">United States Supreme Court case</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b w:val="1"/>
          <w:i w:val="1"/>
          <w:sz w:val="24"/>
          <w:szCs w:val="24"/>
          <w:rtl w:val="0"/>
        </w:rPr>
        <w:t xml:space="preserve">Brunswick Corp. v. Pueblo Bowl-O-Mat, Inc</w:t>
      </w:r>
      <w:r w:rsidDel="00000000" w:rsidR="00000000" w:rsidRPr="00000000">
        <w:rPr>
          <w:rFonts w:ascii="Times New Roman" w:cs="Times New Roman" w:eastAsia="Times New Roman" w:hAnsi="Times New Roman"/>
          <w:sz w:val="24"/>
          <w:szCs w:val="24"/>
          <w:rtl w:val="0"/>
        </w:rPr>
        <w:t xml:space="preserve">. which held that the antitrust laws “</w:t>
      </w:r>
      <w:r w:rsidDel="00000000" w:rsidR="00000000" w:rsidRPr="00000000">
        <w:rPr>
          <w:rFonts w:ascii="Times New Roman" w:cs="Times New Roman" w:eastAsia="Times New Roman" w:hAnsi="Times New Roman"/>
          <w:i w:val="1"/>
          <w:sz w:val="24"/>
          <w:szCs w:val="24"/>
          <w:rtl w:val="0"/>
        </w:rPr>
        <w:t xml:space="preserve">were enacted for the protection of ‘competition, not competitors’.” </w:t>
      </w:r>
      <w:r w:rsidDel="00000000" w:rsidR="00000000" w:rsidRPr="00000000">
        <w:rPr>
          <w:rFonts w:ascii="Times New Roman" w:cs="Times New Roman" w:eastAsia="Times New Roman" w:hAnsi="Times New Roman"/>
          <w:sz w:val="24"/>
          <w:szCs w:val="24"/>
          <w:rtl w:val="0"/>
        </w:rPr>
        <w:t xml:space="preserve">The Tribunal notes that the Appellants have submitted that there are mechanisms that the market regulator (Communication Authority of Kenya) can utilise in recovering the 900MHZ and 1800MHZ spectrum in case a new entrant comes up. This preposition is not disputed by the Respondent. Further, we have been shown that the licences and spectrum are adequately governed by the terms of the licence. In any event, the regulator (CA) under Section 39 of the </w:t>
      </w:r>
      <w:r w:rsidDel="00000000" w:rsidR="00000000" w:rsidRPr="00000000">
        <w:rPr>
          <w:rFonts w:ascii="Times New Roman" w:cs="Times New Roman" w:eastAsia="Times New Roman" w:hAnsi="Times New Roman"/>
          <w:i w:val="1"/>
          <w:sz w:val="24"/>
          <w:szCs w:val="24"/>
          <w:rtl w:val="0"/>
        </w:rPr>
        <w:t xml:space="preserve">Kenya Information Communications Act,</w:t>
      </w:r>
      <w:r w:rsidDel="00000000" w:rsidR="00000000" w:rsidRPr="00000000">
        <w:rPr>
          <w:rFonts w:ascii="Times New Roman" w:cs="Times New Roman" w:eastAsia="Times New Roman" w:hAnsi="Times New Roman"/>
          <w:sz w:val="24"/>
          <w:szCs w:val="24"/>
          <w:rtl w:val="0"/>
        </w:rPr>
        <w:t xml:space="preserve"> 1998 can divest the 900MHZ and the 1800MHZ if a new entrant comes into the market.</w:t>
      </w:r>
    </w:p>
    <w:p w:rsidR="00000000" w:rsidDel="00000000" w:rsidP="00000000" w:rsidRDefault="00000000" w:rsidRPr="00000000" w14:paraId="0000004C">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 states that the Appellants may have the probable interest of hoarding the spectrum in order to sell to new entrants in the market. This argument is flawed because even if that was the case, the transfer or the sale would not happen without the written consent of the Communications Authority of Kenya or with the knowledge of the Respondent who will then intervene. In light that the Appellants have indicated that they seek to benefit from the merger to compete against a leading market player, there is no evidence of the Respondent’s speculation and in any event, there are adequate rail guards to cushion against such an eventuality. There exists a right of legitimate expectation as pleaded by the Appellants on renewal of the licence and adherence to the term. We have also found that the Communications Authority of Kenya is in a better position to analyse the terms of the licence and it would be improper for the Respondent to abrogate that right by pre-empting the terms of the licence including the right of renewal.</w:t>
      </w:r>
    </w:p>
    <w:p w:rsidR="00000000" w:rsidDel="00000000" w:rsidP="00000000" w:rsidRDefault="00000000" w:rsidRPr="00000000" w14:paraId="0000004D">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being the case, the only logical conclusion is that the licences be governed by the subsisting terms of the licence which shall be reviewed by the Communications Authority of Kenya and by the Respondent if need be at the time the licence falls due for renewal. The Respondent has failed to support the rationale for its condition.</w:t>
      </w:r>
    </w:p>
    <w:p w:rsidR="00000000" w:rsidDel="00000000" w:rsidP="00000000" w:rsidRDefault="00000000" w:rsidRPr="00000000" w14:paraId="0000004E">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condition 1, the fact that the Appellants are not in a position to sell the operating licences and the spectrum allocation without the express written consent of the Communications Authority of Kenya is sufficient. Furthermore, since the Respondent and the Communications Authority of Kenya have a memorandum of understanding on evaluating such transactions, condition 1 is not only superfluous but pre-mature.</w:t>
      </w:r>
    </w:p>
    <w:p w:rsidR="00000000" w:rsidDel="00000000" w:rsidP="00000000" w:rsidRDefault="00000000" w:rsidRPr="00000000" w14:paraId="0000004F">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condition 2, even though the Respondent has submitted that the 900MHZ and 1800MHZ spectrum is a critical resource for a new market entrant, a fact that is not disputed by the Appellants. There is, however, no indication that a new entrant is in the offing.  It is therefore evident that there is no impediment on the side of the regulator from recovering the 900MHZ and 1800MHZ spectrum should a new market entrant emerge. In the meantime, the Respondent has not shown sufficient ground to depart from the terms and conditions imposed by the market regulator i.e. the Communications Authority of Kenya.</w:t>
      </w:r>
    </w:p>
    <w:p w:rsidR="00000000" w:rsidDel="00000000" w:rsidP="00000000" w:rsidRDefault="00000000" w:rsidRPr="00000000" w14:paraId="00000050">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therefore the Tribunals finding that the imposition of condition 1 and 2 is improper and is reviewed and replaced with the condition that the licences shall be held in accordance with the terms of the licence granted by the Communications Authority of Kenya.</w:t>
      </w:r>
    </w:p>
    <w:p w:rsidR="00000000" w:rsidDel="00000000" w:rsidP="00000000" w:rsidRDefault="00000000" w:rsidRPr="00000000" w14:paraId="00000051">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 Condition 3 in relation to banning the entry into any form of sale agreement within five (5) years imposed by the Competition Authority of Kenya in its Notice of Determination of the Appellants proposed transaction gazetted on 13</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rtl w:val="0"/>
        </w:rPr>
        <w:t xml:space="preserve"> December 2019</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Respondent argues that this horizontal merger will create a duopoly thereby raising the barrier for entry by another party. </w:t>
      </w:r>
    </w:p>
    <w:p w:rsidR="00000000" w:rsidDel="00000000" w:rsidP="00000000" w:rsidRDefault="00000000" w:rsidRPr="00000000" w14:paraId="00000052">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 is apprehensive that should the merged entity sell its business to the other current player in the market this would create a monopoly. The Respondent is also apprehensive that if the merged entity should fail, a monopoly would also be created. It is for this reason that the Respondent imposed the conditions on the Appellants prohibiting them from selling the merged entity and exposing consumers to the risk of a monopoly in the industry. The Appellants in rejoinder argue that this condition is what will lead to the creation of a monopoly. The Appellants argue that if they are restricted from selling their shares to raise capital, they will in the long run shrivel and exit the market. Unless the merged entity can invite investors to inject capital in the business, it would never compete with the dominant player. The Appellants argue that this condition is repressive to the growth of the merged entity.</w:t>
      </w:r>
    </w:p>
    <w:p w:rsidR="00000000" w:rsidDel="00000000" w:rsidP="00000000" w:rsidRDefault="00000000" w:rsidRPr="00000000" w14:paraId="00000053">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Appellants contend that the blanket moratorium on entering into any form of sale agreement deters investments and limits the merged entity’s ability to attract capital in a capital-intensive industry and hinders it from otherwise dealing with the assets of the company or its business. The Appellants expound that the condition in its form curtails the merged entity from selling or attracting capital through the sale of its shares and to enter into sale agreements in their ordinary course of business or to bring on board new investors. The term ‘any form of sale agreement’ is broad and wide as submitted by the Appellants. It is open to wide and arbitrary interpretation. The Appellants further submit that the condition is in itself anti-competitive thus curtailing the ability of the merged entity to grow and be competitive in the market.</w:t>
      </w:r>
    </w:p>
    <w:p w:rsidR="00000000" w:rsidDel="00000000" w:rsidP="00000000" w:rsidRDefault="00000000" w:rsidRPr="00000000" w14:paraId="00000054">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 has in the Replying Affidavit clarified that the sale agreement is intended to prohibit the Appellants from selling the merged entity, since as per the Appellants submissions, they are merging to realise the synergies that would come with the merger.</w:t>
      </w:r>
    </w:p>
    <w:p w:rsidR="00000000" w:rsidDel="00000000" w:rsidP="00000000" w:rsidRDefault="00000000" w:rsidRPr="00000000" w14:paraId="00000055">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reading of the condition leaves no doubt that it prohibits all forms of sale and transactions in relation to the merger. The Respondent is of the opinion that the merged entity should be accorded adequate opportunity to grow and be prohibited from selling the merged entity for a period of five years. The Appellants on the other hand have submitted that they need two years to break even.</w:t>
      </w:r>
    </w:p>
    <w:p w:rsidR="00000000" w:rsidDel="00000000" w:rsidP="00000000" w:rsidRDefault="00000000" w:rsidRPr="00000000" w14:paraId="00000056">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tribunal was of the opinion that since the Appellants are at liberty to float and sell shares of the merged entity to attract capital or in the normal course of business, there is need to elaborate certain restrictions to foster competition. Therefore, in case the merged entity floats and sells its shares, it shall not sell a substantial share to a market competitor holding more that forty per centum (40%) of the market share. This is to avoid the possibility of buyout making the sector a monopoly.</w:t>
      </w:r>
    </w:p>
    <w:p w:rsidR="00000000" w:rsidDel="00000000" w:rsidP="00000000" w:rsidRDefault="00000000" w:rsidRPr="00000000" w14:paraId="00000057">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tribunal was of the opinion that the respondent failed to satisfy the rationale of the failing firm doctrine (defence to anti-competitive merger) post-merger. Condition 3 is therefore reviewed and varied to the extent that the Appellants shall not sell the merged entity or its business for the next five years. Further, in the case of the sale of its shares, it shall not offer for sale more than forty per centum (40%) of its shares to a competitor holding more than forty per centum (40%) of the market share. For avoidance of doubt the merged entity will be at liberty to enter into commercial agreements necessary for the running of its affairs as a going concern. Thereafter, upon expiry of five years of implementing, the merged entity shall be at liberty to proceed as it wishes without restrictions.</w:t>
      </w:r>
    </w:p>
    <w:p w:rsidR="00000000" w:rsidDel="00000000" w:rsidP="00000000" w:rsidRDefault="00000000" w:rsidRPr="00000000" w14:paraId="00000058">
      <w:pPr>
        <w:spacing w:after="150" w:before="15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 4 on the merged entity to honour all the existing contractual terms with the government entities was not contested.</w:t>
      </w:r>
    </w:p>
    <w:p w:rsidR="00000000" w:rsidDel="00000000" w:rsidP="00000000" w:rsidRDefault="00000000" w:rsidRPr="00000000" w14:paraId="00000059">
      <w:pPr>
        <w:spacing w:after="150" w:before="15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 condition 5 and 6,</w:t>
      </w:r>
      <w:r w:rsidDel="00000000" w:rsidR="00000000" w:rsidRPr="00000000">
        <w:rPr>
          <w:rFonts w:ascii="Times New Roman" w:cs="Times New Roman" w:eastAsia="Times New Roman" w:hAnsi="Times New Roman"/>
          <w:b w:val="1"/>
          <w:i w:val="1"/>
          <w:sz w:val="24"/>
          <w:szCs w:val="24"/>
          <w:rtl w:val="0"/>
        </w:rPr>
        <w:t xml:space="preserve"> on preventing commercial negotiations with Government in relation to access of fibre managed by the 1</w:t>
      </w:r>
      <w:r w:rsidDel="00000000" w:rsidR="00000000" w:rsidRPr="00000000">
        <w:rPr>
          <w:rFonts w:ascii="Times New Roman" w:cs="Times New Roman" w:eastAsia="Times New Roman" w:hAnsi="Times New Roman"/>
          <w:b w:val="1"/>
          <w:i w:val="1"/>
          <w:sz w:val="24"/>
          <w:szCs w:val="24"/>
          <w:vertAlign w:val="superscript"/>
          <w:rtl w:val="0"/>
        </w:rPr>
        <w:t xml:space="preserve">st</w:t>
      </w:r>
      <w:r w:rsidDel="00000000" w:rsidR="00000000" w:rsidRPr="00000000">
        <w:rPr>
          <w:rFonts w:ascii="Times New Roman" w:cs="Times New Roman" w:eastAsia="Times New Roman" w:hAnsi="Times New Roman"/>
          <w:b w:val="1"/>
          <w:i w:val="1"/>
          <w:sz w:val="24"/>
          <w:szCs w:val="24"/>
          <w:rtl w:val="0"/>
        </w:rPr>
        <w:t xml:space="preserve"> Appellant imposed by the Competition Authority of Kenya in its Notice of Determination of the Appellants’ proposed transaction gazetted on 13</w:t>
      </w:r>
      <w:r w:rsidDel="00000000" w:rsidR="00000000" w:rsidRPr="00000000">
        <w:rPr>
          <w:rFonts w:ascii="Times New Roman" w:cs="Times New Roman" w:eastAsia="Times New Roman" w:hAnsi="Times New Roman"/>
          <w:b w:val="1"/>
          <w:i w:val="1"/>
          <w:sz w:val="24"/>
          <w:szCs w:val="24"/>
          <w:vertAlign w:val="superscript"/>
          <w:rtl w:val="0"/>
        </w:rPr>
        <w:t xml:space="preserve">th</w:t>
      </w:r>
      <w:r w:rsidDel="00000000" w:rsidR="00000000" w:rsidRPr="00000000">
        <w:rPr>
          <w:rFonts w:ascii="Times New Roman" w:cs="Times New Roman" w:eastAsia="Times New Roman" w:hAnsi="Times New Roman"/>
          <w:b w:val="1"/>
          <w:i w:val="1"/>
          <w:sz w:val="24"/>
          <w:szCs w:val="24"/>
          <w:rtl w:val="0"/>
        </w:rPr>
        <w:t xml:space="preserve"> December 2019, </w:t>
      </w:r>
      <w:r w:rsidDel="00000000" w:rsidR="00000000" w:rsidRPr="00000000">
        <w:rPr>
          <w:rFonts w:ascii="Times New Roman" w:cs="Times New Roman" w:eastAsia="Times New Roman" w:hAnsi="Times New Roman"/>
          <w:b w:val="1"/>
          <w:sz w:val="24"/>
          <w:szCs w:val="24"/>
          <w:rtl w:val="0"/>
        </w:rPr>
        <w:t xml:space="preserve">the Appellants argue that these conditions seek to inhibit the merged entities’ right to negotiate prices with the Government for access to fibre. </w:t>
      </w:r>
    </w:p>
    <w:p w:rsidR="00000000" w:rsidDel="00000000" w:rsidP="00000000" w:rsidRDefault="00000000" w:rsidRPr="00000000" w14:paraId="0000005A">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Appellants contend that the conditions are meant to ensure that the Appellants are not able to compete with the dominant player in the market, and that no similar conditions have been imposed on any other player in the market. The Appellants argue that these conditions are therefore biased and unnecessary.</w:t>
      </w:r>
    </w:p>
    <w:p w:rsidR="00000000" w:rsidDel="00000000" w:rsidP="00000000" w:rsidRDefault="00000000" w:rsidRPr="00000000" w14:paraId="0000005B">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 on the other hand contends that the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Appellant has been contracted by the Government to manage on its behalf 4,204km fibre optic cable which it relies on for communication. Once the merger is finalized, the government will no longer have a controlling stake in the merged entity. It is only fair then that the merged entity competes competitively for the access, maintenance and use of the Government’s 4,204km fibre optic cable. The Respondent further argues that </w:t>
      </w:r>
      <w:r w:rsidDel="00000000" w:rsidR="00000000" w:rsidRPr="00000000">
        <w:rPr>
          <w:rFonts w:ascii="Times New Roman" w:cs="Times New Roman" w:eastAsia="Times New Roman" w:hAnsi="Times New Roman"/>
          <w:b w:val="1"/>
          <w:i w:val="1"/>
          <w:sz w:val="24"/>
          <w:szCs w:val="24"/>
          <w:rtl w:val="0"/>
        </w:rPr>
        <w:t xml:space="preserve">Condition 6</w:t>
      </w:r>
      <w:r w:rsidDel="00000000" w:rsidR="00000000" w:rsidRPr="00000000">
        <w:rPr>
          <w:rFonts w:ascii="Times New Roman" w:cs="Times New Roman" w:eastAsia="Times New Roman" w:hAnsi="Times New Roman"/>
          <w:sz w:val="24"/>
          <w:szCs w:val="24"/>
          <w:rtl w:val="0"/>
        </w:rPr>
        <w:t xml:space="preserve"> was imposed on the premise that if the merged entity was accorded preferential access to use capacity on the Government’s fibre, the same will result to unfair competition since other competitors are not accorded the same privilege.</w:t>
      </w:r>
    </w:p>
    <w:p w:rsidR="00000000" w:rsidDel="00000000" w:rsidP="00000000" w:rsidRDefault="00000000" w:rsidRPr="00000000" w14:paraId="0000005C">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Appellants on the other hand argue that this condition is meant to ensure that dominant player’s position is entrenched. The Appellants challenge also the condition on the ground that presently, they do not manage the resource on behalf of the government but rather the Government of Kenya is now managing and selling the fibre capacity directly.</w:t>
      </w:r>
    </w:p>
    <w:p w:rsidR="00000000" w:rsidDel="00000000" w:rsidP="00000000" w:rsidRDefault="00000000" w:rsidRPr="00000000" w14:paraId="0000005D">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Respondents submits that the Government of Kenya currently holds a 40% share in the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Appellant and therefore able to utilise the government fibre unhindered. The Respondent is of the opinion that in a bid to ensure fair competition among the players, the merged entity should be exposed to the same conditions as those seeking to access government fibre because allowing the merged entity a preferential treatment would in effect lower its costs of operations and increase their profits unfairly vis a vis other market players. The Respondent further contends that the Appellants in their own admission, the merged entity seeks to have unhindered access to more that it is currently utilising and the same is likely to be free of charge. It also contends that the Government of Kenya is set to loose revenue because it was not consulted. It also feels that once the merger is finalised, the Government of Kenya would no longer have a controlling stake in the merged entity as it does with the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Appellant.</w:t>
      </w:r>
    </w:p>
    <w:p w:rsidR="00000000" w:rsidDel="00000000" w:rsidP="00000000" w:rsidRDefault="00000000" w:rsidRPr="00000000" w14:paraId="0000005E">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 seems to suggest that the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Appellant currently has a competitive advantage over other market players by virtue of its position. The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Appellant however denies the same by stating that currently; the Government of Kenya is now managing and selling fibre optic capacity directly.</w:t>
      </w:r>
    </w:p>
    <w:p w:rsidR="00000000" w:rsidDel="00000000" w:rsidP="00000000" w:rsidRDefault="00000000" w:rsidRPr="00000000" w14:paraId="0000005F">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relation to the Appellants contention that condition 5 and 6 are discriminatory, the tribunal noted that the Appellants have to demonstrate that the conditions are </w:t>
      </w:r>
      <w:r w:rsidDel="00000000" w:rsidR="00000000" w:rsidRPr="00000000">
        <w:rPr>
          <w:rFonts w:ascii="Times New Roman" w:cs="Times New Roman" w:eastAsia="Times New Roman" w:hAnsi="Times New Roman"/>
          <w:i w:val="1"/>
          <w:sz w:val="24"/>
          <w:szCs w:val="24"/>
          <w:rtl w:val="0"/>
        </w:rPr>
        <w:t xml:space="preserve">unreasonable or arbitrary and created for an illegitimate or surreptitious purpose.</w:t>
      </w:r>
      <w:r w:rsidDel="00000000" w:rsidR="00000000" w:rsidRPr="00000000">
        <w:rPr>
          <w:rFonts w:ascii="Times New Roman" w:cs="Times New Roman" w:eastAsia="Times New Roman" w:hAnsi="Times New Roman"/>
          <w:sz w:val="24"/>
          <w:szCs w:val="24"/>
          <w:rtl w:val="0"/>
        </w:rPr>
        <w:t xml:space="preserve"> The tribunal found that the Respondent’s reason for the imposition albeit contested is not discriminatory since the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Appellant is at a perceived advantageous position to access government fibre optic. It also found that the perceived ground is not unreasonable, arbitrary or created for an illegitimate purpose but rather giving all the market players an equal footing. </w:t>
      </w:r>
    </w:p>
    <w:p w:rsidR="00000000" w:rsidDel="00000000" w:rsidP="00000000" w:rsidRDefault="00000000" w:rsidRPr="00000000" w14:paraId="00000060">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Tribunal, therefore, to give effect to the above finding qualifies Condition 5 and 6 by adding that: Condition 5 and 6 shall not be construed that, the merged entity is not at liberty to negotiate with the Government of Kenya over the use of the fibre optic cable. The merged entity shall therefore be at liberty to negotiate in open market terms and conditions for the use of the Government of Kenya fibre optic cable.</w:t>
      </w:r>
    </w:p>
    <w:p w:rsidR="00000000" w:rsidDel="00000000" w:rsidP="00000000" w:rsidRDefault="00000000" w:rsidRPr="00000000" w14:paraId="00000061">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Condition 7 in relation to the retention period of employees of the target for two years, </w:t>
      </w:r>
      <w:r w:rsidDel="00000000" w:rsidR="00000000" w:rsidRPr="00000000">
        <w:rPr>
          <w:rFonts w:ascii="Times New Roman" w:cs="Times New Roman" w:eastAsia="Times New Roman" w:hAnsi="Times New Roman"/>
          <w:sz w:val="24"/>
          <w:szCs w:val="24"/>
          <w:rtl w:val="0"/>
        </w:rPr>
        <w:t xml:space="preserve">the Appellants contend that the time should be reduced to twelve (12) months instead of the two (2) years imposed by the Respondent. </w:t>
      </w:r>
    </w:p>
    <w:p w:rsidR="00000000" w:rsidDel="00000000" w:rsidP="00000000" w:rsidRDefault="00000000" w:rsidRPr="00000000" w14:paraId="00000062">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Appellants have argued that Condition 7 is discriminatory hence unconstitutional. According to the Appellant, the CBA/ NIC merger and the acquisition of certain assets of Top Steel Kenya Limited by Abysinnia Iron and Steel Limited, the Respondent imposed a 12-month restrictive condition. The Respondent annexed to their Replying Affidavit a copy of the Notice of Board Determination of the proposed Merger between Commercial Bank of Africa Limited and NIC Group PLC and the one for the proposed acquisition of a controlling stake in Almasi Beverages Limited by Coca-Cola Sabco (East Africa) Limited where in the former merger, the Respondent imposed a period of 12 months and in the latter acquisition, the Respondent imposed a period of three (3) years.</w:t>
      </w:r>
    </w:p>
    <w:p w:rsidR="00000000" w:rsidDel="00000000" w:rsidP="00000000" w:rsidRDefault="00000000" w:rsidRPr="00000000" w14:paraId="00000063">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 has argued that the condition on retention of employees is determined on a case to case basis. The Respondent contends that the specialized nature of the employment of the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Appellant and the fact that there would only be two telecommunication companies in the country is what informed their decision. The Appellants had also submitted to the Respondent that they would require two years to break even.</w:t>
      </w:r>
    </w:p>
    <w:p w:rsidR="00000000" w:rsidDel="00000000" w:rsidP="00000000" w:rsidRDefault="00000000" w:rsidRPr="00000000" w14:paraId="00000064">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before us we note that the telecommunications market in Kenya post the merger will only have two market players i.e. the merged entity and Safaricom PLC. The tribunal found that the Appellants’ contention that similar conditions were not employed to other mergers not convincing because each merger has to be determined in taking into account the unique market dynamics and conditions in the sector. Such differentiation is not discriminatory and fails to fulfil the requirements laid down by the Court of Appeal in the case of </w:t>
      </w:r>
      <w:r w:rsidDel="00000000" w:rsidR="00000000" w:rsidRPr="00000000">
        <w:rPr>
          <w:rFonts w:ascii="Times New Roman" w:cs="Times New Roman" w:eastAsia="Times New Roman" w:hAnsi="Times New Roman"/>
          <w:b w:val="1"/>
          <w:i w:val="1"/>
          <w:sz w:val="24"/>
          <w:szCs w:val="24"/>
          <w:rtl w:val="0"/>
        </w:rPr>
        <w:t xml:space="preserve">Mohammed Abduba Dida v Debate Media Limited &amp; another</w:t>
      </w:r>
      <w:r w:rsidDel="00000000" w:rsidR="00000000" w:rsidRPr="00000000">
        <w:rPr>
          <w:rFonts w:ascii="Times New Roman" w:cs="Times New Roman" w:eastAsia="Times New Roman" w:hAnsi="Times New Roman"/>
          <w:sz w:val="24"/>
          <w:szCs w:val="24"/>
          <w:rtl w:val="0"/>
        </w:rPr>
        <w:t xml:space="preserve"> (Supra).</w:t>
      </w:r>
    </w:p>
    <w:p w:rsidR="00000000" w:rsidDel="00000000" w:rsidP="00000000" w:rsidRDefault="00000000" w:rsidRPr="00000000" w14:paraId="00000065">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t>
      </w:r>
      <w:r w:rsidDel="00000000" w:rsidR="00000000" w:rsidRPr="00000000">
        <w:rPr>
          <w:rFonts w:ascii="Times New Roman" w:cs="Times New Roman" w:eastAsia="Times New Roman" w:hAnsi="Times New Roman"/>
          <w:b w:val="1"/>
          <w:i w:val="1"/>
          <w:sz w:val="24"/>
          <w:szCs w:val="24"/>
          <w:rtl w:val="0"/>
        </w:rPr>
        <w:t xml:space="preserve">Condition 8 in regard to furnishing of detailed annual reports on the compliance with the above conditions: </w:t>
      </w:r>
      <w:r w:rsidDel="00000000" w:rsidR="00000000" w:rsidRPr="00000000">
        <w:rPr>
          <w:rFonts w:ascii="Times New Roman" w:cs="Times New Roman" w:eastAsia="Times New Roman" w:hAnsi="Times New Roman"/>
          <w:sz w:val="24"/>
          <w:szCs w:val="24"/>
          <w:rtl w:val="0"/>
        </w:rPr>
        <w:t xml:space="preserve">The condition is challenged on a single ground i.e. that the Respondent has not specified a time limit on the requirement to provide annual reports and it is an unjustified imposition of a condition to provide indefinite annual reports on compliance of conditions most of which are contested. The Respondent in response states that the two (2) years proposed by the Appellants may be impracticable from an enforcement point of view. It submits that since the conditions are time bound, it would be imperative that the reports are made in time. The Appellants’ concern is the indefinite time imposed by the Respondent. The bone of contention herein is straight forward, the Appellants do not contend that they should not submit the reports but rather that there should be a time frame for furnishing detailed reports.</w:t>
      </w:r>
    </w:p>
    <w:p w:rsidR="00000000" w:rsidDel="00000000" w:rsidP="00000000" w:rsidRDefault="00000000" w:rsidRPr="00000000" w14:paraId="00000066">
      <w:pPr>
        <w:spacing w:after="150" w:before="1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tribunal reviewed condition 8 and imposed a time limit of two years. Therefore, the merged entity shall for the first two years </w:t>
      </w:r>
      <w:r w:rsidDel="00000000" w:rsidR="00000000" w:rsidRPr="00000000">
        <w:rPr>
          <w:rFonts w:ascii="Times New Roman" w:cs="Times New Roman" w:eastAsia="Times New Roman" w:hAnsi="Times New Roman"/>
          <w:i w:val="1"/>
          <w:sz w:val="24"/>
          <w:szCs w:val="24"/>
          <w:rtl w:val="0"/>
        </w:rPr>
        <w:t xml:space="preserve">of effecting the merger</w:t>
      </w:r>
      <w:r w:rsidDel="00000000" w:rsidR="00000000" w:rsidRPr="00000000">
        <w:rPr>
          <w:rFonts w:ascii="Times New Roman" w:cs="Times New Roman" w:eastAsia="Times New Roman" w:hAnsi="Times New Roman"/>
          <w:sz w:val="24"/>
          <w:szCs w:val="24"/>
          <w:rtl w:val="0"/>
        </w:rPr>
        <w:t xml:space="preserve">, furnish annually the Authority with a detailed report on compliance of the conditions as modified, varied or affirmed by this Tribunal.</w:t>
      </w:r>
    </w:p>
    <w:p w:rsidR="00000000" w:rsidDel="00000000" w:rsidP="00000000" w:rsidRDefault="00000000" w:rsidRPr="00000000" w14:paraId="00000067">
      <w:pPr>
        <w:spacing w:after="150" w:before="15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Holding</w:t>
      </w:r>
    </w:p>
    <w:p w:rsidR="00000000" w:rsidDel="00000000" w:rsidP="00000000" w:rsidRDefault="00000000" w:rsidRPr="00000000" w14:paraId="00000068">
      <w:pPr>
        <w:numPr>
          <w:ilvl w:val="0"/>
          <w:numId w:val="1"/>
        </w:numPr>
        <w:spacing w:after="0" w:before="15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1 was reviewed and varied to the effect that the merged entity shall hold the operating and frequency Spectrum licences in accordance with the terms and conditions imposed by the regulator (communication Commission of Kenya) at the time of issuing the licence including the pre-emptive right of renewal.</w:t>
      </w:r>
    </w:p>
    <w:p w:rsidR="00000000" w:rsidDel="00000000" w:rsidP="00000000" w:rsidRDefault="00000000" w:rsidRPr="00000000" w14:paraId="00000069">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2 was reviewed and varied to the effect that the merged entities’ operating and spectrum licence, the spectrum in the 900MHZ and 1800MHZ acquired from Telkom shall be held by the merged entity in accordance with the terms and conditions imposed by the regulator (Communications Authority of Kenya) including the pre-emptive right of renewal;</w:t>
      </w:r>
    </w:p>
    <w:p w:rsidR="00000000" w:rsidDel="00000000" w:rsidP="00000000" w:rsidRDefault="00000000" w:rsidRPr="00000000" w14:paraId="0000006A">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3 was reviewed and varied to the effect that the merged entity shall not sell the merged business/enterprise for a period of five (5) years but can enter into agreements (including sale agreements and sale of shares) in the ordinary course of business provided that where shares of the merged entity are sold, the same shall be limited to not more than forty per centum (40%), further, the merged entity shall not sell a substantial portion of its share to a market competitor holding more than forty per centum (40%) of the market share;</w:t>
      </w:r>
    </w:p>
    <w:p w:rsidR="00000000" w:rsidDel="00000000" w:rsidP="00000000" w:rsidRDefault="00000000" w:rsidRPr="00000000" w14:paraId="0000006B">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Condition 5 and 6 were affirmed save to state the condition does not curtail the concept of freedom of contract between the merged entity and the Government of Kenya, therefore, the merged entity is at liberty to negotiate with the Government of Kenya on use of the fibre;</w:t>
      </w:r>
    </w:p>
    <w:p w:rsidR="00000000" w:rsidDel="00000000" w:rsidP="00000000" w:rsidRDefault="00000000" w:rsidRPr="00000000" w14:paraId="0000006C">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Condition 7 was affirmed;</w:t>
      </w:r>
    </w:p>
    <w:p w:rsidR="00000000" w:rsidDel="00000000" w:rsidP="00000000" w:rsidRDefault="00000000" w:rsidRPr="00000000" w14:paraId="0000006D">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Condition 8 was reviewed and varied to the extent that the merged entity shall for the first two years of effecting the merger, annually furnish the Competition Authority of Kenya with a detailed report on the compliance of the conditions as varied, modified or affirmed by this Tribunal.</w:t>
      </w:r>
    </w:p>
    <w:p w:rsidR="00000000" w:rsidDel="00000000" w:rsidP="00000000" w:rsidRDefault="00000000" w:rsidRPr="00000000" w14:paraId="0000006E">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present circumstances and taking into account the outcome of this Appeal, each party to bear its own costs.</w:t>
      </w:r>
      <w:r w:rsidDel="00000000" w:rsidR="00000000" w:rsidRPr="00000000">
        <w:rPr>
          <w:rtl w:val="0"/>
        </w:rPr>
      </w:r>
    </w:p>
    <w:sectPr>
      <w:headerReference r:id="rId8" w:type="defaul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35CC2"/>
    <w:pPr>
      <w:ind w:left="720"/>
      <w:contextualSpacing w:val="1"/>
    </w:pPr>
  </w:style>
  <w:style w:type="paragraph" w:styleId="Header">
    <w:name w:val="header"/>
    <w:basedOn w:val="Normal"/>
    <w:link w:val="HeaderChar"/>
    <w:uiPriority w:val="99"/>
    <w:unhideWhenUsed w:val="1"/>
    <w:rsid w:val="008D7DE2"/>
    <w:pPr>
      <w:tabs>
        <w:tab w:val="center" w:pos="4513"/>
        <w:tab w:val="right" w:pos="9026"/>
      </w:tabs>
      <w:spacing w:after="0" w:line="240" w:lineRule="auto"/>
    </w:pPr>
  </w:style>
  <w:style w:type="character" w:styleId="HeaderChar" w:customStyle="1">
    <w:name w:val="Header Char"/>
    <w:basedOn w:val="DefaultParagraphFont"/>
    <w:link w:val="Header"/>
    <w:uiPriority w:val="99"/>
    <w:rsid w:val="008D7DE2"/>
  </w:style>
  <w:style w:type="paragraph" w:styleId="Footer">
    <w:name w:val="footer"/>
    <w:basedOn w:val="Normal"/>
    <w:link w:val="FooterChar"/>
    <w:uiPriority w:val="99"/>
    <w:unhideWhenUsed w:val="1"/>
    <w:rsid w:val="008D7DE2"/>
    <w:pPr>
      <w:tabs>
        <w:tab w:val="center" w:pos="4513"/>
        <w:tab w:val="right" w:pos="9026"/>
      </w:tabs>
      <w:spacing w:after="0" w:line="240" w:lineRule="auto"/>
    </w:pPr>
  </w:style>
  <w:style w:type="character" w:styleId="FooterChar" w:customStyle="1">
    <w:name w:val="Footer Char"/>
    <w:basedOn w:val="DefaultParagraphFont"/>
    <w:link w:val="Footer"/>
    <w:uiPriority w:val="99"/>
    <w:rsid w:val="008D7DE2"/>
  </w:style>
  <w:style w:type="paragraph" w:styleId="BalloonText">
    <w:name w:val="Balloon Text"/>
    <w:basedOn w:val="Normal"/>
    <w:link w:val="BalloonTextChar"/>
    <w:uiPriority w:val="99"/>
    <w:semiHidden w:val="1"/>
    <w:unhideWhenUsed w:val="1"/>
    <w:rsid w:val="0017067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17067D"/>
    <w:rPr>
      <w:rFonts w:ascii="Segoe UI" w:cs="Segoe UI" w:hAnsi="Segoe UI"/>
      <w:sz w:val="18"/>
      <w:szCs w:val="18"/>
    </w:rPr>
  </w:style>
  <w:style w:type="paragraph" w:styleId="NormalWeb">
    <w:name w:val="Normal (Web)"/>
    <w:basedOn w:val="Normal"/>
    <w:uiPriority w:val="99"/>
    <w:semiHidden w:val="1"/>
    <w:unhideWhenUsed w:val="1"/>
    <w:rsid w:val="00DE2E8F"/>
    <w:rPr>
      <w:rFonts w:ascii="Times New Roman" w:cs="Times New Roman" w:hAnsi="Times New Roman"/>
      <w:sz w:val="24"/>
      <w:szCs w:val="24"/>
    </w:rPr>
  </w:style>
  <w:style w:type="character" w:styleId="Emphasis">
    <w:name w:val="Emphasis"/>
    <w:basedOn w:val="DefaultParagraphFont"/>
    <w:uiPriority w:val="20"/>
    <w:qFormat w:val="1"/>
    <w:rsid w:val="00D451CD"/>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ST1U6wGimflQIJortLjfl8AYQg==">AMUW2mVThhpvPnKiATFek7cqAoijU1s499cRpSwae2D3QwclNuMffh/TpvoYPH/iQ4dGL8UdmAHDQrMvvZ7YnCqHhQEGt9M5Ahp97rDXyR3kLuKDiZUnteE=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2022-05-12T18:55:00Z</dcterms:created>
  <dc:creator>Stephen Odiwuor</dc:creator>
</cp:coreProperties>
</file>