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734191894531" w:right="0" w:firstLine="0"/>
        <w:jc w:val="left"/>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040000915527344"/>
          <w:szCs w:val="23.040000915527344"/>
          <w:u w:val="none"/>
          <w:shd w:fill="auto" w:val="clear"/>
          <w:vertAlign w:val="baseline"/>
          <w:rtl w:val="0"/>
        </w:rPr>
        <w:t xml:space="preserve">KENYA SCHOOL OF LAW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2294921875" w:line="437.825288772583" w:lineRule="auto"/>
        <w:ind w:left="723.8398742675781" w:right="7.518310546875" w:hanging="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is a comparison and contrast of the now repealed, Chattels Transfer Act, Chapter  28 laws of Kenya and the Movable Property Rights Act, No. 13 of 2017 (herein after the Act.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49462890625" w:line="240" w:lineRule="auto"/>
        <w:ind w:left="72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OBJECTS AND SCOPE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720.7199096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objects of the Act under Section 3 are;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461.9816493988037" w:lineRule="auto"/>
        <w:ind w:left="720.4798889160156" w:right="1193.118896484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i.promote consistency and certainty in secured financing relating to movable assets; ii.enhance the ability of individuals and entities to access credit using movable assets; iii.To establish a Registry to facilitate the registration of security rights in movable assets.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381591796875" w:line="435.82566261291504" w:lineRule="auto"/>
        <w:ind w:left="721.1997985839844" w:right="6.558837890625" w:hanging="0.4798889160156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scope of application of security rights in the Act has been limited with respect to some of the  limitations of an instrument as described in the Chattels Transfer Act subject to new provisions.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3798828125" w:line="240" w:lineRule="auto"/>
        <w:ind w:left="728.39981079101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CREATION OF A SECURITY RIGHT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203125" w:line="362.85475730895996" w:lineRule="auto"/>
        <w:ind w:left="722.6399230957031" w:right="2.518310546875" w:hanging="2.40005493164062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security right under section 6 of the Movable Property Rights Act is created by a security  agreement, provided that the grantor has rights in the asset to be encumbered or the power to  encumber it.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507568359375" w:line="240" w:lineRule="auto"/>
        <w:ind w:left="720.239868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security right should: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72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a.be in writing and signed by the grantor;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717.35992431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b.identify the secured creditor and the grantor;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2001953125" w:line="361.85511589050293" w:lineRule="auto"/>
        <w:ind w:left="719.7598266601562" w:right="3.4375" w:firstLine="2.8800964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c.except in the case of an agreement that provides for the outright transfer of a receivable, describe  the secured obligation; 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723.599853515625" w:right="4.15771484375" w:hanging="360.959854125976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Describe the collateral in a manner that reasonably allows their identification and in a manner  indicating that the collateral consists of all of the grantor‘s movable assets, or of all of the grantor‘s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40" w:lineRule="auto"/>
        <w:ind w:left="720.4798889160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movable assets within a generic category.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726.83990478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3,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3.3598327636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8(3)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3251953125" w:line="412.66857147216797" w:lineRule="auto"/>
        <w:ind w:left="720.4798889160156" w:right="5.59814453125" w:firstLine="6.2399291992187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8(3) of the Act provides that a reasonable identification of the collateral through  description is by; specific listing, category, a type of collateral defined in the act and quantity It  also provides that a security agreement entered is enforceable and creates a security right,  irrespective of the satisfaction of the requirements that may be imposed by any other law.</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510009765625" w:line="240" w:lineRule="auto"/>
        <w:ind w:left="720.7199096679688" w:right="0" w:firstLine="0"/>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extends the meaning of a security right to</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195068359375" w:line="437.825288772583" w:lineRule="auto"/>
        <w:ind w:left="717.3599243164062" w:right="1.959228515625" w:firstLine="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.identifiable proceeds where proceeds in the form of funds credited to a deposit account or money  become commingled assets the security right extends to the commingled assets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49462890625" w:line="240" w:lineRule="auto"/>
        <w:ind w:left="717.35992431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commingled goods in case of collaterals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8486328125" w:line="240" w:lineRule="auto"/>
        <w:ind w:left="722.639923095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tangible assets covered by negotiable instruments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119873046875" w:line="240" w:lineRule="auto"/>
        <w:ind w:left="720.47988891601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 OF A SECURITY RIGHT TO THIRD PARTIES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399.840087890625" w:lineRule="auto"/>
        <w:ind w:left="717.8398132324219" w:right="2.7587890625" w:firstLine="8.880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15 of the Act provides that a security right is effective against third parties if a notice with  respect to the security right is registered with the Registrar.</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16 further provides that a  security right in any proceeds is effective against third parties if—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7969970703125" w:line="240" w:lineRule="auto"/>
        <w:ind w:left="72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a)the security right in the original collateral is effective against third parties ; and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361.8552303314209" w:lineRule="auto"/>
        <w:ind w:left="723.599853515625" w:right="7.51708984375" w:hanging="186.23985290527344"/>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b)The proceeds are in the form of money, receivables, negotiable instruments or rights to payment  of funds credited to a deposit account.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5014591217041" w:lineRule="auto"/>
        <w:ind w:left="717.8398132324219" w:right="3.91845703125" w:firstLine="8.880004882812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16(2) however, provides that the security rights will be effective against third parties after  10 working days after the proceeds arise.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section 17, a secured creditor can register an  amendment notice after a transfer of a security right but the security right shall be effective  regardless of registration.</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8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684570312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722.519836425781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15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330078125" w:line="240" w:lineRule="auto"/>
        <w:ind w:left="722.8797912597656"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16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2.39990234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16(2)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1.4398193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8</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17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3359375" w:line="240" w:lineRule="auto"/>
        <w:ind w:left="722.8797912597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399.8400020599365" w:lineRule="auto"/>
        <w:ind w:left="717.3599243164062" w:right="1.798095703125" w:firstLine="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registration process is one of the areas that have had major developments and new additional  clauses in the Act. Some clauses have been amended, some have been repealed and some have  been freshly introduced.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0029296875" w:line="362.18822479248047" w:lineRule="auto"/>
        <w:ind w:left="720.4798889160156" w:right="7.518310546875" w:firstLine="6.23992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 of the Chattels Transfer Act provided that registration was effected by filling an  instrument and all schedules annexed, endorsed or referred to thereon and an affidavit 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1884765625" w:line="411.83518409729004" w:lineRule="auto"/>
        <w:ind w:left="717.8398132324219" w:right="0.479736328125" w:firstLine="2.6400756835937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1 in the first schedule in the Registrar‘s office.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26 of the Act provides that the  procedure for registration of a notice shall be prescribed in the regulations which have now created  an electronic Registry.</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8466796875" w:line="373.8504409790039" w:lineRule="auto"/>
        <w:ind w:left="718.7998962402344" w:right="1.79931640625" w:firstLine="2.16003417968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Chattels Transfer Act, the index was arranged alphabetically.</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29 of the Act  however, provides that the notices are registered in order of submission.</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698486328125" w:line="499.77779388427734" w:lineRule="auto"/>
        <w:ind w:left="722.6399230957031" w:right="4.718017578125" w:firstLine="4.0798950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10 of the Chattels Transfer Act provided that the instrument shall be renewed once every  5 years, by filling an affidavit in the Form 3 of first schedule in the office of the registrar. The  affidavit was numbered and registered as the initial instrument. If not renewed the instrument  ceased to have effect.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30 of the Act however, provides that the notice is effective for the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728.8798522949219" w:right="8.2373046875" w:hanging="11.04003906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period indicated herein and should not be more than 10 years. The period can be amended within  six months before expiry. The new period should not exceed 10 years.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19091796875" w:line="363.85485649108887" w:lineRule="auto"/>
        <w:ind w:left="721.1997985839844" w:right="4.8779296875" w:firstLine="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14 of the Chattels Transfer Act provided that an instrument not registered within the time  limit should not to affect a bona fide purchaser for value without notice.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contrast,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8642578125" w:line="240" w:lineRule="auto"/>
        <w:ind w:left="721.4398193359375" w:right="0" w:firstLine="0"/>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9</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5, Chapter 28,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Chattels Transfer Act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28125" w:line="240" w:lineRule="auto"/>
        <w:ind w:left="726.83990478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10</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26,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716796875" w:line="240" w:lineRule="auto"/>
        <w:ind w:left="726.8399047851562" w:right="0" w:firstLine="0"/>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Chapter 28,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Chattels Transfer Act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6.83990478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29,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6.8399047851562" w:right="0" w:firstLine="0"/>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10, Chapter 28,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Chattels Transfer Act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33251953125" w:line="240" w:lineRule="auto"/>
        <w:ind w:left="726.83990478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30,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6.8399047851562" w:right="0" w:firstLine="0"/>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15</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14, Chapter 28,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Chattels Transfer Act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361.8552303314209" w:lineRule="auto"/>
        <w:ind w:left="719.7598266601562" w:right="8.238525390625" w:firstLine="9.1200256347656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36 of the Act provides that even if a grantor changes, the notice is still effective against  third parties and retains the priority it had before the change.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647705078125" w:line="240" w:lineRule="auto"/>
        <w:ind w:left="720.47988891601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PROVISIONS AS COMPARED TO THE CHATTELS TRANSFER ACT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202880859375" w:line="412.5014591217041" w:lineRule="auto"/>
        <w:ind w:left="717.8398132324219" w:right="2.51953125" w:firstLine="8.880004882812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19 of the Act establishes a registry which is manned by a registrar. The function of the  registry is to receive, store and make accessible to the public information on registered notices  with respect to security rights and rights of non-consensual creditors. This is not provided for  under the Chattels Transfer act.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188720703125" w:line="475.30981063842773" w:lineRule="auto"/>
        <w:ind w:left="720.4798889160156" w:right="2.279052734375" w:firstLine="6.2399291992187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21 of the Act provides that the registrar will remove any information on the registered  notice after the expiry of the period of the effectiveness of the notice. This is not provided in the  Chattels Transfer Act. Additionally, the information from the public records will be archived for  5 years.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8537139892578" w:lineRule="auto"/>
        <w:ind w:left="721.6798400878906" w:right="4.158935546875" w:firstLine="5.039978027343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22 of the Act provides that the registrar shall not be liable for an action done in good faith  which is not in the Chattels Transfer Act.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19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68212890625" w:line="386.8447208404541" w:lineRule="auto"/>
        <w:ind w:left="720.4798889160156" w:right="8.23974609375" w:firstLine="6.2399291992187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24 of the Act provides that in order to add to any security agreement a collateral on an  initial notice of an amendment notice, the guarantor must authorise it in writing. This is not the  case in the Chattels Transfer Act.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76123046875" w:line="361.8537139892578" w:lineRule="auto"/>
        <w:ind w:left="728.8798522949219" w:right="7.51953125" w:hanging="2.16003417968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25 of the Act provides that the grantor can register a single notice relating to one or more  security agreements with the same creditor which is a new addition.</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681640625" w:line="361.8551445007324" w:lineRule="auto"/>
        <w:ind w:left="723.599853515625" w:right="1.558837890625" w:firstLine="3.1199645996093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28 of the Act provides the notice should be in English. The Chattels Transfer Act is silent  on his matter.</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656494140625" w:line="240" w:lineRule="auto"/>
        <w:ind w:left="726.83990478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16</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36,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6.83990478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17</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19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726.83990478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18</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21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6.83990478515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19</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22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33251953125" w:line="240" w:lineRule="auto"/>
        <w:ind w:left="724.435119628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20</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24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388671875" w:line="240" w:lineRule="auto"/>
        <w:ind w:left="724.435119628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25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4.435119628906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28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3310546875" w:line="349.8599910736084" w:lineRule="auto"/>
        <w:ind w:left="725.5198669433594" w:right="349.598388671875" w:firstLine="1.1999511718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31 of the Act provides that the registrar shall provide the registrant with the following  after registration;</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240" w:lineRule="auto"/>
        <w:ind w:left="7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(a)The date and time when the registration became effective; and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66552734375" w:line="240" w:lineRule="auto"/>
        <w:ind w:left="7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(b)The registration number.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412.6681709289551" w:lineRule="auto"/>
        <w:ind w:left="720.4798889160156" w:right="316.639404296875" w:firstLine="0.2400207519531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information should be sent to the grantor failure of which the registrar can be fined an  amount not exceeding five thousand shillings. This is not stated in the Chattels Transfer Act.  Section 32 of the Act provides that it is only the secured creditor who can amend or cancel the  initial notice. The Chattels Transfer Act is silent on this.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8537139892578" w:lineRule="auto"/>
        <w:ind w:left="723.3598327636719" w:right="6.798095703125" w:firstLine="3.35998535156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33 of the Act provides for instances where secured creditor can amend the notice, while  Chattels Transfer does not provide the same.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67578125" w:line="487.1385383605957" w:lineRule="auto"/>
        <w:ind w:left="720.4798889160156" w:right="0.95947265625" w:firstLine="6.2399291992187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35 of the Act provides that if the grantor is wrongly identified, then the notice becomes  ineffective. However, if here is an error with regard of information, it doesn‘t render the notice  ineffective unless it will seriously mislead the public. An error with regard to serial number is  ineffective as against a buyer or a lessee. This is not the case in the Chattels Transfer Act.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8115234375" w:line="240" w:lineRule="auto"/>
        <w:ind w:left="720.47988891601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PRIORITIES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20263671875" w:line="363.854341506958" w:lineRule="auto"/>
        <w:ind w:left="722.6399230957031" w:right="406.158447265625" w:hanging="1.9200134277343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of registration becomes of important in the Act as it helps in determining the priority of  competing security rights that have been created by a singular grantor on the same property.</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651123046875" w:line="361.85571670532227" w:lineRule="auto"/>
        <w:ind w:left="717.3599243164062" w:right="104.95849609375" w:firstLine="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grantor acquires collateral that had been created by another person and the security right had  been effected against a third party, then the grantor who has acquired that collateral will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464111328125" w:line="240" w:lineRule="auto"/>
        <w:ind w:left="723.3598327636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23</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31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723.3598327636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24</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32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3935546875" w:line="240" w:lineRule="auto"/>
        <w:ind w:left="723.3598327636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25</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33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723.3598327636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26</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35</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27</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38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337158203125" w:line="349.8599910736084" w:lineRule="auto"/>
        <w:ind w:left="717.8398132324219" w:right="236.9580078125" w:firstLine="0.96008300781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lesser priority than the person who created a security right and effected it against the third  party.</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28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011962890625" w:line="363.854341506958" w:lineRule="auto"/>
        <w:ind w:left="723.1198120117188" w:right="262.158203125" w:hanging="2.1598815917968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immaterial whether a secured creditor knows about the existence of any security right as it  does not affect any matters of priority.</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29</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5014591217041" w:lineRule="auto"/>
        <w:ind w:left="718.7998962402344" w:right="2.67822265625" w:firstLine="1.92001342773437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now allows priority of security rights to extend to all secured obligations even those that  have become effected against the third parties but this priority is subject to the rights of anyone  consensual creditors. This basically caters for any future advances and collaterals on may place on  a property so long as they are present on the register.</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17041015625" w:line="412.66857147216797" w:lineRule="auto"/>
        <w:ind w:left="717.8398132324219" w:right="287.318115234375" w:firstLine="1.679992675781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proceeds that arise from collaterals and have been effected against any third party, the  priority can be determined through the same date that was used to determine the priority of the  collateral that produced the proceeds. This makes it easier as no new dates have to be fixed for  the proceeds of the collateral.</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6522216796875" w:line="500.2664566040039" w:lineRule="auto"/>
        <w:ind w:left="720.9599304199219" w:right="326.038818359375" w:hanging="0.719909667968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terms of commingled goods, the security rights that have been effected against a third party  will have a higher priority as compared to those security rights that have not been effected  against a third party. In addition to that if there is more than one security right that has been  created in the same commingled good that has been effected against a third party then the  security rights will be considered proportional to the value of the collateral before it became a  commingled good. </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53369140625" w:line="361.8552303314209" w:lineRule="auto"/>
        <w:ind w:left="725.5198669433594" w:right="298.91967773437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allows for a security act to be created on any tangible assets that have been attached to  any immovable property. And in this case a security right that has been effected against 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8646850585938" w:line="240" w:lineRule="auto"/>
        <w:ind w:left="723.3598327636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28</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39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723.3598327636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29</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40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36303710937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30</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41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42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32</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43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8537139892578" w:lineRule="auto"/>
        <w:ind w:left="717.8398132324219" w:right="647.598876953125" w:firstLine="1.9200134277343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 party has a priority over a competing interest created and made effective against third  parties under any immovable property law.</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67578125" w:line="361.85571670532227" w:lineRule="auto"/>
        <w:ind w:left="722.6399230957031" w:right="422.23876953125" w:hanging="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protects the rights of buyers and other transferees, lessee or licensees of collateral for  example: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6279296875" w:line="363.85485649108887" w:lineRule="auto"/>
        <w:ind w:left="725.5198669433594" w:right="4.237060546875" w:hanging="725.51986694335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In the event collateral is sold, transferred or leased or licensed as security and it is effective against  a third party at the time of sale the new buyer acquires the rights.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5673828125" w:line="361.85471534729004" w:lineRule="auto"/>
        <w:ind w:left="717.3599243164062" w:right="0" w:hanging="717.359924316406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A secured creditor authorizes the sale of the collateral free from the security right then then the  buyer acquires the collateral rights free.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44775390625" w:line="399.8400020599365" w:lineRule="auto"/>
        <w:ind w:left="718.7998962402344" w:right="272.958984375" w:hanging="718.7998962402344"/>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The act protects the rights of the leasee and a licensee so who has possession of an asset which  has a security right only if the secured creditor authorized the grantor to lease or license the  asset.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34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80029296875" w:line="424.9134063720703" w:lineRule="auto"/>
        <w:ind w:left="719.7598266601562" w:right="12.99926757812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Rights of non-consensual creditors have priority over those that have been made effective against  third parties and are dependent on whether the non-consensual creditor has registered a notice  with the registrar. In the event the right is made effective against the third party before the non consensual creditor registers their notice with the registrar, then the third party has rights but it is  limited to the credit that had been extended by the secured creditor.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643310546875" w:line="412.83491134643555" w:lineRule="auto"/>
        <w:ind w:left="719.7598266601562" w:right="67.27783203125" w:firstLine="1.200103759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one is in possession of goods that have been held in lien for the purposes of securing some  form of payment or the performance of some duty and it is in the ordinary course of business  then they will be considered to have a higher priority as long as the person who has possesionary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49609375" w:line="240" w:lineRule="auto"/>
        <w:ind w:left="721.1997985839844" w:right="0" w:firstLine="0"/>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lien remains in possession of the asset.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33</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44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34</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45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35</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46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717.8398132324219" w:right="2.5183105468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acquisition security right has priority as against a competing non acquisition security right  created by a grantor, provided that there is a notice in respect of the acquisition security right is  registered with the registrar before the grantor obtains possession of the asset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81201171875" w:line="361.8537139892578" w:lineRule="auto"/>
        <w:ind w:left="728.8798522949219" w:right="736.8798828125" w:hanging="8.639984130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acquisition security right of a seller or lessor has priority over a competing acquisition  security right of a secured creditor other than a seller or lessor</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66943359375" w:line="400.0901412963867" w:lineRule="auto"/>
        <w:ind w:left="720.2398681640625" w:right="437.879638671875" w:hanging="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acquisition security right in a tangible asset that extends to commingled goods and is  effective against third parties has priority over a non-acquisition security right granted by the  same grantor in the commingled goods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2978515625" w:line="386.84523582458496" w:lineRule="auto"/>
        <w:ind w:left="720.2398681640625" w:right="32.957763671875" w:hanging="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 may at any time subordinate the priority of its right under this act in favour of any  existing or future competing claimant; the beneficiary does not to be a party to the subordination.  It does not affect the rights of the competing claimants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6746826171875" w:line="436.8251895904541" w:lineRule="auto"/>
        <w:ind w:left="719.7598266601562" w:right="346.39892578125" w:firstLine="0.480041503906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consensual transferee of an encumbered negotiable instrument acquires its rights free of  security right that is made effective against third parties by registration of notice if consensual  transferee: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944091796875" w:line="387.3449993133545" w:lineRule="auto"/>
        <w:ind w:left="1080.4798889160156" w:right="406.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Qualifies as a holder in due course under the bills of exchange act; or ii. Takes possession of the negotiable instrument and gives value without knowledge  that the sale or transfer is in violation of a secured creditor under the security  agreement.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75" w:line="361.8552303314209" w:lineRule="auto"/>
        <w:ind w:left="723.3598327636719" w:right="152.7587890625" w:hanging="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transferee of funds from a deposit account pursuant to a transfer initiated or authorized by the  grantor acquires its rights free of a security right in the right to payment of funds credited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5998535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36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47,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37</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48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38</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50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2275390625" w:line="240" w:lineRule="auto"/>
        <w:ind w:left="722.63992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39</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51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40</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52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33642578125" w:line="361.85571670532227" w:lineRule="auto"/>
        <w:ind w:left="719.7598266601562" w:right="99.43969726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the deposit account, unless the transferee has knowledge that the transfer violates the rights of  the secured creditor under the security agreement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6337890625" w:line="400.08968353271484" w:lineRule="auto"/>
        <w:ind w:left="721.4398193359375" w:right="15.95947265625" w:hanging="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transferee who obtains possession of money that is subject to a security right acquires its rights  free of the security right, unless that transferee has knowledge that the transfer violates the rights  of the secured creditor under the security agreement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3095703125" w:line="412.50160217285156" w:lineRule="auto"/>
        <w:ind w:left="717.8398132324219" w:right="22.398681640625" w:firstLine="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transferee of securities who takes possession Securities' of the certificated security or acquires  rights in an electronic security and gives value without knowledge that the sale or other transfer  is in violation of the rights of the secured creditor under the security agreement acquires its rights  free of a security right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18408203125" w:line="240" w:lineRule="auto"/>
        <w:ind w:left="722.8797912597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RIGHTS AND OBLIGATIONS OF PARTIES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20263671875" w:line="363.85382652282715" w:lineRule="auto"/>
        <w:ind w:left="720.4798889160156" w:right="128.2385253906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protects and provides for the rights of the debtor whereas the Chattels Transfer Act was  more favourable to the creditor.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669189453125" w:line="487.30499267578125" w:lineRule="auto"/>
        <w:ind w:left="720.4798889160156" w:right="57.839355468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provides for the rights and obligations of the parties and third-parties in Part VI whereas  in the repealed Chattels Transfer Act, there was a section in the third schedule as implied  covenants, duties obligations as well as efforts to protect as much as possible on security rights  granted over crops which the Movable Property Act has somewhat shied away from.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149230957031" w:line="363.7877655029297" w:lineRule="auto"/>
        <w:ind w:left="725.5198669433594" w:right="43.2788085937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notable differences however; thereby we examined the provisions in the newly enacted  act and the provision or closest provision to the same below:</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518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57 of the Act similarly provides for the creditor to cancel, return, release or register the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7626953125" w:line="240" w:lineRule="auto"/>
        <w:ind w:left="722.639923095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cancellation of secured property.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41</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53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42</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54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43</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55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1884765625" w:line="399.8400020599365" w:lineRule="auto"/>
        <w:ind w:left="719.7598266601562" w:right="147.2387695312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Chattels Transfer Act provided for one filing a memorandum of satisfaction. This  memorandum can as well be signed by the Registrar. As has been seen in the act as a whole, the  terms used then were more difficult to comprehend as with the newly enacted act.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8056640625" w:line="363.85485649108887" w:lineRule="auto"/>
        <w:ind w:left="717.3599243164062" w:right="73.9990234375" w:firstLine="3.35998535156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provides under section 58 that the intended creditor may be able to inspect the collateral  before the transfer of property.</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651123046875" w:line="361.8552303314209" w:lineRule="auto"/>
        <w:ind w:left="720.4798889160156" w:right="332.479248046875" w:firstLine="6.23992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59 provides for the protection of the debtor in that all his other rights in the receivable  including the payment terms.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Chattels Properties Act was silent on the same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645263671875" w:line="350.1935005187988" w:lineRule="auto"/>
        <w:ind w:left="717.8398132324219" w:right="691.558837890625" w:firstLine="2.8800964355468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provides under section 60 for the notification of security right and payment of the  receivable.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259765625" w:line="361.8552303314209" w:lineRule="auto"/>
        <w:ind w:left="728.3998107910156" w:right="616.878662109375" w:hanging="10.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section 2 of the definition and interpretation section of the Act a ―notification of a  security right in a receivable‖ means a communication by the grantor or the secured creditor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6455078125" w:line="373.85069847106934" w:lineRule="auto"/>
        <w:ind w:left="719.7598266601562" w:right="48.759765625" w:hanging="1.075134277343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section 60 informing the debtor of the receivable that a security right has been created in  the receivable;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48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69287109375" w:line="362.35499382019043" w:lineRule="auto"/>
        <w:ind w:left="725.5198669433594" w:right="405.19897460937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mention of a similar right in the previous Chattels Transfer Act. This is a positive  addition to the otherwise silent act.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6497802734375" w:line="412.8014373779297" w:lineRule="auto"/>
        <w:ind w:left="717.8398132324219" w:right="395.5578613281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section 61 of the Act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49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during a claim by the secured creditor against the debtor of the  receivable for payment of the encumbered receivable, the debtor of the receivable may raise  against the secured creditor:-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8537139892578" w:lineRule="auto"/>
        <w:ind w:left="723.599853515625" w:right="433.319091796875" w:hanging="358.559875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a)All defences and rights of set- off arising from the contract giving rise to the receivable, or any  other contract giving rise to the receivable, or any other contract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67382812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44</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58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227539062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45</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59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46</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60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27148437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47</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227539062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48</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60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719.3998718261719"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49</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61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364.35410499572754" w:lineRule="auto"/>
        <w:ind w:left="728.8798522949219" w:right="552.7978515625" w:hanging="9.12002563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was part of the same transaction. The debtor of the receivable could avail itself as if the  security right had not been created and the claim were made by the grantor;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67041015625" w:line="361.8556308746338" w:lineRule="auto"/>
        <w:ind w:left="720.4798889160156" w:right="0.479736328125" w:hanging="363.599929809570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Any other right of set-off that was available to the debtor of the receivable at the time it received  notification of the security right.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640380859375" w:line="363.85485649108887" w:lineRule="auto"/>
        <w:ind w:left="728.8798522949219" w:right="57.359619140625" w:firstLine="59.279937744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(2)However, the debtor of the receivable may not raise as a defence or right of set-offagainst the  secured creditor breach of an agreement referred to in section 11 limiting the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45263671875" w:line="240" w:lineRule="auto"/>
        <w:ind w:left="723.8398742675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grantor‘s right to create the security right.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2041015625" w:line="412.50160217285156" w:lineRule="auto"/>
        <w:ind w:left="719.7598266601562" w:right="174.51904296875" w:firstLine="6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(3)The debtor of the receivable may agree with the grantor in writing not to raise against the  secured creditor the defences and rights of set-off referred to in subsection (1), but the debtor of  the receivable may not waive defences arising from fraudulent acts on the part of the secured  creditor or based on the incapacity of the debtor of the receivable.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184204101562" w:line="486.91349029541016" w:lineRule="auto"/>
        <w:ind w:left="717.8398132324219" w:right="30.79833984375" w:firstLine="8.88000488281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62 of the Act provides that an agreement concluded before notification of a security right  in a receivable created by a security agreement between the grantor and the debtor of the  receivable between the grantor and the debtor of the receivable that affects the secured creditor‘s  rights is effective as against the secured creditor, and the secured creditor acquires corresponding  rights.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4.8099899291992" w:lineRule="auto"/>
        <w:ind w:left="717.8398132324219" w:right="168.077392578125" w:firstLine="8.88000488281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63 of the Act The failure of the grantor to perform obligations under the contract giving  rise to a receivable does not entitle the debtor of the receivable to recover from the secured  creditor a sum paid by the debtor of the receivable to the grantor or the secured creditor.</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11669921875" w:line="240" w:lineRule="auto"/>
        <w:ind w:left="0" w:right="509.35791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section 64(1) of the Act, the creation of a security right in a right to payment of funds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7626953125" w:line="241.9035243988037" w:lineRule="auto"/>
        <w:ind w:left="722.5198364257812" w:right="576.077880859375" w:firstLine="0.12008666992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credited to a deposit account does not affect the rights and obligations of the institution with </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50</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62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58203125" w:line="240" w:lineRule="auto"/>
        <w:ind w:left="722.5198364257812"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51</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63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33740234375" w:line="412.5014591217041" w:lineRule="auto"/>
        <w:ind w:left="719.7598266601562" w:right="42.7978515625" w:firstLine="1.92001342773437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that deposit account is maintained without the institution to provide any information about  that deposit account to third parties. Subsection (2) provides that any rights of set-off that the  institution may have are not affected by any security right that the institution may have in a right  to payment of funds credited to a deposit account that it maintains.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1923828125" w:line="240" w:lineRule="auto"/>
        <w:ind w:left="720.47988891601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ENFORCEMENT OF A SECURITY RIGHT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200927734375" w:line="475.8095169067383" w:lineRule="auto"/>
        <w:ind w:left="718.7998962402344" w:right="285.35888671875" w:firstLine="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introduces enforcement mechanisms that parties to a security agreement may exercise  upon the default of the grantor which is a big upgrade to the Chattels Transfer Act that merely  mentioned enforcement in the implied covenants between the grantor and the grantee.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107421875" w:line="424.7167110443115" w:lineRule="auto"/>
        <w:ind w:left="718.7998962402344" w:right="0.718994140625" w:firstLine="1.920013427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provides for the option to sue which is optional</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use the security agreement or any law  to recover from default whether partial of whole default for recovery purposes.</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grantor also  has a right to redemption before final disposition of his collateral and the secured creditor rights  as to acquisition of collaterals, collection of payment with regard to receivables and funds credited  to a deposit account or security and distribution of proceeds among others that will be discussed  in detail below.</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8537139892578" w:lineRule="auto"/>
        <w:ind w:left="719.7598266601562" w:right="1.31835937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secured creditor must, however, serve a written notification or in any other form agreed upon  to pay the money owing or perform and observe the agreement.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68212890625" w:line="412.8342533111572" w:lineRule="auto"/>
        <w:ind w:left="717.8398132324219" w:right="2.75878906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secured creditor is entitled to obtain collateral if in the agreement the grantor consented to  possession in the agreement or if it is not in the agreement but at the time the secured creditor  attempts to obtain possession there is no objection. The secured creditor may dispose of, sale, lease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8681640625" w:line="239.90339756011963" w:lineRule="auto"/>
        <w:ind w:left="722.5198364257812" w:right="1758.558349609375" w:firstLine="1.08001708984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license such collateral in its present condition or may carry out commercially </w:t>
      </w: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52</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Ibid section 64(1)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708984375" w:line="246.2856101989746" w:lineRule="auto"/>
        <w:ind w:left="733.5719299316406" w:right="15.999755859375" w:hanging="13.09204101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53</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65,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r w:rsidDel="00000000" w:rsidR="00000000" w:rsidRPr="00000000">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tl w:val="0"/>
        </w:rPr>
        <w:t xml:space="preserve">54</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66,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6455078125" w:line="361.8552303314209" w:lineRule="auto"/>
        <w:ind w:left="723.599853515625" w:right="4.718017578125" w:hanging="5.7600402832031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preparation or processing. He or she has the discretion to select the manner, time, place  of such sale, disposition, lease or license.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64599609375" w:line="412.4182319641113" w:lineRule="auto"/>
        <w:ind w:left="717.8398132324219" w:right="2.03857421875" w:firstLine="2.88009643554687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secured creditor is obliged, in such a case, to give notification to the grantor, debtor and any  of the secured creditors before disposition. Such notification shall identify the secured creditor and  the grantor, it shall contain a description of the collateral, indicate a statement of the amount  required to satisfy the secured obligation including interest, it shall identify the manner of the  intended disposition and the date, time and place of disposition.</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56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018798828125" w:line="474.81027603149414" w:lineRule="auto"/>
        <w:ind w:left="720.4798889160156" w:right="0.599365234375" w:firstLine="0.240020751953125"/>
        <w:jc w:val="both"/>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secured creditor can distribute proceeds by applying or paying over for application the  disposition in such an order. After distribution, whether there is dispute or not the secured creditor  in charge of enforcing such right to distribute may pay the surplus to the court for distribution. </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57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098510742188" w:line="240" w:lineRule="auto"/>
        <w:ind w:left="718.799896240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APPLICABLE LAW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1993408203125" w:line="486.7719268798828" w:lineRule="auto"/>
        <w:ind w:left="719.7598266601562" w:right="69.67895507812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introduces several provisions on the law that applies where there is a tangible or  intangible asset, funds credited in a deposit account, electronic security, intellectual property and  the law applicable as to the enforcement of security rights with regard to countries where more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7.404842376709" w:lineRule="auto"/>
        <w:ind w:left="717.8398132324219" w:right="37.998046875" w:firstLine="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 one country is involved. It also focuses on the law that governs the relationship of The law  applicable as to the enforcement of a security right in a tangible asset is that of the country where  the act of enforcement takes place. If it is an intangible asset the law to be applied is the right  that creates priority of the security right. The Act also provides for the law on security rights in  proceeds as that law which creates such a right in the original collateral from which the proceeds  arise. Lastly, a security right continues to be effective as against Third parties even if the law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58203125" w:line="240" w:lineRule="auto"/>
        <w:ind w:left="725.51986694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applicable changes with movement of the collateral or the grantor.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5.6846809387207" w:lineRule="auto"/>
        <w:ind w:left="733.5719299316406" w:right="15.989990234375" w:hanging="12.477722167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tl w:val="0"/>
        </w:rPr>
        <w:t xml:space="preserve">55</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72,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r w:rsidDel="00000000" w:rsidR="00000000" w:rsidRPr="00000000">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tl w:val="0"/>
        </w:rPr>
        <w:t xml:space="preserve">56</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73,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r w:rsidDel="00000000" w:rsidR="00000000" w:rsidRPr="00000000">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tl w:val="0"/>
        </w:rPr>
        <w:t xml:space="preserve">57</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Section 74,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Movable Property Rights Act</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(Act No. 13 of 2017)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15576171875" w:line="240" w:lineRule="auto"/>
        <w:ind w:left="722.8797912597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REPEALED AND AMENDED LAW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423.8304805755615" w:lineRule="auto"/>
        <w:ind w:left="721.1997985839844" w:right="780.31982421875" w:hanging="0.479888916015625"/>
        <w:jc w:val="left"/>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Movable Property and Security Rights Act in its schedule repeals and amends several laws. The repealed laws include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Chattel Transfer Act</w:t>
      </w:r>
      <w:r w:rsidDel="00000000" w:rsidR="00000000" w:rsidRPr="00000000">
        <w:rPr>
          <w:rFonts w:ascii="Times New Roman" w:cs="Times New Roman" w:eastAsia="Times New Roman" w:hAnsi="Times New Roman"/>
          <w:b w:val="1"/>
          <w:i w:val="0"/>
          <w:smallCaps w:val="0"/>
          <w:strike w:val="0"/>
          <w:color w:val="000000"/>
          <w:sz w:val="17.040000915527344"/>
          <w:szCs w:val="17.040000915527344"/>
          <w:u w:val="none"/>
          <w:shd w:fill="auto" w:val="clear"/>
          <w:vertAlign w:val="baseline"/>
          <w:rtl w:val="0"/>
        </w:rPr>
        <w:t xml:space="preserve">58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Pawnbrokers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59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94775390625" w:line="240" w:lineRule="auto"/>
        <w:ind w:left="720.7199096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amended laws include: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198486328125" w:line="373.8504409790039" w:lineRule="auto"/>
        <w:ind w:left="717.8398132324219" w:right="1.558837890625" w:hanging="352.79983520507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a.The definition of a mortgage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Agricultural Finance Corporation Act</w:t>
      </w:r>
      <w:r w:rsidDel="00000000" w:rsidR="00000000" w:rsidRPr="00000000">
        <w:rPr>
          <w:rFonts w:ascii="Times New Roman" w:cs="Times New Roman" w:eastAsia="Times New Roman" w:hAnsi="Times New Roman"/>
          <w:b w:val="1"/>
          <w:i w:val="0"/>
          <w:smallCaps w:val="0"/>
          <w:strike w:val="0"/>
          <w:color w:val="000000"/>
          <w:sz w:val="17.040000915527344"/>
          <w:szCs w:val="17.040000915527344"/>
          <w:u w:val="none"/>
          <w:shd w:fill="auto" w:val="clear"/>
          <w:vertAlign w:val="baseline"/>
          <w:rtl w:val="0"/>
        </w:rPr>
        <w:t xml:space="preserve">60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include a security  right.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69287109375" w:line="385.8456516265869" w:lineRule="auto"/>
        <w:ind w:left="728.8798522949219" w:right="1.79931640625" w:hanging="371.999893188476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b.The words chattels transfer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Business Registration Service Act</w:t>
      </w:r>
      <w:r w:rsidDel="00000000" w:rsidR="00000000" w:rsidRPr="00000000">
        <w:rPr>
          <w:rFonts w:ascii="Times New Roman" w:cs="Times New Roman" w:eastAsia="Times New Roman" w:hAnsi="Times New Roman"/>
          <w:b w:val="1"/>
          <w:i w:val="0"/>
          <w:smallCaps w:val="0"/>
          <w:strike w:val="0"/>
          <w:color w:val="000000"/>
          <w:sz w:val="17.040000915527344"/>
          <w:szCs w:val="17.040000915527344"/>
          <w:u w:val="none"/>
          <w:shd w:fill="auto" w:val="clear"/>
          <w:vertAlign w:val="baseline"/>
          <w:rtl w:val="0"/>
        </w:rPr>
        <w:t xml:space="preserve">61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replaced it with  security rights.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4609375" w:line="240" w:lineRule="auto"/>
        <w:ind w:left="722.639923095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c.For both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Companies Act</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62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Insolvency Act</w:t>
      </w:r>
      <w:r w:rsidDel="00000000" w:rsidR="00000000" w:rsidRPr="00000000">
        <w:rPr>
          <w:rFonts w:ascii="Times New Roman" w:cs="Times New Roman" w:eastAsia="Times New Roman" w:hAnsi="Times New Roman"/>
          <w:b w:val="1"/>
          <w:i w:val="0"/>
          <w:smallCaps w:val="0"/>
          <w:strike w:val="0"/>
          <w:color w:val="000000"/>
          <w:sz w:val="17.040000915527344"/>
          <w:szCs w:val="17.040000915527344"/>
          <w:u w:val="none"/>
          <w:shd w:fill="auto" w:val="clear"/>
          <w:vertAlign w:val="baseline"/>
          <w:rtl w:val="0"/>
        </w:rPr>
        <w:t xml:space="preserve">63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amended the definition of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1978759765625" w:line="425.11656761169434" w:lineRule="auto"/>
        <w:ind w:left="714.9598693847656" w:right="1.318359375" w:hanging="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‗retention of title‘ to mean the agreement for the sale of goods to a company being an agreement  that doesn‘t constitute a charge on the goods but under which if the seller is not paid and the  company is wound up, the seller will have priority over all other creditors of the company with  respect to the goods or any property representing the goods as long as it is satisfied the applicable  requirement of Third party effectiveness under the law relating to movable property security rights  applies.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8797912597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REGULATIONS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1904296875" w:line="361.85571670532227" w:lineRule="auto"/>
        <w:ind w:left="728.8798522949219" w:right="691.759033203125" w:hanging="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Movable Security Rights (General) Regulations, 2017 has now been adopted as under  section 88 of the Act.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6220703125" w:line="387.844762802124" w:lineRule="auto"/>
        <w:ind w:left="719.7598266601562" w:right="3.919677734375" w:firstLine="0.9600830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rules provide for an electronic registry as well as the submissions of notices and search request  through electronic means. This means that for one to access the Registry, one must have a user  account.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75537109375" w:line="240" w:lineRule="auto"/>
        <w:ind w:left="722.5198364257812" w:right="0" w:firstLine="0"/>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58</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Chapter 28,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Chattels Transfer Act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722.5198364257812" w:right="0" w:firstLine="0"/>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59</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Chapter 529,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Pawnbrokers Act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722.8797912597656" w:right="0" w:firstLine="0"/>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60</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Chapter 323, </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Agricultural Finance Corporation Act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33251953125" w:line="240" w:lineRule="auto"/>
        <w:ind w:left="722.8797912597656"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61</w:t>
      </w: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Business Registration Service Act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 15 of 2015)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722.7645874023438"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tl w:val="0"/>
        </w:rPr>
        <w:t xml:space="preserve">62</w:t>
      </w: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Companies Act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(No. 17 of 2015)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7645874023438"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tl w:val="0"/>
        </w:rPr>
        <w:t xml:space="preserve">63</w:t>
      </w: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Insolvency Act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(No. 18 of 2015)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34228515625" w:line="437.82480239868164" w:lineRule="auto"/>
        <w:ind w:left="728.8798522949219" w:right="72.799072265625" w:hanging="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rules also provide for the information required in an initial notice, identifiers of grantors and  secured creditors and the fees payable on a search request which is Kshs. 500/=.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6954345703125" w:line="240" w:lineRule="auto"/>
        <w:ind w:left="728.39981079101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196533203125" w:line="411.83518409729004" w:lineRule="auto"/>
        <w:ind w:left="716.1598205566406" w:right="2.75878906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effect of the Act is that, there is a significance observance on the rights of the debtor,  preserving of the debtor‘s right of ownership despite the encumbrance and there is also significant  inroads in the sense that the grantor can inspect the receivables prior to granting the security. There  is a clear structured system that will translate to ease of doing business.</w:t>
      </w:r>
    </w:p>
    <w:sectPr>
      <w:pgSz w:h="15840" w:w="12240" w:orient="portrait"/>
      <w:pgMar w:bottom="1565.2798461914062" w:top="1430.799560546875" w:left="723.8400268554688" w:right="1378.24096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