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19FC9F" w14:textId="77777777" w:rsidR="006354CF" w:rsidRDefault="006354CF">
      <w:pPr>
        <w:rPr>
          <w:lang w:val="en-US"/>
        </w:rPr>
      </w:pPr>
      <w:r>
        <w:rPr>
          <w:lang w:val="en-US"/>
        </w:rPr>
        <w:t>3(a)</w:t>
      </w:r>
    </w:p>
    <w:p w14:paraId="4D8214DC" w14:textId="46D60F69" w:rsidR="005A3CB8" w:rsidRDefault="00014DC9">
      <w:pPr>
        <w:rPr>
          <w:lang w:val="en-US"/>
        </w:rPr>
      </w:pPr>
      <w:r>
        <w:rPr>
          <w:lang w:val="en-US"/>
        </w:rPr>
        <w:t xml:space="preserve">The Constitution of </w:t>
      </w:r>
      <w:r w:rsidR="00B249DF">
        <w:rPr>
          <w:lang w:val="en-US"/>
        </w:rPr>
        <w:t>Kenya</w:t>
      </w:r>
      <w:r>
        <w:rPr>
          <w:lang w:val="en-US"/>
        </w:rPr>
        <w:t xml:space="preserve"> under Art. 165(3)(a) provides</w:t>
      </w:r>
      <w:r w:rsidR="00B249DF">
        <w:rPr>
          <w:lang w:val="en-US"/>
        </w:rPr>
        <w:t xml:space="preserve"> that the high court shall have unlimited original jurisdiction over civil and criminal matters. It also has jurisdiction in determining matters regarding the question as to whether a right or fundamental freedom stipulated in the Bill of Rights has been violated</w:t>
      </w:r>
      <w:r w:rsidR="000B306E">
        <w:rPr>
          <w:lang w:val="en-US"/>
        </w:rPr>
        <w:t>, denied or otherwise infringed upon.</w:t>
      </w:r>
    </w:p>
    <w:p w14:paraId="26AF1BDF" w14:textId="77777777" w:rsidR="004A09AB" w:rsidRDefault="000B306E">
      <w:pPr>
        <w:rPr>
          <w:lang w:val="en-US"/>
        </w:rPr>
      </w:pPr>
      <w:r>
        <w:rPr>
          <w:lang w:val="en-US"/>
        </w:rPr>
        <w:t xml:space="preserve">In </w:t>
      </w:r>
      <w:r w:rsidRPr="00183F84">
        <w:rPr>
          <w:b/>
          <w:bCs/>
          <w:u w:val="single"/>
          <w:lang w:val="en-US"/>
        </w:rPr>
        <w:t>Joyce Jerop Kaspandoy &amp; 609 others vs Kenya power and lighting company [2019] eKLR</w:t>
      </w:r>
      <w:r>
        <w:rPr>
          <w:lang w:val="en-US"/>
        </w:rPr>
        <w:t xml:space="preserve">, judicial review was described as </w:t>
      </w:r>
      <w:r w:rsidRPr="00183F84">
        <w:rPr>
          <w:i/>
          <w:iCs/>
          <w:lang w:val="en-US"/>
        </w:rPr>
        <w:t>“the power to scrutinize and executive aids, the power to test their conformity with the constitution and the power to strike them down if they are found to be inconsistent with the constitution</w:t>
      </w:r>
      <w:r w:rsidR="004A09AB" w:rsidRPr="00183F84">
        <w:rPr>
          <w:i/>
          <w:iCs/>
          <w:lang w:val="en-US"/>
        </w:rPr>
        <w:t>…”</w:t>
      </w:r>
    </w:p>
    <w:p w14:paraId="5A1CEC6F" w14:textId="77777777" w:rsidR="004A09AB" w:rsidRDefault="004A09AB">
      <w:pPr>
        <w:rPr>
          <w:lang w:val="en-US"/>
        </w:rPr>
      </w:pPr>
      <w:r>
        <w:rPr>
          <w:lang w:val="en-US"/>
        </w:rPr>
        <w:t>In literal terms, judicial review refers to the revision of a decree or judgement of an inferior court, tribunal or other quasi-judicial administrative by a superior court.</w:t>
      </w:r>
    </w:p>
    <w:p w14:paraId="356CB879" w14:textId="77777777" w:rsidR="00183F84" w:rsidRDefault="004A09AB">
      <w:pPr>
        <w:rPr>
          <w:lang w:val="en-US"/>
        </w:rPr>
      </w:pPr>
      <w:r>
        <w:rPr>
          <w:lang w:val="en-US"/>
        </w:rPr>
        <w:t>The Civil procedure rules</w:t>
      </w:r>
      <w:r w:rsidR="00183F84">
        <w:rPr>
          <w:lang w:val="en-US"/>
        </w:rPr>
        <w:t xml:space="preserve"> Order 53, rule 3</w:t>
      </w:r>
      <w:r w:rsidR="000B306E">
        <w:rPr>
          <w:lang w:val="en-US"/>
        </w:rPr>
        <w:t xml:space="preserve"> </w:t>
      </w:r>
      <w:r w:rsidR="00183F84">
        <w:rPr>
          <w:lang w:val="en-US"/>
        </w:rPr>
        <w:t>provides that upon the granting of leave to apply for judicial review, the applicant has 21 days to motion the high court for the same.</w:t>
      </w:r>
    </w:p>
    <w:p w14:paraId="0C14A15B" w14:textId="77777777" w:rsidR="00183F84" w:rsidRDefault="00183F84">
      <w:pPr>
        <w:rPr>
          <w:lang w:val="en-US"/>
        </w:rPr>
      </w:pPr>
    </w:p>
    <w:p w14:paraId="3F7D3943" w14:textId="77777777" w:rsidR="006354CF" w:rsidRDefault="006354CF">
      <w:pPr>
        <w:rPr>
          <w:lang w:val="en-US"/>
        </w:rPr>
      </w:pPr>
      <w:r>
        <w:rPr>
          <w:lang w:val="en-US"/>
        </w:rPr>
        <w:t>3(b)</w:t>
      </w:r>
    </w:p>
    <w:p w14:paraId="5623DEB8" w14:textId="5A71169C" w:rsidR="00861FC2" w:rsidRDefault="00183F84">
      <w:pPr>
        <w:rPr>
          <w:lang w:val="en-US"/>
        </w:rPr>
      </w:pPr>
      <w:r>
        <w:rPr>
          <w:lang w:val="en-US"/>
        </w:rPr>
        <w:t xml:space="preserve">The right to fair administrative action is provided for under article 47 of the constitution of Kenya. It </w:t>
      </w:r>
      <w:r w:rsidR="00861FC2">
        <w:rPr>
          <w:lang w:val="en-US"/>
        </w:rPr>
        <w:t>stipulates that the process should be expeditious, efficient, lawful, reasonable and procedurally fair.</w:t>
      </w:r>
    </w:p>
    <w:p w14:paraId="26D43256" w14:textId="77777777" w:rsidR="00861FC2" w:rsidRDefault="00861FC2">
      <w:pPr>
        <w:rPr>
          <w:lang w:val="en-US"/>
        </w:rPr>
      </w:pPr>
      <w:r>
        <w:rPr>
          <w:lang w:val="en-US"/>
        </w:rPr>
        <w:t>It also provides that a person who is adversely affected by an administrative action has the right to be given reasons in writing for the actions</w:t>
      </w:r>
    </w:p>
    <w:p w14:paraId="79EF9088" w14:textId="7688A205" w:rsidR="001C0EB7" w:rsidRDefault="00861FC2">
      <w:pPr>
        <w:rPr>
          <w:lang w:val="en-US"/>
        </w:rPr>
      </w:pPr>
      <w:r>
        <w:rPr>
          <w:lang w:val="en-US"/>
        </w:rPr>
        <w:t xml:space="preserve">The principles of natural justice requires that every party to a case be a reasonable time to present their case for determination before a court of law, failure to which </w:t>
      </w:r>
      <w:r w:rsidR="00287ABC">
        <w:rPr>
          <w:lang w:val="en-US"/>
        </w:rPr>
        <w:t>may form a ground for judicial review as it limits ones right to fair administrative action</w:t>
      </w:r>
      <w:r w:rsidR="001C0EB7">
        <w:rPr>
          <w:lang w:val="en-US"/>
        </w:rPr>
        <w:t>.</w:t>
      </w:r>
    </w:p>
    <w:p w14:paraId="45EE80E7" w14:textId="77777777" w:rsidR="00DA743D" w:rsidRDefault="00DA743D">
      <w:pPr>
        <w:rPr>
          <w:lang w:val="en-US"/>
        </w:rPr>
      </w:pPr>
    </w:p>
    <w:p w14:paraId="7E6D4BA0" w14:textId="77777777" w:rsidR="006354CF" w:rsidRDefault="006354CF">
      <w:pPr>
        <w:rPr>
          <w:lang w:val="en-US"/>
        </w:rPr>
      </w:pPr>
      <w:r>
        <w:rPr>
          <w:lang w:val="en-US"/>
        </w:rPr>
        <w:t>3(c)</w:t>
      </w:r>
    </w:p>
    <w:p w14:paraId="2C67CA77" w14:textId="4CC299C7" w:rsidR="00021D41" w:rsidRDefault="006D2065">
      <w:pPr>
        <w:rPr>
          <w:lang w:val="en-US"/>
        </w:rPr>
      </w:pPr>
      <w:r w:rsidRPr="006D2065">
        <w:rPr>
          <w:lang w:val="en-US"/>
        </w:rPr>
        <w:t>Every person has the right to administrative action which is expeditious, efficient, lawful, reasonable and procedurally fair.</w:t>
      </w:r>
      <w:r>
        <w:rPr>
          <w:rStyle w:val="FootnoteReference"/>
          <w:lang w:val="en-US"/>
        </w:rPr>
        <w:footnoteReference w:id="1"/>
      </w:r>
      <w:r w:rsidR="00183F84">
        <w:rPr>
          <w:lang w:val="en-US"/>
        </w:rPr>
        <w:t xml:space="preserve"> </w:t>
      </w:r>
      <w:r w:rsidR="00A26C80">
        <w:rPr>
          <w:lang w:val="en-US"/>
        </w:rPr>
        <w:t xml:space="preserve">Additionally, the constitution of </w:t>
      </w:r>
      <w:r w:rsidR="006354CF">
        <w:rPr>
          <w:lang w:val="en-US"/>
        </w:rPr>
        <w:t>Kenya</w:t>
      </w:r>
      <w:r w:rsidR="00A26C80">
        <w:rPr>
          <w:lang w:val="en-US"/>
        </w:rPr>
        <w:t xml:space="preserve"> further speaks to the duty of the courts to uphold the bill of rights</w:t>
      </w:r>
      <w:r w:rsidR="00A26C80">
        <w:rPr>
          <w:rStyle w:val="FootnoteReference"/>
          <w:lang w:val="en-US"/>
        </w:rPr>
        <w:footnoteReference w:id="2"/>
      </w:r>
      <w:r w:rsidR="00A26C80">
        <w:rPr>
          <w:lang w:val="en-US"/>
        </w:rPr>
        <w:t>. In this particular instance, the appellant submitted his appeal to</w:t>
      </w:r>
      <w:r w:rsidR="001C0EB7">
        <w:rPr>
          <w:lang w:val="en-US"/>
        </w:rPr>
        <w:t xml:space="preserve"> the high court, of which</w:t>
      </w:r>
      <w:r w:rsidR="00A26C80">
        <w:rPr>
          <w:lang w:val="en-US"/>
        </w:rPr>
        <w:t xml:space="preserve"> the Environment and Land Court </w:t>
      </w:r>
      <w:r w:rsidR="001C0EB7">
        <w:rPr>
          <w:lang w:val="en-US"/>
        </w:rPr>
        <w:t>is a part and it</w:t>
      </w:r>
      <w:r w:rsidR="00A26C80">
        <w:rPr>
          <w:lang w:val="en-US"/>
        </w:rPr>
        <w:t xml:space="preserve"> has original and appellate jurisdiction in matters pertaining to land and environmental</w:t>
      </w:r>
      <w:r w:rsidR="00021D41">
        <w:rPr>
          <w:lang w:val="en-US"/>
        </w:rPr>
        <w:t xml:space="preserve"> disputes</w:t>
      </w:r>
      <w:r w:rsidR="00021D41">
        <w:rPr>
          <w:rStyle w:val="FootnoteReference"/>
          <w:lang w:val="en-US"/>
        </w:rPr>
        <w:footnoteReference w:id="3"/>
      </w:r>
      <w:r w:rsidR="00021D41">
        <w:rPr>
          <w:lang w:val="en-US"/>
        </w:rPr>
        <w:t xml:space="preserve"> which would have been the more appropriate forum to determine the matter or at least to start the process thereof. </w:t>
      </w:r>
    </w:p>
    <w:p w14:paraId="70D8056E" w14:textId="6878D924" w:rsidR="002634DD" w:rsidRDefault="00021D41">
      <w:pPr>
        <w:rPr>
          <w:lang w:val="en-US"/>
        </w:rPr>
      </w:pPr>
      <w:r>
        <w:rPr>
          <w:lang w:val="en-US"/>
        </w:rPr>
        <w:t>The fair administrative action act provides that any aggrieved party can seek judicial review if they feel that were denied a fair opportunity to state their case</w:t>
      </w:r>
      <w:r w:rsidR="006354CF">
        <w:rPr>
          <w:rStyle w:val="FootnoteReference"/>
          <w:lang w:val="en-US"/>
        </w:rPr>
        <w:footnoteReference w:id="4"/>
      </w:r>
      <w:r w:rsidR="001C0EB7">
        <w:rPr>
          <w:lang w:val="en-US"/>
        </w:rPr>
        <w:t>. In this case, Mpenda Kesi was only allocated</w:t>
      </w:r>
      <w:r>
        <w:rPr>
          <w:lang w:val="en-US"/>
        </w:rPr>
        <w:t xml:space="preserve"> 3 minutes</w:t>
      </w:r>
      <w:r w:rsidR="001C0EB7">
        <w:rPr>
          <w:lang w:val="en-US"/>
        </w:rPr>
        <w:t xml:space="preserve"> to make his claim which does not constitute a fair opportunity and falls within the</w:t>
      </w:r>
      <w:r w:rsidR="007F0904">
        <w:rPr>
          <w:lang w:val="en-US"/>
        </w:rPr>
        <w:t xml:space="preserve"> stipulated</w:t>
      </w:r>
      <w:r w:rsidR="001C0EB7">
        <w:rPr>
          <w:lang w:val="en-US"/>
        </w:rPr>
        <w:t xml:space="preserve"> parameters</w:t>
      </w:r>
      <w:r w:rsidR="007F0904">
        <w:rPr>
          <w:lang w:val="en-US"/>
        </w:rPr>
        <w:t xml:space="preserve"> required</w:t>
      </w:r>
      <w:r w:rsidR="001C0EB7">
        <w:rPr>
          <w:lang w:val="en-US"/>
        </w:rPr>
        <w:t xml:space="preserve"> for one to seek judicial review</w:t>
      </w:r>
      <w:r w:rsidR="002634DD">
        <w:rPr>
          <w:lang w:val="en-US"/>
        </w:rPr>
        <w:t>.</w:t>
      </w:r>
    </w:p>
    <w:p w14:paraId="5EEDF083" w14:textId="14D194D6" w:rsidR="000B306E" w:rsidRPr="00014DC9" w:rsidRDefault="000B306E">
      <w:pPr>
        <w:rPr>
          <w:lang w:val="en-US"/>
        </w:rPr>
      </w:pPr>
    </w:p>
    <w:sectPr w:rsidR="000B306E" w:rsidRPr="00014DC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4A4E17" w14:textId="77777777" w:rsidR="00CD6CD3" w:rsidRDefault="00CD6CD3" w:rsidP="006D2065">
      <w:pPr>
        <w:spacing w:after="0" w:line="240" w:lineRule="auto"/>
      </w:pPr>
      <w:r>
        <w:separator/>
      </w:r>
    </w:p>
  </w:endnote>
  <w:endnote w:type="continuationSeparator" w:id="0">
    <w:p w14:paraId="05EC4803" w14:textId="77777777" w:rsidR="00CD6CD3" w:rsidRDefault="00CD6CD3" w:rsidP="006D20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81E44F" w14:textId="77777777" w:rsidR="00CD6CD3" w:rsidRDefault="00CD6CD3" w:rsidP="006D2065">
      <w:pPr>
        <w:spacing w:after="0" w:line="240" w:lineRule="auto"/>
      </w:pPr>
      <w:r>
        <w:separator/>
      </w:r>
    </w:p>
  </w:footnote>
  <w:footnote w:type="continuationSeparator" w:id="0">
    <w:p w14:paraId="6C6A00BC" w14:textId="77777777" w:rsidR="00CD6CD3" w:rsidRDefault="00CD6CD3" w:rsidP="006D2065">
      <w:pPr>
        <w:spacing w:after="0" w:line="240" w:lineRule="auto"/>
      </w:pPr>
      <w:r>
        <w:continuationSeparator/>
      </w:r>
    </w:p>
  </w:footnote>
  <w:footnote w:id="1">
    <w:p w14:paraId="56F1752D" w14:textId="30A5D57A" w:rsidR="006D2065" w:rsidRPr="006D2065" w:rsidRDefault="006D2065">
      <w:pPr>
        <w:pStyle w:val="FootnoteText"/>
        <w:rPr>
          <w:lang w:val="en-US"/>
        </w:rPr>
      </w:pPr>
      <w:r>
        <w:rPr>
          <w:rStyle w:val="FootnoteReference"/>
        </w:rPr>
        <w:footnoteRef/>
      </w:r>
      <w:r>
        <w:t xml:space="preserve"> </w:t>
      </w:r>
      <w:r>
        <w:rPr>
          <w:lang w:val="en-US"/>
        </w:rPr>
        <w:t xml:space="preserve">Art. 47, Constitution </w:t>
      </w:r>
      <w:r w:rsidR="00A26C80">
        <w:rPr>
          <w:lang w:val="en-US"/>
        </w:rPr>
        <w:t>o</w:t>
      </w:r>
      <w:r>
        <w:rPr>
          <w:lang w:val="en-US"/>
        </w:rPr>
        <w:t>f Kenya</w:t>
      </w:r>
    </w:p>
  </w:footnote>
  <w:footnote w:id="2">
    <w:p w14:paraId="6FA48E39" w14:textId="10C41870" w:rsidR="00A26C80" w:rsidRPr="00A26C80" w:rsidRDefault="00A26C80">
      <w:pPr>
        <w:pStyle w:val="FootnoteText"/>
        <w:rPr>
          <w:lang w:val="en-US"/>
        </w:rPr>
      </w:pPr>
      <w:r>
        <w:rPr>
          <w:rStyle w:val="FootnoteReference"/>
        </w:rPr>
        <w:footnoteRef/>
      </w:r>
      <w:r>
        <w:t xml:space="preserve"> </w:t>
      </w:r>
      <w:r>
        <w:rPr>
          <w:lang w:val="en-US"/>
        </w:rPr>
        <w:t>Art. 23(3), Constitution of Kenya</w:t>
      </w:r>
    </w:p>
  </w:footnote>
  <w:footnote w:id="3">
    <w:p w14:paraId="156F0228" w14:textId="36362483" w:rsidR="00021D41" w:rsidRPr="00021D41" w:rsidRDefault="00021D41">
      <w:pPr>
        <w:pStyle w:val="FootnoteText"/>
        <w:rPr>
          <w:lang w:val="en-US"/>
        </w:rPr>
      </w:pPr>
      <w:r>
        <w:rPr>
          <w:rStyle w:val="FootnoteReference"/>
        </w:rPr>
        <w:footnoteRef/>
      </w:r>
      <w:r>
        <w:t xml:space="preserve"> </w:t>
      </w:r>
      <w:r>
        <w:rPr>
          <w:lang w:val="en-US"/>
        </w:rPr>
        <w:t>Section 13(2) Environment &amp; Land Court Act</w:t>
      </w:r>
    </w:p>
  </w:footnote>
  <w:footnote w:id="4">
    <w:p w14:paraId="060071D5" w14:textId="02A96E42" w:rsidR="006354CF" w:rsidRPr="006354CF" w:rsidRDefault="006354CF">
      <w:pPr>
        <w:pStyle w:val="FootnoteText"/>
        <w:rPr>
          <w:lang w:val="en-US"/>
        </w:rPr>
      </w:pPr>
      <w:r>
        <w:rPr>
          <w:rStyle w:val="FootnoteReference"/>
        </w:rPr>
        <w:footnoteRef/>
      </w:r>
      <w:r>
        <w:t xml:space="preserve"> </w:t>
      </w:r>
      <w:r>
        <w:rPr>
          <w:lang w:val="en-US"/>
        </w:rPr>
        <w:t>Section 7(2)(a)(v) Fair Administrative Action Act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DC9"/>
    <w:rsid w:val="00014DC9"/>
    <w:rsid w:val="00021D41"/>
    <w:rsid w:val="000B306E"/>
    <w:rsid w:val="00183F84"/>
    <w:rsid w:val="001C0EB7"/>
    <w:rsid w:val="002634DD"/>
    <w:rsid w:val="00287ABC"/>
    <w:rsid w:val="004A09AB"/>
    <w:rsid w:val="005A3CB8"/>
    <w:rsid w:val="006354CF"/>
    <w:rsid w:val="006D2065"/>
    <w:rsid w:val="007B36FD"/>
    <w:rsid w:val="007F0904"/>
    <w:rsid w:val="00861FC2"/>
    <w:rsid w:val="00A26C80"/>
    <w:rsid w:val="00B249DF"/>
    <w:rsid w:val="00C0676B"/>
    <w:rsid w:val="00CD6CD3"/>
    <w:rsid w:val="00DA743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4D0D1"/>
  <w15:chartTrackingRefBased/>
  <w15:docId w15:val="{674E74E4-90D3-4FC6-A047-9B924F030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6D206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D2065"/>
    <w:rPr>
      <w:sz w:val="20"/>
      <w:szCs w:val="20"/>
    </w:rPr>
  </w:style>
  <w:style w:type="character" w:styleId="FootnoteReference">
    <w:name w:val="footnote reference"/>
    <w:basedOn w:val="DefaultParagraphFont"/>
    <w:uiPriority w:val="99"/>
    <w:semiHidden/>
    <w:unhideWhenUsed/>
    <w:rsid w:val="006D206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8C46C4-0C13-4E9E-8DEA-1981CF11B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Pages>
  <Words>391</Words>
  <Characters>2234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2023-02-25T13:30:00Z</dcterms:created>
  <dcterms:modified xsi:type="dcterms:W3CDTF">2023-02-25T19:23:00Z</dcterms:modified>
</cp:coreProperties>
</file>