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0304690"/>
        <w:docPartObj>
          <w:docPartGallery w:val="Cover Pages"/>
          <w:docPartUnique/>
        </w:docPartObj>
      </w:sdtPr>
      <w:sdtContent>
        <w:p w:rsidR="006B57EC" w:rsidRDefault="006B57EC">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83"/>
                                  <w:gridCol w:w="5203"/>
                                </w:tblGrid>
                                <w:tr w:rsidR="006B57EC">
                                  <w:trPr>
                                    <w:jc w:val="center"/>
                                  </w:trPr>
                                  <w:tc>
                                    <w:tcPr>
                                      <w:tcW w:w="2568" w:type="pct"/>
                                      <w:vAlign w:val="center"/>
                                    </w:tcPr>
                                    <w:p w:rsidR="006B57EC" w:rsidRDefault="003C2EA9">
                                      <w:pPr>
                                        <w:jc w:val="right"/>
                                      </w:pPr>
                                      <w:r>
                                        <w:rPr>
                                          <w:noProof/>
                                        </w:rPr>
                                        <w:drawing>
                                          <wp:inline distT="0" distB="0" distL="0" distR="0" wp14:anchorId="31FE00F3" wp14:editId="1143B2AC">
                                            <wp:extent cx="3660000" cy="1619099"/>
                                            <wp:effectExtent l="0" t="0" r="0" b="635"/>
                                            <wp:docPr id="56" name="Google Shape;56;p13"/>
                                            <wp:cNvGraphicFramePr/>
                                            <a:graphic xmlns:a="http://schemas.openxmlformats.org/drawingml/2006/main">
                                              <a:graphicData uri="http://schemas.openxmlformats.org/drawingml/2006/picture">
                                                <pic:pic xmlns:pic="http://schemas.openxmlformats.org/drawingml/2006/picture">
                                                  <pic:nvPicPr>
                                                    <pic:cNvPr id="56" name="Google Shape;56;p13"/>
                                                    <pic:cNvPicPr preferRelativeResize="0"/>
                                                  </pic:nvPicPr>
                                                  <pic:blipFill rotWithShape="1">
                                                    <a:blip r:embed="rId8">
                                                      <a:alphaModFix/>
                                                    </a:blip>
                                                    <a:srcRect t="25252" b="24712"/>
                                                    <a:stretch/>
                                                  </pic:blipFill>
                                                  <pic:spPr>
                                                    <a:xfrm>
                                                      <a:off x="0" y="0"/>
                                                      <a:ext cx="3660000" cy="1619099"/>
                                                    </a:xfrm>
                                                    <a:prstGeom prst="rect">
                                                      <a:avLst/>
                                                    </a:prstGeom>
                                                    <a:noFill/>
                                                    <a:ln>
                                                      <a:noFill/>
                                                    </a:ln>
                                                  </pic:spPr>
                                                </pic:pic>
                                              </a:graphicData>
                                            </a:graphic>
                                          </wp:inline>
                                        </w:drawing>
                                      </w:r>
                                    </w:p>
                                    <w:sdt>
                                      <w:sdtPr>
                                        <w:rPr>
                                          <w:rFonts w:ascii="Book Antiqua" w:hAnsi="Book Antiqua"/>
                                          <w:caps/>
                                          <w:color w:val="2F5496" w:themeColor="accent1" w:themeShade="BF"/>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6B57EC" w:rsidRPr="003C2EA9" w:rsidRDefault="00020A32">
                                          <w:pPr>
                                            <w:pStyle w:val="NoSpacing"/>
                                            <w:spacing w:line="312" w:lineRule="auto"/>
                                            <w:jc w:val="right"/>
                                            <w:rPr>
                                              <w:rFonts w:ascii="Book Antiqua" w:hAnsi="Book Antiqua"/>
                                              <w:caps/>
                                              <w:color w:val="2F5496" w:themeColor="accent1" w:themeShade="BF"/>
                                              <w:sz w:val="44"/>
                                              <w:szCs w:val="44"/>
                                            </w:rPr>
                                          </w:pPr>
                                          <w:r>
                                            <w:rPr>
                                              <w:rFonts w:ascii="Book Antiqua" w:hAnsi="Book Antiqua"/>
                                              <w:caps/>
                                              <w:color w:val="2F5496" w:themeColor="accent1" w:themeShade="BF"/>
                                              <w:sz w:val="44"/>
                                              <w:szCs w:val="44"/>
                                            </w:rPr>
                                            <w:t>-FIRM 22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rsidR="006B57EC" w:rsidRDefault="006B57EC">
                                          <w:pPr>
                                            <w:jc w:val="right"/>
                                            <w:rPr>
                                              <w:sz w:val="24"/>
                                              <w:szCs w:val="24"/>
                                            </w:rPr>
                                          </w:pPr>
                                          <w:r>
                                            <w:rPr>
                                              <w:color w:val="000000" w:themeColor="text1"/>
                                              <w:sz w:val="24"/>
                                              <w:szCs w:val="24"/>
                                            </w:rPr>
                                            <w:t xml:space="preserve">     </w:t>
                                          </w:r>
                                        </w:p>
                                      </w:sdtContent>
                                    </w:sdt>
                                  </w:tc>
                                  <w:tc>
                                    <w:tcPr>
                                      <w:tcW w:w="2432" w:type="pct"/>
                                      <w:vAlign w:val="center"/>
                                    </w:tcPr>
                                    <w:p w:rsidR="003C2EA9" w:rsidRDefault="003C2EA9">
                                      <w:pPr>
                                        <w:pStyle w:val="NoSpacing"/>
                                        <w:rPr>
                                          <w:rFonts w:ascii="Book Antiqua" w:hAnsi="Book Antiqua"/>
                                          <w:caps/>
                                          <w:color w:val="2F5496" w:themeColor="accent1" w:themeShade="BF"/>
                                          <w:sz w:val="40"/>
                                          <w:szCs w:val="40"/>
                                        </w:rPr>
                                      </w:pPr>
                                    </w:p>
                                    <w:p w:rsidR="003C2EA9" w:rsidRPr="003C2EA9" w:rsidRDefault="003C2EA9">
                                      <w:pPr>
                                        <w:pStyle w:val="NoSpacing"/>
                                        <w:rPr>
                                          <w:rFonts w:ascii="Book Antiqua" w:hAnsi="Book Antiqua"/>
                                          <w:caps/>
                                          <w:color w:val="2F5496" w:themeColor="accent1" w:themeShade="BF"/>
                                          <w:sz w:val="40"/>
                                          <w:szCs w:val="40"/>
                                        </w:rPr>
                                      </w:pPr>
                                    </w:p>
                                    <w:p w:rsidR="00020A32" w:rsidRDefault="00020A32">
                                      <w:pPr>
                                        <w:pStyle w:val="NoSpacing"/>
                                        <w:rPr>
                                          <w:rFonts w:ascii="Book Antiqua" w:hAnsi="Book Antiqua"/>
                                          <w:caps/>
                                          <w:color w:val="2F5496" w:themeColor="accent1" w:themeShade="BF"/>
                                          <w:sz w:val="40"/>
                                          <w:szCs w:val="40"/>
                                        </w:rPr>
                                      </w:pPr>
                                      <w:r w:rsidRPr="00020A32">
                                        <w:rPr>
                                          <w:rFonts w:ascii="Book Antiqua" w:hAnsi="Book Antiqua"/>
                                          <w:caps/>
                                          <w:color w:val="2F5496" w:themeColor="accent1" w:themeShade="BF"/>
                                          <w:sz w:val="40"/>
                                          <w:szCs w:val="40"/>
                                        </w:rPr>
                                        <w:t>CIVIL LITIGATION ASSIGNMENT</w:t>
                                      </w:r>
                                      <w:r>
                                        <w:rPr>
                                          <w:rFonts w:ascii="Book Antiqua" w:hAnsi="Book Antiqua"/>
                                          <w:caps/>
                                          <w:color w:val="2F5496" w:themeColor="accent1" w:themeShade="BF"/>
                                          <w:sz w:val="40"/>
                                          <w:szCs w:val="40"/>
                                        </w:rPr>
                                        <w:t xml:space="preserve"> ATP 100</w:t>
                                      </w:r>
                                    </w:p>
                                    <w:p w:rsidR="00020A32" w:rsidRDefault="00020A32">
                                      <w:pPr>
                                        <w:pStyle w:val="NoSpacing"/>
                                        <w:rPr>
                                          <w:rFonts w:ascii="Book Antiqua" w:hAnsi="Book Antiqua"/>
                                          <w:caps/>
                                          <w:color w:val="2F5496" w:themeColor="accent1" w:themeShade="BF"/>
                                          <w:sz w:val="40"/>
                                          <w:szCs w:val="40"/>
                                        </w:rPr>
                                      </w:pPr>
                                    </w:p>
                                    <w:p w:rsidR="006B57EC" w:rsidRDefault="003C2EA9">
                                      <w:pPr>
                                        <w:pStyle w:val="NoSpacing"/>
                                        <w:rPr>
                                          <w:rFonts w:ascii="Book Antiqua" w:hAnsi="Book Antiqua"/>
                                          <w:caps/>
                                          <w:color w:val="2F5496" w:themeColor="accent1" w:themeShade="BF"/>
                                          <w:sz w:val="40"/>
                                          <w:szCs w:val="40"/>
                                        </w:rPr>
                                      </w:pPr>
                                      <w:r>
                                        <w:rPr>
                                          <w:rFonts w:ascii="Book Antiqua" w:hAnsi="Book Antiqua"/>
                                          <w:caps/>
                                          <w:color w:val="2F5496" w:themeColor="accent1" w:themeShade="BF"/>
                                          <w:sz w:val="40"/>
                                          <w:szCs w:val="40"/>
                                        </w:rPr>
                                        <w:t>SUBMITTED TO:</w:t>
                                      </w:r>
                                    </w:p>
                                    <w:p w:rsidR="003C2EA9" w:rsidRDefault="003C2EA9">
                                      <w:pPr>
                                        <w:pStyle w:val="NoSpacing"/>
                                        <w:rPr>
                                          <w:rFonts w:ascii="Book Antiqua" w:hAnsi="Book Antiqua"/>
                                          <w:caps/>
                                          <w:color w:val="2F5496" w:themeColor="accent1" w:themeShade="BF"/>
                                          <w:sz w:val="40"/>
                                          <w:szCs w:val="40"/>
                                        </w:rPr>
                                      </w:pPr>
                                    </w:p>
                                    <w:p w:rsidR="003C2EA9" w:rsidRDefault="003C2EA9">
                                      <w:pPr>
                                        <w:pStyle w:val="NoSpacing"/>
                                        <w:rPr>
                                          <w:rFonts w:ascii="Book Antiqua" w:hAnsi="Book Antiqua"/>
                                          <w:caps/>
                                          <w:color w:val="2F5496" w:themeColor="accent1" w:themeShade="BF"/>
                                          <w:sz w:val="40"/>
                                          <w:szCs w:val="40"/>
                                        </w:rPr>
                                      </w:pPr>
                                      <w:r>
                                        <w:rPr>
                                          <w:rFonts w:ascii="Book Antiqua" w:hAnsi="Book Antiqua"/>
                                          <w:caps/>
                                          <w:color w:val="2F5496" w:themeColor="accent1" w:themeShade="BF"/>
                                          <w:sz w:val="40"/>
                                          <w:szCs w:val="40"/>
                                        </w:rPr>
                                        <w:t>MR. GAD GATHU</w:t>
                                      </w:r>
                                    </w:p>
                                    <w:p w:rsidR="003C2EA9" w:rsidRDefault="003C2EA9">
                                      <w:pPr>
                                        <w:pStyle w:val="NoSpacing"/>
                                        <w:rPr>
                                          <w:rFonts w:ascii="Book Antiqua" w:hAnsi="Book Antiqua"/>
                                          <w:caps/>
                                          <w:color w:val="2F5496" w:themeColor="accent1" w:themeShade="BF"/>
                                          <w:sz w:val="40"/>
                                          <w:szCs w:val="40"/>
                                        </w:rPr>
                                      </w:pPr>
                                      <w:r>
                                        <w:rPr>
                                          <w:rFonts w:ascii="Book Antiqua" w:hAnsi="Book Antiqua"/>
                                          <w:caps/>
                                          <w:color w:val="2F5496" w:themeColor="accent1" w:themeShade="BF"/>
                                          <w:sz w:val="40"/>
                                          <w:szCs w:val="40"/>
                                        </w:rPr>
                                        <w:t>@ggathu@ksl.ac.ke</w:t>
                                      </w:r>
                                    </w:p>
                                    <w:p w:rsidR="003C2EA9" w:rsidRPr="003C2EA9" w:rsidRDefault="003C2EA9">
                                      <w:pPr>
                                        <w:pStyle w:val="NoSpacing"/>
                                        <w:rPr>
                                          <w:rFonts w:ascii="Book Antiqua" w:hAnsi="Book Antiqua"/>
                                          <w:caps/>
                                          <w:color w:val="2F5496" w:themeColor="accent1" w:themeShade="BF"/>
                                          <w:sz w:val="40"/>
                                          <w:szCs w:val="40"/>
                                        </w:rPr>
                                      </w:pPr>
                                    </w:p>
                                    <w:p w:rsidR="006B57EC" w:rsidRPr="003C2EA9" w:rsidRDefault="006B57EC">
                                      <w:pPr>
                                        <w:pStyle w:val="NoSpacing"/>
                                        <w:rPr>
                                          <w:rFonts w:ascii="Book Antiqua" w:hAnsi="Book Antiqua"/>
                                          <w:caps/>
                                          <w:color w:val="2F5496" w:themeColor="accent1" w:themeShade="BF"/>
                                          <w:sz w:val="40"/>
                                          <w:szCs w:val="40"/>
                                        </w:rPr>
                                      </w:pPr>
                                      <w:r w:rsidRPr="003C2EA9">
                                        <w:rPr>
                                          <w:rFonts w:ascii="Book Antiqua" w:hAnsi="Book Antiqua"/>
                                          <w:caps/>
                                          <w:color w:val="2F5496" w:themeColor="accent1" w:themeShade="BF"/>
                                          <w:sz w:val="40"/>
                                          <w:szCs w:val="40"/>
                                        </w:rPr>
                                        <w:t>27.02.2</w:t>
                                      </w:r>
                                      <w:r w:rsidR="00E06A76">
                                        <w:rPr>
                                          <w:rFonts w:ascii="Book Antiqua" w:hAnsi="Book Antiqua"/>
                                          <w:caps/>
                                          <w:color w:val="2F5496" w:themeColor="accent1" w:themeShade="BF"/>
                                          <w:sz w:val="40"/>
                                          <w:szCs w:val="40"/>
                                        </w:rPr>
                                        <w:t>3</w:t>
                                      </w:r>
                                    </w:p>
                                    <w:p w:rsidR="006B57EC" w:rsidRPr="003C2EA9" w:rsidRDefault="006B57EC">
                                      <w:pPr>
                                        <w:pStyle w:val="NoSpacing"/>
                                        <w:rPr>
                                          <w:color w:val="2F5496" w:themeColor="accent1" w:themeShade="BF"/>
                                          <w:sz w:val="26"/>
                                          <w:szCs w:val="26"/>
                                        </w:rPr>
                                      </w:pPr>
                                    </w:p>
                                    <w:p w:rsidR="006B57EC" w:rsidRDefault="006B57EC">
                                      <w:pPr>
                                        <w:pStyle w:val="NoSpacing"/>
                                      </w:pPr>
                                    </w:p>
                                  </w:tc>
                                </w:tr>
                              </w:tbl>
                              <w:p w:rsidR="006B57EC" w:rsidRDefault="006B57E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83"/>
                            <w:gridCol w:w="5203"/>
                          </w:tblGrid>
                          <w:tr w:rsidR="006B57EC">
                            <w:trPr>
                              <w:jc w:val="center"/>
                            </w:trPr>
                            <w:tc>
                              <w:tcPr>
                                <w:tcW w:w="2568" w:type="pct"/>
                                <w:vAlign w:val="center"/>
                              </w:tcPr>
                              <w:p w:rsidR="006B57EC" w:rsidRDefault="003C2EA9">
                                <w:pPr>
                                  <w:jc w:val="right"/>
                                </w:pPr>
                                <w:r>
                                  <w:rPr>
                                    <w:noProof/>
                                  </w:rPr>
                                  <w:drawing>
                                    <wp:inline distT="0" distB="0" distL="0" distR="0" wp14:anchorId="31FE00F3" wp14:editId="1143B2AC">
                                      <wp:extent cx="3660000" cy="1619099"/>
                                      <wp:effectExtent l="0" t="0" r="0" b="635"/>
                                      <wp:docPr id="56" name="Google Shape;56;p13"/>
                                      <wp:cNvGraphicFramePr/>
                                      <a:graphic xmlns:a="http://schemas.openxmlformats.org/drawingml/2006/main">
                                        <a:graphicData uri="http://schemas.openxmlformats.org/drawingml/2006/picture">
                                          <pic:pic xmlns:pic="http://schemas.openxmlformats.org/drawingml/2006/picture">
                                            <pic:nvPicPr>
                                              <pic:cNvPr id="56" name="Google Shape;56;p13"/>
                                              <pic:cNvPicPr preferRelativeResize="0"/>
                                            </pic:nvPicPr>
                                            <pic:blipFill rotWithShape="1">
                                              <a:blip r:embed="rId8">
                                                <a:alphaModFix/>
                                              </a:blip>
                                              <a:srcRect t="25252" b="24712"/>
                                              <a:stretch/>
                                            </pic:blipFill>
                                            <pic:spPr>
                                              <a:xfrm>
                                                <a:off x="0" y="0"/>
                                                <a:ext cx="3660000" cy="1619099"/>
                                              </a:xfrm>
                                              <a:prstGeom prst="rect">
                                                <a:avLst/>
                                              </a:prstGeom>
                                              <a:noFill/>
                                              <a:ln>
                                                <a:noFill/>
                                              </a:ln>
                                            </pic:spPr>
                                          </pic:pic>
                                        </a:graphicData>
                                      </a:graphic>
                                    </wp:inline>
                                  </w:drawing>
                                </w:r>
                              </w:p>
                              <w:sdt>
                                <w:sdtPr>
                                  <w:rPr>
                                    <w:rFonts w:ascii="Book Antiqua" w:hAnsi="Book Antiqua"/>
                                    <w:caps/>
                                    <w:color w:val="2F5496" w:themeColor="accent1" w:themeShade="BF"/>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6B57EC" w:rsidRPr="003C2EA9" w:rsidRDefault="00020A32">
                                    <w:pPr>
                                      <w:pStyle w:val="NoSpacing"/>
                                      <w:spacing w:line="312" w:lineRule="auto"/>
                                      <w:jc w:val="right"/>
                                      <w:rPr>
                                        <w:rFonts w:ascii="Book Antiqua" w:hAnsi="Book Antiqua"/>
                                        <w:caps/>
                                        <w:color w:val="2F5496" w:themeColor="accent1" w:themeShade="BF"/>
                                        <w:sz w:val="44"/>
                                        <w:szCs w:val="44"/>
                                      </w:rPr>
                                    </w:pPr>
                                    <w:r>
                                      <w:rPr>
                                        <w:rFonts w:ascii="Book Antiqua" w:hAnsi="Book Antiqua"/>
                                        <w:caps/>
                                        <w:color w:val="2F5496" w:themeColor="accent1" w:themeShade="BF"/>
                                        <w:sz w:val="44"/>
                                        <w:szCs w:val="44"/>
                                      </w:rPr>
                                      <w:t>-FIRM 22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rsidR="006B57EC" w:rsidRDefault="006B57EC">
                                    <w:pPr>
                                      <w:jc w:val="right"/>
                                      <w:rPr>
                                        <w:sz w:val="24"/>
                                        <w:szCs w:val="24"/>
                                      </w:rPr>
                                    </w:pPr>
                                    <w:r>
                                      <w:rPr>
                                        <w:color w:val="000000" w:themeColor="text1"/>
                                        <w:sz w:val="24"/>
                                        <w:szCs w:val="24"/>
                                      </w:rPr>
                                      <w:t xml:space="preserve">     </w:t>
                                    </w:r>
                                  </w:p>
                                </w:sdtContent>
                              </w:sdt>
                            </w:tc>
                            <w:tc>
                              <w:tcPr>
                                <w:tcW w:w="2432" w:type="pct"/>
                                <w:vAlign w:val="center"/>
                              </w:tcPr>
                              <w:p w:rsidR="003C2EA9" w:rsidRDefault="003C2EA9">
                                <w:pPr>
                                  <w:pStyle w:val="NoSpacing"/>
                                  <w:rPr>
                                    <w:rFonts w:ascii="Book Antiqua" w:hAnsi="Book Antiqua"/>
                                    <w:caps/>
                                    <w:color w:val="2F5496" w:themeColor="accent1" w:themeShade="BF"/>
                                    <w:sz w:val="40"/>
                                    <w:szCs w:val="40"/>
                                  </w:rPr>
                                </w:pPr>
                              </w:p>
                              <w:p w:rsidR="003C2EA9" w:rsidRPr="003C2EA9" w:rsidRDefault="003C2EA9">
                                <w:pPr>
                                  <w:pStyle w:val="NoSpacing"/>
                                  <w:rPr>
                                    <w:rFonts w:ascii="Book Antiqua" w:hAnsi="Book Antiqua"/>
                                    <w:caps/>
                                    <w:color w:val="2F5496" w:themeColor="accent1" w:themeShade="BF"/>
                                    <w:sz w:val="40"/>
                                    <w:szCs w:val="40"/>
                                  </w:rPr>
                                </w:pPr>
                              </w:p>
                              <w:p w:rsidR="00020A32" w:rsidRDefault="00020A32">
                                <w:pPr>
                                  <w:pStyle w:val="NoSpacing"/>
                                  <w:rPr>
                                    <w:rFonts w:ascii="Book Antiqua" w:hAnsi="Book Antiqua"/>
                                    <w:caps/>
                                    <w:color w:val="2F5496" w:themeColor="accent1" w:themeShade="BF"/>
                                    <w:sz w:val="40"/>
                                    <w:szCs w:val="40"/>
                                  </w:rPr>
                                </w:pPr>
                                <w:r w:rsidRPr="00020A32">
                                  <w:rPr>
                                    <w:rFonts w:ascii="Book Antiqua" w:hAnsi="Book Antiqua"/>
                                    <w:caps/>
                                    <w:color w:val="2F5496" w:themeColor="accent1" w:themeShade="BF"/>
                                    <w:sz w:val="40"/>
                                    <w:szCs w:val="40"/>
                                  </w:rPr>
                                  <w:t>CIVIL LITIGATION ASSIGNMENT</w:t>
                                </w:r>
                                <w:r>
                                  <w:rPr>
                                    <w:rFonts w:ascii="Book Antiqua" w:hAnsi="Book Antiqua"/>
                                    <w:caps/>
                                    <w:color w:val="2F5496" w:themeColor="accent1" w:themeShade="BF"/>
                                    <w:sz w:val="40"/>
                                    <w:szCs w:val="40"/>
                                  </w:rPr>
                                  <w:t xml:space="preserve"> ATP 100</w:t>
                                </w:r>
                              </w:p>
                              <w:p w:rsidR="00020A32" w:rsidRDefault="00020A32">
                                <w:pPr>
                                  <w:pStyle w:val="NoSpacing"/>
                                  <w:rPr>
                                    <w:rFonts w:ascii="Book Antiqua" w:hAnsi="Book Antiqua"/>
                                    <w:caps/>
                                    <w:color w:val="2F5496" w:themeColor="accent1" w:themeShade="BF"/>
                                    <w:sz w:val="40"/>
                                    <w:szCs w:val="40"/>
                                  </w:rPr>
                                </w:pPr>
                              </w:p>
                              <w:p w:rsidR="006B57EC" w:rsidRDefault="003C2EA9">
                                <w:pPr>
                                  <w:pStyle w:val="NoSpacing"/>
                                  <w:rPr>
                                    <w:rFonts w:ascii="Book Antiqua" w:hAnsi="Book Antiqua"/>
                                    <w:caps/>
                                    <w:color w:val="2F5496" w:themeColor="accent1" w:themeShade="BF"/>
                                    <w:sz w:val="40"/>
                                    <w:szCs w:val="40"/>
                                  </w:rPr>
                                </w:pPr>
                                <w:r>
                                  <w:rPr>
                                    <w:rFonts w:ascii="Book Antiqua" w:hAnsi="Book Antiqua"/>
                                    <w:caps/>
                                    <w:color w:val="2F5496" w:themeColor="accent1" w:themeShade="BF"/>
                                    <w:sz w:val="40"/>
                                    <w:szCs w:val="40"/>
                                  </w:rPr>
                                  <w:t>SUBMITTED TO:</w:t>
                                </w:r>
                              </w:p>
                              <w:p w:rsidR="003C2EA9" w:rsidRDefault="003C2EA9">
                                <w:pPr>
                                  <w:pStyle w:val="NoSpacing"/>
                                  <w:rPr>
                                    <w:rFonts w:ascii="Book Antiqua" w:hAnsi="Book Antiqua"/>
                                    <w:caps/>
                                    <w:color w:val="2F5496" w:themeColor="accent1" w:themeShade="BF"/>
                                    <w:sz w:val="40"/>
                                    <w:szCs w:val="40"/>
                                  </w:rPr>
                                </w:pPr>
                              </w:p>
                              <w:p w:rsidR="003C2EA9" w:rsidRDefault="003C2EA9">
                                <w:pPr>
                                  <w:pStyle w:val="NoSpacing"/>
                                  <w:rPr>
                                    <w:rFonts w:ascii="Book Antiqua" w:hAnsi="Book Antiqua"/>
                                    <w:caps/>
                                    <w:color w:val="2F5496" w:themeColor="accent1" w:themeShade="BF"/>
                                    <w:sz w:val="40"/>
                                    <w:szCs w:val="40"/>
                                  </w:rPr>
                                </w:pPr>
                                <w:r>
                                  <w:rPr>
                                    <w:rFonts w:ascii="Book Antiqua" w:hAnsi="Book Antiqua"/>
                                    <w:caps/>
                                    <w:color w:val="2F5496" w:themeColor="accent1" w:themeShade="BF"/>
                                    <w:sz w:val="40"/>
                                    <w:szCs w:val="40"/>
                                  </w:rPr>
                                  <w:t>MR. GAD GATHU</w:t>
                                </w:r>
                              </w:p>
                              <w:p w:rsidR="003C2EA9" w:rsidRDefault="003C2EA9">
                                <w:pPr>
                                  <w:pStyle w:val="NoSpacing"/>
                                  <w:rPr>
                                    <w:rFonts w:ascii="Book Antiqua" w:hAnsi="Book Antiqua"/>
                                    <w:caps/>
                                    <w:color w:val="2F5496" w:themeColor="accent1" w:themeShade="BF"/>
                                    <w:sz w:val="40"/>
                                    <w:szCs w:val="40"/>
                                  </w:rPr>
                                </w:pPr>
                                <w:r>
                                  <w:rPr>
                                    <w:rFonts w:ascii="Book Antiqua" w:hAnsi="Book Antiqua"/>
                                    <w:caps/>
                                    <w:color w:val="2F5496" w:themeColor="accent1" w:themeShade="BF"/>
                                    <w:sz w:val="40"/>
                                    <w:szCs w:val="40"/>
                                  </w:rPr>
                                  <w:t>@ggathu@ksl.ac.ke</w:t>
                                </w:r>
                              </w:p>
                              <w:p w:rsidR="003C2EA9" w:rsidRPr="003C2EA9" w:rsidRDefault="003C2EA9">
                                <w:pPr>
                                  <w:pStyle w:val="NoSpacing"/>
                                  <w:rPr>
                                    <w:rFonts w:ascii="Book Antiqua" w:hAnsi="Book Antiqua"/>
                                    <w:caps/>
                                    <w:color w:val="2F5496" w:themeColor="accent1" w:themeShade="BF"/>
                                    <w:sz w:val="40"/>
                                    <w:szCs w:val="40"/>
                                  </w:rPr>
                                </w:pPr>
                              </w:p>
                              <w:p w:rsidR="006B57EC" w:rsidRPr="003C2EA9" w:rsidRDefault="006B57EC">
                                <w:pPr>
                                  <w:pStyle w:val="NoSpacing"/>
                                  <w:rPr>
                                    <w:rFonts w:ascii="Book Antiqua" w:hAnsi="Book Antiqua"/>
                                    <w:caps/>
                                    <w:color w:val="2F5496" w:themeColor="accent1" w:themeShade="BF"/>
                                    <w:sz w:val="40"/>
                                    <w:szCs w:val="40"/>
                                  </w:rPr>
                                </w:pPr>
                                <w:r w:rsidRPr="003C2EA9">
                                  <w:rPr>
                                    <w:rFonts w:ascii="Book Antiqua" w:hAnsi="Book Antiqua"/>
                                    <w:caps/>
                                    <w:color w:val="2F5496" w:themeColor="accent1" w:themeShade="BF"/>
                                    <w:sz w:val="40"/>
                                    <w:szCs w:val="40"/>
                                  </w:rPr>
                                  <w:t>27.02.2</w:t>
                                </w:r>
                                <w:r w:rsidR="00E06A76">
                                  <w:rPr>
                                    <w:rFonts w:ascii="Book Antiqua" w:hAnsi="Book Antiqua"/>
                                    <w:caps/>
                                    <w:color w:val="2F5496" w:themeColor="accent1" w:themeShade="BF"/>
                                    <w:sz w:val="40"/>
                                    <w:szCs w:val="40"/>
                                  </w:rPr>
                                  <w:t>3</w:t>
                                </w:r>
                              </w:p>
                              <w:p w:rsidR="006B57EC" w:rsidRPr="003C2EA9" w:rsidRDefault="006B57EC">
                                <w:pPr>
                                  <w:pStyle w:val="NoSpacing"/>
                                  <w:rPr>
                                    <w:color w:val="2F5496" w:themeColor="accent1" w:themeShade="BF"/>
                                    <w:sz w:val="26"/>
                                    <w:szCs w:val="26"/>
                                  </w:rPr>
                                </w:pPr>
                              </w:p>
                              <w:p w:rsidR="006B57EC" w:rsidRDefault="006B57EC">
                                <w:pPr>
                                  <w:pStyle w:val="NoSpacing"/>
                                </w:pPr>
                              </w:p>
                            </w:tc>
                          </w:tr>
                        </w:tbl>
                        <w:p w:rsidR="006B57EC" w:rsidRDefault="006B57EC"/>
                      </w:txbxContent>
                    </v:textbox>
                    <w10:wrap anchorx="page" anchory="page"/>
                  </v:shape>
                </w:pict>
              </mc:Fallback>
            </mc:AlternateContent>
          </w:r>
          <w:r>
            <w:br w:type="page"/>
          </w:r>
        </w:p>
      </w:sdtContent>
    </w:sdt>
    <w:p w:rsidR="009754A3" w:rsidRDefault="009754A3" w:rsidP="00D74ED9">
      <w:pPr>
        <w:pStyle w:val="TOCHeading"/>
      </w:pPr>
    </w:p>
    <w:p w:rsidR="009754A3" w:rsidRDefault="009754A3" w:rsidP="00AE7E67">
      <w:pPr>
        <w:pStyle w:val="Heading1"/>
        <w:rPr>
          <w:rFonts w:ascii="Book Antiqua" w:hAnsi="Book Antiqua"/>
          <w:b/>
          <w:bCs/>
          <w:sz w:val="28"/>
          <w:szCs w:val="28"/>
        </w:rPr>
      </w:pPr>
      <w:bookmarkStart w:id="0" w:name="_Toc128375751"/>
    </w:p>
    <w:p w:rsidR="006B57EC" w:rsidRDefault="006B57EC" w:rsidP="00AE7E67">
      <w:pPr>
        <w:pStyle w:val="Heading1"/>
        <w:rPr>
          <w:rFonts w:ascii="Book Antiqua" w:hAnsi="Book Antiqua"/>
          <w:b/>
          <w:bCs/>
          <w:sz w:val="28"/>
          <w:szCs w:val="28"/>
        </w:rPr>
      </w:pPr>
    </w:p>
    <w:sdt>
      <w:sdtPr>
        <w:rPr>
          <w:rFonts w:asciiTheme="minorHAnsi" w:eastAsiaTheme="minorHAnsi" w:hAnsiTheme="minorHAnsi" w:cstheme="minorBidi"/>
          <w:color w:val="auto"/>
          <w:sz w:val="22"/>
          <w:szCs w:val="22"/>
        </w:rPr>
        <w:id w:val="1793329654"/>
        <w:docPartObj>
          <w:docPartGallery w:val="Table of Contents"/>
          <w:docPartUnique/>
        </w:docPartObj>
      </w:sdtPr>
      <w:sdtEndPr>
        <w:rPr>
          <w:b/>
          <w:bCs/>
          <w:noProof/>
        </w:rPr>
      </w:sdtEndPr>
      <w:sdtContent>
        <w:p w:rsidR="00012ACF" w:rsidRDefault="00012ACF">
          <w:pPr>
            <w:pStyle w:val="TOCHeading"/>
          </w:pPr>
          <w:r>
            <w:t>Contents</w:t>
          </w:r>
        </w:p>
        <w:p w:rsidR="000006BB" w:rsidRDefault="00012ACF">
          <w:pPr>
            <w:pStyle w:val="TOC1"/>
            <w:tabs>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128982890" w:history="1">
            <w:r w:rsidR="000006BB" w:rsidRPr="006946AB">
              <w:rPr>
                <w:rStyle w:val="Hyperlink"/>
                <w:rFonts w:ascii="Book Antiqua" w:hAnsi="Book Antiqua"/>
                <w:b/>
                <w:bCs/>
                <w:noProof/>
              </w:rPr>
              <w:t>WHILE A COURT MAY BE CLOTHED WITH JURISDICTION, THE EXTENT OF THAT JURISDICTION MAY BE LIMITED IN VARIOUS WAYS. DISCUSS</w:t>
            </w:r>
            <w:r w:rsidR="000006BB">
              <w:rPr>
                <w:noProof/>
                <w:webHidden/>
              </w:rPr>
              <w:tab/>
            </w:r>
            <w:r w:rsidR="000006BB">
              <w:rPr>
                <w:noProof/>
                <w:webHidden/>
              </w:rPr>
              <w:fldChar w:fldCharType="begin"/>
            </w:r>
            <w:r w:rsidR="000006BB">
              <w:rPr>
                <w:noProof/>
                <w:webHidden/>
              </w:rPr>
              <w:instrText xml:space="preserve"> PAGEREF _Toc128982890 \h </w:instrText>
            </w:r>
            <w:r w:rsidR="000006BB">
              <w:rPr>
                <w:noProof/>
                <w:webHidden/>
              </w:rPr>
            </w:r>
            <w:r w:rsidR="000006BB">
              <w:rPr>
                <w:noProof/>
                <w:webHidden/>
              </w:rPr>
              <w:fldChar w:fldCharType="separate"/>
            </w:r>
            <w:r w:rsidR="000006BB">
              <w:rPr>
                <w:noProof/>
                <w:webHidden/>
              </w:rPr>
              <w:t>2</w:t>
            </w:r>
            <w:r w:rsidR="000006BB">
              <w:rPr>
                <w:noProof/>
                <w:webHidden/>
              </w:rPr>
              <w:fldChar w:fldCharType="end"/>
            </w:r>
          </w:hyperlink>
        </w:p>
        <w:p w:rsidR="000006BB" w:rsidRDefault="000006BB">
          <w:pPr>
            <w:pStyle w:val="TOC1"/>
            <w:tabs>
              <w:tab w:val="right" w:leader="dot" w:pos="9350"/>
            </w:tabs>
            <w:rPr>
              <w:rFonts w:eastAsiaTheme="minorEastAsia"/>
              <w:noProof/>
              <w:lang w:val="en-GB" w:eastAsia="en-GB"/>
            </w:rPr>
          </w:pPr>
          <w:hyperlink w:anchor="_Toc128982891" w:history="1">
            <w:r w:rsidRPr="006946AB">
              <w:rPr>
                <w:rStyle w:val="Hyperlink"/>
                <w:rFonts w:ascii="Book Antiqua" w:hAnsi="Book Antiqua"/>
                <w:b/>
                <w:bCs/>
                <w:noProof/>
              </w:rPr>
              <w:t>SECTION 1: INTRODUCTION</w:t>
            </w:r>
            <w:r>
              <w:rPr>
                <w:noProof/>
                <w:webHidden/>
              </w:rPr>
              <w:tab/>
            </w:r>
            <w:r>
              <w:rPr>
                <w:noProof/>
                <w:webHidden/>
              </w:rPr>
              <w:fldChar w:fldCharType="begin"/>
            </w:r>
            <w:r>
              <w:rPr>
                <w:noProof/>
                <w:webHidden/>
              </w:rPr>
              <w:instrText xml:space="preserve"> PAGEREF _Toc128982891 \h </w:instrText>
            </w:r>
            <w:r>
              <w:rPr>
                <w:noProof/>
                <w:webHidden/>
              </w:rPr>
            </w:r>
            <w:r>
              <w:rPr>
                <w:noProof/>
                <w:webHidden/>
              </w:rPr>
              <w:fldChar w:fldCharType="separate"/>
            </w:r>
            <w:r>
              <w:rPr>
                <w:noProof/>
                <w:webHidden/>
              </w:rPr>
              <w:t>2</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2" w:history="1">
            <w:r w:rsidRPr="006946AB">
              <w:rPr>
                <w:rStyle w:val="Hyperlink"/>
                <w:b/>
                <w:bCs/>
                <w:noProof/>
                <w:lang w:val="en-GB"/>
              </w:rPr>
              <w:t>Pecuniary Jurisdiction</w:t>
            </w:r>
            <w:r>
              <w:rPr>
                <w:noProof/>
                <w:webHidden/>
              </w:rPr>
              <w:tab/>
            </w:r>
            <w:r>
              <w:rPr>
                <w:noProof/>
                <w:webHidden/>
              </w:rPr>
              <w:fldChar w:fldCharType="begin"/>
            </w:r>
            <w:r>
              <w:rPr>
                <w:noProof/>
                <w:webHidden/>
              </w:rPr>
              <w:instrText xml:space="preserve"> PAGEREF _Toc128982892 \h </w:instrText>
            </w:r>
            <w:r>
              <w:rPr>
                <w:noProof/>
                <w:webHidden/>
              </w:rPr>
            </w:r>
            <w:r>
              <w:rPr>
                <w:noProof/>
                <w:webHidden/>
              </w:rPr>
              <w:fldChar w:fldCharType="separate"/>
            </w:r>
            <w:r>
              <w:rPr>
                <w:noProof/>
                <w:webHidden/>
              </w:rPr>
              <w:t>2</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3" w:history="1">
            <w:r w:rsidRPr="006946AB">
              <w:rPr>
                <w:rStyle w:val="Hyperlink"/>
                <w:b/>
                <w:bCs/>
                <w:noProof/>
                <w:lang w:val="en-GB"/>
              </w:rPr>
              <w:t>Immovable Property/ Subject Matter Situate</w:t>
            </w:r>
            <w:r>
              <w:rPr>
                <w:noProof/>
                <w:webHidden/>
              </w:rPr>
              <w:tab/>
            </w:r>
            <w:r>
              <w:rPr>
                <w:noProof/>
                <w:webHidden/>
              </w:rPr>
              <w:fldChar w:fldCharType="begin"/>
            </w:r>
            <w:r>
              <w:rPr>
                <w:noProof/>
                <w:webHidden/>
              </w:rPr>
              <w:instrText xml:space="preserve"> PAGEREF _Toc128982893 \h </w:instrText>
            </w:r>
            <w:r>
              <w:rPr>
                <w:noProof/>
                <w:webHidden/>
              </w:rPr>
            </w:r>
            <w:r>
              <w:rPr>
                <w:noProof/>
                <w:webHidden/>
              </w:rPr>
              <w:fldChar w:fldCharType="separate"/>
            </w:r>
            <w:r>
              <w:rPr>
                <w:noProof/>
                <w:webHidden/>
              </w:rPr>
              <w:t>3</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4" w:history="1">
            <w:r w:rsidRPr="006946AB">
              <w:rPr>
                <w:rStyle w:val="Hyperlink"/>
                <w:b/>
                <w:bCs/>
                <w:noProof/>
                <w:lang w:val=""/>
              </w:rPr>
              <w:t>Ouster Clauses</w:t>
            </w:r>
            <w:r>
              <w:rPr>
                <w:noProof/>
                <w:webHidden/>
              </w:rPr>
              <w:tab/>
            </w:r>
            <w:r>
              <w:rPr>
                <w:noProof/>
                <w:webHidden/>
              </w:rPr>
              <w:fldChar w:fldCharType="begin"/>
            </w:r>
            <w:r>
              <w:rPr>
                <w:noProof/>
                <w:webHidden/>
              </w:rPr>
              <w:instrText xml:space="preserve"> PAGEREF _Toc128982894 \h </w:instrText>
            </w:r>
            <w:r>
              <w:rPr>
                <w:noProof/>
                <w:webHidden/>
              </w:rPr>
            </w:r>
            <w:r>
              <w:rPr>
                <w:noProof/>
                <w:webHidden/>
              </w:rPr>
              <w:fldChar w:fldCharType="separate"/>
            </w:r>
            <w:r>
              <w:rPr>
                <w:noProof/>
                <w:webHidden/>
              </w:rPr>
              <w:t>3</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5" w:history="1">
            <w:r w:rsidRPr="006946AB">
              <w:rPr>
                <w:rStyle w:val="Hyperlink"/>
                <w:b/>
                <w:bCs/>
                <w:noProof/>
              </w:rPr>
              <w:t>Residual Jurisdiction Limitation</w:t>
            </w:r>
            <w:r>
              <w:rPr>
                <w:noProof/>
                <w:webHidden/>
              </w:rPr>
              <w:tab/>
            </w:r>
            <w:r>
              <w:rPr>
                <w:noProof/>
                <w:webHidden/>
              </w:rPr>
              <w:fldChar w:fldCharType="begin"/>
            </w:r>
            <w:r>
              <w:rPr>
                <w:noProof/>
                <w:webHidden/>
              </w:rPr>
              <w:instrText xml:space="preserve"> PAGEREF _Toc128982895 \h </w:instrText>
            </w:r>
            <w:r>
              <w:rPr>
                <w:noProof/>
                <w:webHidden/>
              </w:rPr>
            </w:r>
            <w:r>
              <w:rPr>
                <w:noProof/>
                <w:webHidden/>
              </w:rPr>
              <w:fldChar w:fldCharType="separate"/>
            </w:r>
            <w:r>
              <w:rPr>
                <w:noProof/>
                <w:webHidden/>
              </w:rPr>
              <w:t>4</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6" w:history="1">
            <w:r w:rsidRPr="006946AB">
              <w:rPr>
                <w:rStyle w:val="Hyperlink"/>
                <w:b/>
                <w:bCs/>
                <w:noProof/>
              </w:rPr>
              <w:t>Territorial Jurisdiction</w:t>
            </w:r>
            <w:r>
              <w:rPr>
                <w:noProof/>
                <w:webHidden/>
              </w:rPr>
              <w:tab/>
            </w:r>
            <w:r>
              <w:rPr>
                <w:noProof/>
                <w:webHidden/>
              </w:rPr>
              <w:fldChar w:fldCharType="begin"/>
            </w:r>
            <w:r>
              <w:rPr>
                <w:noProof/>
                <w:webHidden/>
              </w:rPr>
              <w:instrText xml:space="preserve"> PAGEREF _Toc128982896 \h </w:instrText>
            </w:r>
            <w:r>
              <w:rPr>
                <w:noProof/>
                <w:webHidden/>
              </w:rPr>
            </w:r>
            <w:r>
              <w:rPr>
                <w:noProof/>
                <w:webHidden/>
              </w:rPr>
              <w:fldChar w:fldCharType="separate"/>
            </w:r>
            <w:r>
              <w:rPr>
                <w:noProof/>
                <w:webHidden/>
              </w:rPr>
              <w:t>5</w:t>
            </w:r>
            <w:r>
              <w:rPr>
                <w:noProof/>
                <w:webHidden/>
              </w:rPr>
              <w:fldChar w:fldCharType="end"/>
            </w:r>
          </w:hyperlink>
        </w:p>
        <w:p w:rsidR="000006BB" w:rsidRDefault="000006BB">
          <w:pPr>
            <w:pStyle w:val="TOC3"/>
            <w:tabs>
              <w:tab w:val="right" w:leader="dot" w:pos="9350"/>
            </w:tabs>
            <w:rPr>
              <w:rFonts w:eastAsiaTheme="minorEastAsia"/>
              <w:noProof/>
              <w:lang w:val="en-GB" w:eastAsia="en-GB"/>
            </w:rPr>
          </w:pPr>
          <w:hyperlink w:anchor="_Toc128982897" w:history="1">
            <w:r w:rsidRPr="006946AB">
              <w:rPr>
                <w:rStyle w:val="Hyperlink"/>
                <w:rFonts w:ascii="Book Antiqua" w:hAnsi="Book Antiqua"/>
                <w:b/>
                <w:bCs/>
                <w:noProof/>
                <w:lang w:val="en-GB"/>
              </w:rPr>
              <w:t>Also Under Territorial Jurisdiction:</w:t>
            </w:r>
            <w:r>
              <w:rPr>
                <w:noProof/>
                <w:webHidden/>
              </w:rPr>
              <w:tab/>
            </w:r>
            <w:r>
              <w:rPr>
                <w:noProof/>
                <w:webHidden/>
              </w:rPr>
              <w:fldChar w:fldCharType="begin"/>
            </w:r>
            <w:r>
              <w:rPr>
                <w:noProof/>
                <w:webHidden/>
              </w:rPr>
              <w:instrText xml:space="preserve"> PAGEREF _Toc128982897 \h </w:instrText>
            </w:r>
            <w:r>
              <w:rPr>
                <w:noProof/>
                <w:webHidden/>
              </w:rPr>
            </w:r>
            <w:r>
              <w:rPr>
                <w:noProof/>
                <w:webHidden/>
              </w:rPr>
              <w:fldChar w:fldCharType="separate"/>
            </w:r>
            <w:r>
              <w:rPr>
                <w:noProof/>
                <w:webHidden/>
              </w:rPr>
              <w:t>5</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8" w:history="1">
            <w:r w:rsidRPr="006946AB">
              <w:rPr>
                <w:rStyle w:val="Hyperlink"/>
                <w:b/>
                <w:bCs/>
                <w:noProof/>
              </w:rPr>
              <w:t>Original and Appellate Jurisdiction</w:t>
            </w:r>
            <w:r>
              <w:rPr>
                <w:noProof/>
                <w:webHidden/>
              </w:rPr>
              <w:tab/>
            </w:r>
            <w:r>
              <w:rPr>
                <w:noProof/>
                <w:webHidden/>
              </w:rPr>
              <w:fldChar w:fldCharType="begin"/>
            </w:r>
            <w:r>
              <w:rPr>
                <w:noProof/>
                <w:webHidden/>
              </w:rPr>
              <w:instrText xml:space="preserve"> PAGEREF _Toc128982898 \h </w:instrText>
            </w:r>
            <w:r>
              <w:rPr>
                <w:noProof/>
                <w:webHidden/>
              </w:rPr>
            </w:r>
            <w:r>
              <w:rPr>
                <w:noProof/>
                <w:webHidden/>
              </w:rPr>
              <w:fldChar w:fldCharType="separate"/>
            </w:r>
            <w:r>
              <w:rPr>
                <w:noProof/>
                <w:webHidden/>
              </w:rPr>
              <w:t>6</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899" w:history="1">
            <w:r w:rsidRPr="006946AB">
              <w:rPr>
                <w:rStyle w:val="Hyperlink"/>
                <w:rFonts w:eastAsia="Times New Roman"/>
                <w:b/>
                <w:bCs/>
                <w:noProof/>
                <w:lang w:val=""/>
              </w:rPr>
              <w:t>Locus Standi</w:t>
            </w:r>
            <w:r>
              <w:rPr>
                <w:noProof/>
                <w:webHidden/>
              </w:rPr>
              <w:tab/>
            </w:r>
            <w:r>
              <w:rPr>
                <w:noProof/>
                <w:webHidden/>
              </w:rPr>
              <w:fldChar w:fldCharType="begin"/>
            </w:r>
            <w:r>
              <w:rPr>
                <w:noProof/>
                <w:webHidden/>
              </w:rPr>
              <w:instrText xml:space="preserve"> PAGEREF _Toc128982899 \h </w:instrText>
            </w:r>
            <w:r>
              <w:rPr>
                <w:noProof/>
                <w:webHidden/>
              </w:rPr>
            </w:r>
            <w:r>
              <w:rPr>
                <w:noProof/>
                <w:webHidden/>
              </w:rPr>
              <w:fldChar w:fldCharType="separate"/>
            </w:r>
            <w:r>
              <w:rPr>
                <w:noProof/>
                <w:webHidden/>
              </w:rPr>
              <w:t>7</w:t>
            </w:r>
            <w:r>
              <w:rPr>
                <w:noProof/>
                <w:webHidden/>
              </w:rPr>
              <w:fldChar w:fldCharType="end"/>
            </w:r>
          </w:hyperlink>
        </w:p>
        <w:p w:rsidR="000006BB" w:rsidRDefault="000006BB">
          <w:pPr>
            <w:pStyle w:val="TOC3"/>
            <w:tabs>
              <w:tab w:val="right" w:leader="dot" w:pos="9350"/>
            </w:tabs>
            <w:rPr>
              <w:rFonts w:eastAsiaTheme="minorEastAsia"/>
              <w:noProof/>
              <w:lang w:val="en-GB" w:eastAsia="en-GB"/>
            </w:rPr>
          </w:pPr>
          <w:hyperlink w:anchor="_Toc128982900" w:history="1">
            <w:r w:rsidRPr="006946AB">
              <w:rPr>
                <w:rStyle w:val="Hyperlink"/>
                <w:rFonts w:eastAsia="Times New Roman"/>
                <w:noProof/>
                <w:lang w:val=""/>
              </w:rPr>
              <w:t>Conclusion</w:t>
            </w:r>
            <w:r>
              <w:rPr>
                <w:noProof/>
                <w:webHidden/>
              </w:rPr>
              <w:tab/>
            </w:r>
            <w:r>
              <w:rPr>
                <w:noProof/>
                <w:webHidden/>
              </w:rPr>
              <w:fldChar w:fldCharType="begin"/>
            </w:r>
            <w:r>
              <w:rPr>
                <w:noProof/>
                <w:webHidden/>
              </w:rPr>
              <w:instrText xml:space="preserve"> PAGEREF _Toc128982900 \h </w:instrText>
            </w:r>
            <w:r>
              <w:rPr>
                <w:noProof/>
                <w:webHidden/>
              </w:rPr>
            </w:r>
            <w:r>
              <w:rPr>
                <w:noProof/>
                <w:webHidden/>
              </w:rPr>
              <w:fldChar w:fldCharType="separate"/>
            </w:r>
            <w:r>
              <w:rPr>
                <w:noProof/>
                <w:webHidden/>
              </w:rPr>
              <w:t>7</w:t>
            </w:r>
            <w:r>
              <w:rPr>
                <w:noProof/>
                <w:webHidden/>
              </w:rPr>
              <w:fldChar w:fldCharType="end"/>
            </w:r>
          </w:hyperlink>
        </w:p>
        <w:p w:rsidR="000006BB" w:rsidRDefault="000006BB">
          <w:pPr>
            <w:pStyle w:val="TOC1"/>
            <w:tabs>
              <w:tab w:val="right" w:leader="dot" w:pos="9350"/>
            </w:tabs>
            <w:rPr>
              <w:rFonts w:eastAsiaTheme="minorEastAsia"/>
              <w:noProof/>
              <w:lang w:val="en-GB" w:eastAsia="en-GB"/>
            </w:rPr>
          </w:pPr>
          <w:hyperlink w:anchor="_Toc128982901" w:history="1">
            <w:r w:rsidRPr="006946AB">
              <w:rPr>
                <w:rStyle w:val="Hyperlink"/>
                <w:rFonts w:eastAsia="Times New Roman"/>
                <w:b/>
                <w:bCs/>
                <w:noProof/>
              </w:rPr>
              <w:t>SECTION 2: QUESTION 2</w:t>
            </w:r>
            <w:r>
              <w:rPr>
                <w:noProof/>
                <w:webHidden/>
              </w:rPr>
              <w:tab/>
            </w:r>
            <w:r>
              <w:rPr>
                <w:noProof/>
                <w:webHidden/>
              </w:rPr>
              <w:fldChar w:fldCharType="begin"/>
            </w:r>
            <w:r>
              <w:rPr>
                <w:noProof/>
                <w:webHidden/>
              </w:rPr>
              <w:instrText xml:space="preserve"> PAGEREF _Toc128982901 \h </w:instrText>
            </w:r>
            <w:r>
              <w:rPr>
                <w:noProof/>
                <w:webHidden/>
              </w:rPr>
            </w:r>
            <w:r>
              <w:rPr>
                <w:noProof/>
                <w:webHidden/>
              </w:rPr>
              <w:fldChar w:fldCharType="separate"/>
            </w:r>
            <w:r>
              <w:rPr>
                <w:noProof/>
                <w:webHidden/>
              </w:rPr>
              <w:t>8</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02" w:history="1">
            <w:r w:rsidRPr="006946AB">
              <w:rPr>
                <w:rStyle w:val="Hyperlink"/>
                <w:rFonts w:eastAsia="Times New Roman"/>
                <w:b/>
                <w:bCs/>
                <w:noProof/>
                <w:lang w:val="en-GB"/>
              </w:rPr>
              <w:t>Background</w:t>
            </w:r>
            <w:r>
              <w:rPr>
                <w:noProof/>
                <w:webHidden/>
              </w:rPr>
              <w:tab/>
            </w:r>
            <w:r>
              <w:rPr>
                <w:noProof/>
                <w:webHidden/>
              </w:rPr>
              <w:fldChar w:fldCharType="begin"/>
            </w:r>
            <w:r>
              <w:rPr>
                <w:noProof/>
                <w:webHidden/>
              </w:rPr>
              <w:instrText xml:space="preserve"> PAGEREF _Toc128982902 \h </w:instrText>
            </w:r>
            <w:r>
              <w:rPr>
                <w:noProof/>
                <w:webHidden/>
              </w:rPr>
            </w:r>
            <w:r>
              <w:rPr>
                <w:noProof/>
                <w:webHidden/>
              </w:rPr>
              <w:fldChar w:fldCharType="separate"/>
            </w:r>
            <w:r>
              <w:rPr>
                <w:noProof/>
                <w:webHidden/>
              </w:rPr>
              <w:t>8</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03" w:history="1">
            <w:r w:rsidRPr="006946AB">
              <w:rPr>
                <w:rStyle w:val="Hyperlink"/>
                <w:rFonts w:eastAsia="Times New Roman"/>
                <w:b/>
                <w:bCs/>
                <w:noProof/>
                <w:lang w:val="en-GB"/>
              </w:rPr>
              <w:t>Judicial Review</w:t>
            </w:r>
            <w:r>
              <w:rPr>
                <w:noProof/>
                <w:webHidden/>
              </w:rPr>
              <w:tab/>
            </w:r>
            <w:r>
              <w:rPr>
                <w:noProof/>
                <w:webHidden/>
              </w:rPr>
              <w:fldChar w:fldCharType="begin"/>
            </w:r>
            <w:r>
              <w:rPr>
                <w:noProof/>
                <w:webHidden/>
              </w:rPr>
              <w:instrText xml:space="preserve"> PAGEREF _Toc128982903 \h </w:instrText>
            </w:r>
            <w:r>
              <w:rPr>
                <w:noProof/>
                <w:webHidden/>
              </w:rPr>
            </w:r>
            <w:r>
              <w:rPr>
                <w:noProof/>
                <w:webHidden/>
              </w:rPr>
              <w:fldChar w:fldCharType="separate"/>
            </w:r>
            <w:r>
              <w:rPr>
                <w:noProof/>
                <w:webHidden/>
              </w:rPr>
              <w:t>8</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04" w:history="1">
            <w:r w:rsidRPr="006946AB">
              <w:rPr>
                <w:rStyle w:val="Hyperlink"/>
                <w:rFonts w:eastAsia="Times New Roman"/>
                <w:b/>
                <w:bCs/>
                <w:noProof/>
                <w:lang w:val="en-GB"/>
              </w:rPr>
              <w:t>Right to Fair Hearing</w:t>
            </w:r>
            <w:r>
              <w:rPr>
                <w:noProof/>
                <w:webHidden/>
              </w:rPr>
              <w:tab/>
            </w:r>
            <w:r>
              <w:rPr>
                <w:noProof/>
                <w:webHidden/>
              </w:rPr>
              <w:fldChar w:fldCharType="begin"/>
            </w:r>
            <w:r>
              <w:rPr>
                <w:noProof/>
                <w:webHidden/>
              </w:rPr>
              <w:instrText xml:space="preserve"> PAGEREF _Toc128982904 \h </w:instrText>
            </w:r>
            <w:r>
              <w:rPr>
                <w:noProof/>
                <w:webHidden/>
              </w:rPr>
            </w:r>
            <w:r>
              <w:rPr>
                <w:noProof/>
                <w:webHidden/>
              </w:rPr>
              <w:fldChar w:fldCharType="separate"/>
            </w:r>
            <w:r>
              <w:rPr>
                <w:noProof/>
                <w:webHidden/>
              </w:rPr>
              <w:t>9</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05" w:history="1">
            <w:r w:rsidRPr="006946AB">
              <w:rPr>
                <w:rStyle w:val="Hyperlink"/>
                <w:rFonts w:eastAsia="Times New Roman"/>
                <w:b/>
                <w:bCs/>
                <w:noProof/>
                <w:lang w:val="en-GB"/>
              </w:rPr>
              <w:t>Case Law</w:t>
            </w:r>
            <w:r>
              <w:rPr>
                <w:noProof/>
                <w:webHidden/>
              </w:rPr>
              <w:tab/>
            </w:r>
            <w:r>
              <w:rPr>
                <w:noProof/>
                <w:webHidden/>
              </w:rPr>
              <w:fldChar w:fldCharType="begin"/>
            </w:r>
            <w:r>
              <w:rPr>
                <w:noProof/>
                <w:webHidden/>
              </w:rPr>
              <w:instrText xml:space="preserve"> PAGEREF _Toc128982905 \h </w:instrText>
            </w:r>
            <w:r>
              <w:rPr>
                <w:noProof/>
                <w:webHidden/>
              </w:rPr>
            </w:r>
            <w:r>
              <w:rPr>
                <w:noProof/>
                <w:webHidden/>
              </w:rPr>
              <w:fldChar w:fldCharType="separate"/>
            </w:r>
            <w:r>
              <w:rPr>
                <w:noProof/>
                <w:webHidden/>
              </w:rPr>
              <w:t>9</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06" w:history="1">
            <w:r w:rsidRPr="006946AB">
              <w:rPr>
                <w:rStyle w:val="Hyperlink"/>
                <w:rFonts w:eastAsia="Times New Roman"/>
                <w:b/>
                <w:bCs/>
                <w:noProof/>
                <w:lang w:val="en-GB"/>
              </w:rPr>
              <w:t>The Constitution of Kenya, 2010</w:t>
            </w:r>
            <w:r>
              <w:rPr>
                <w:noProof/>
                <w:webHidden/>
              </w:rPr>
              <w:tab/>
            </w:r>
            <w:r>
              <w:rPr>
                <w:noProof/>
                <w:webHidden/>
              </w:rPr>
              <w:fldChar w:fldCharType="begin"/>
            </w:r>
            <w:r>
              <w:rPr>
                <w:noProof/>
                <w:webHidden/>
              </w:rPr>
              <w:instrText xml:space="preserve"> PAGEREF _Toc128982906 \h </w:instrText>
            </w:r>
            <w:r>
              <w:rPr>
                <w:noProof/>
                <w:webHidden/>
              </w:rPr>
            </w:r>
            <w:r>
              <w:rPr>
                <w:noProof/>
                <w:webHidden/>
              </w:rPr>
              <w:fldChar w:fldCharType="separate"/>
            </w:r>
            <w:r>
              <w:rPr>
                <w:noProof/>
                <w:webHidden/>
              </w:rPr>
              <w:t>10</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07" w:history="1">
            <w:r w:rsidRPr="006946AB">
              <w:rPr>
                <w:rStyle w:val="Hyperlink"/>
                <w:rFonts w:eastAsia="Times New Roman"/>
                <w:b/>
                <w:bCs/>
                <w:noProof/>
              </w:rPr>
              <w:t>Jurisdiction of the High Court</w:t>
            </w:r>
            <w:r>
              <w:rPr>
                <w:noProof/>
                <w:webHidden/>
              </w:rPr>
              <w:tab/>
            </w:r>
            <w:r>
              <w:rPr>
                <w:noProof/>
                <w:webHidden/>
              </w:rPr>
              <w:fldChar w:fldCharType="begin"/>
            </w:r>
            <w:r>
              <w:rPr>
                <w:noProof/>
                <w:webHidden/>
              </w:rPr>
              <w:instrText xml:space="preserve"> PAGEREF _Toc128982907 \h </w:instrText>
            </w:r>
            <w:r>
              <w:rPr>
                <w:noProof/>
                <w:webHidden/>
              </w:rPr>
            </w:r>
            <w:r>
              <w:rPr>
                <w:noProof/>
                <w:webHidden/>
              </w:rPr>
              <w:fldChar w:fldCharType="separate"/>
            </w:r>
            <w:r>
              <w:rPr>
                <w:noProof/>
                <w:webHidden/>
              </w:rPr>
              <w:t>11</w:t>
            </w:r>
            <w:r>
              <w:rPr>
                <w:noProof/>
                <w:webHidden/>
              </w:rPr>
              <w:fldChar w:fldCharType="end"/>
            </w:r>
          </w:hyperlink>
        </w:p>
        <w:p w:rsidR="000006BB" w:rsidRDefault="000006BB">
          <w:pPr>
            <w:pStyle w:val="TOC1"/>
            <w:tabs>
              <w:tab w:val="right" w:leader="dot" w:pos="9350"/>
            </w:tabs>
            <w:rPr>
              <w:rFonts w:eastAsiaTheme="minorEastAsia"/>
              <w:noProof/>
              <w:lang w:val="en-GB" w:eastAsia="en-GB"/>
            </w:rPr>
          </w:pPr>
          <w:hyperlink w:anchor="_Toc128982908" w:history="1">
            <w:r w:rsidRPr="006946AB">
              <w:rPr>
                <w:rStyle w:val="Hyperlink"/>
                <w:rFonts w:eastAsia="Times New Roman"/>
                <w:b/>
                <w:bCs/>
                <w:noProof/>
                <w:lang w:val="en-GB"/>
              </w:rPr>
              <w:t>SECTION 3: QUESTION 3</w:t>
            </w:r>
            <w:r>
              <w:rPr>
                <w:noProof/>
                <w:webHidden/>
              </w:rPr>
              <w:tab/>
            </w:r>
            <w:r>
              <w:rPr>
                <w:noProof/>
                <w:webHidden/>
              </w:rPr>
              <w:fldChar w:fldCharType="begin"/>
            </w:r>
            <w:r>
              <w:rPr>
                <w:noProof/>
                <w:webHidden/>
              </w:rPr>
              <w:instrText xml:space="preserve"> PAGEREF _Toc128982908 \h </w:instrText>
            </w:r>
            <w:r>
              <w:rPr>
                <w:noProof/>
                <w:webHidden/>
              </w:rPr>
            </w:r>
            <w:r>
              <w:rPr>
                <w:noProof/>
                <w:webHidden/>
              </w:rPr>
              <w:fldChar w:fldCharType="separate"/>
            </w:r>
            <w:r>
              <w:rPr>
                <w:noProof/>
                <w:webHidden/>
              </w:rPr>
              <w:t>13</w:t>
            </w:r>
            <w:r>
              <w:rPr>
                <w:noProof/>
                <w:webHidden/>
              </w:rPr>
              <w:fldChar w:fldCharType="end"/>
            </w:r>
          </w:hyperlink>
        </w:p>
        <w:p w:rsidR="000006BB" w:rsidRDefault="000006BB">
          <w:pPr>
            <w:pStyle w:val="TOC1"/>
            <w:tabs>
              <w:tab w:val="right" w:leader="dot" w:pos="9350"/>
            </w:tabs>
            <w:rPr>
              <w:rFonts w:eastAsiaTheme="minorEastAsia"/>
              <w:noProof/>
              <w:lang w:val="en-GB" w:eastAsia="en-GB"/>
            </w:rPr>
          </w:pPr>
          <w:hyperlink w:anchor="_Toc128982909" w:history="1">
            <w:r w:rsidRPr="006946AB">
              <w:rPr>
                <w:rStyle w:val="Hyperlink"/>
                <w:rFonts w:eastAsia="Times New Roman"/>
                <w:b/>
                <w:bCs/>
                <w:noProof/>
              </w:rPr>
              <w:t>SECTION 4: QUESTION 4</w:t>
            </w:r>
            <w:r>
              <w:rPr>
                <w:noProof/>
                <w:webHidden/>
              </w:rPr>
              <w:tab/>
            </w:r>
            <w:r>
              <w:rPr>
                <w:noProof/>
                <w:webHidden/>
              </w:rPr>
              <w:fldChar w:fldCharType="begin"/>
            </w:r>
            <w:r>
              <w:rPr>
                <w:noProof/>
                <w:webHidden/>
              </w:rPr>
              <w:instrText xml:space="preserve"> PAGEREF _Toc128982909 \h </w:instrText>
            </w:r>
            <w:r>
              <w:rPr>
                <w:noProof/>
                <w:webHidden/>
              </w:rPr>
            </w:r>
            <w:r>
              <w:rPr>
                <w:noProof/>
                <w:webHidden/>
              </w:rPr>
              <w:fldChar w:fldCharType="separate"/>
            </w:r>
            <w:r>
              <w:rPr>
                <w:noProof/>
                <w:webHidden/>
              </w:rPr>
              <w:t>17</w:t>
            </w:r>
            <w:r>
              <w:rPr>
                <w:noProof/>
                <w:webHidden/>
              </w:rPr>
              <w:fldChar w:fldCharType="end"/>
            </w:r>
          </w:hyperlink>
        </w:p>
        <w:p w:rsidR="000006BB" w:rsidRDefault="000006BB">
          <w:pPr>
            <w:pStyle w:val="TOC2"/>
            <w:tabs>
              <w:tab w:val="right" w:leader="dot" w:pos="9350"/>
            </w:tabs>
            <w:rPr>
              <w:rFonts w:eastAsiaTheme="minorEastAsia"/>
              <w:noProof/>
              <w:lang w:val="en-GB" w:eastAsia="en-GB"/>
            </w:rPr>
          </w:pPr>
          <w:hyperlink w:anchor="_Toc128982910" w:history="1">
            <w:r w:rsidRPr="006946AB">
              <w:rPr>
                <w:rStyle w:val="Hyperlink"/>
                <w:rFonts w:eastAsia="Times New Roman"/>
                <w:noProof/>
              </w:rPr>
              <w:t>The doctrine of exhaustion may be a complete bar to the jurisdiction of a Court if the exceptions thereto do not apply. Discuss.</w:t>
            </w:r>
            <w:r>
              <w:rPr>
                <w:noProof/>
                <w:webHidden/>
              </w:rPr>
              <w:tab/>
            </w:r>
            <w:r>
              <w:rPr>
                <w:noProof/>
                <w:webHidden/>
              </w:rPr>
              <w:fldChar w:fldCharType="begin"/>
            </w:r>
            <w:r>
              <w:rPr>
                <w:noProof/>
                <w:webHidden/>
              </w:rPr>
              <w:instrText xml:space="preserve"> PAGEREF _Toc128982910 \h </w:instrText>
            </w:r>
            <w:r>
              <w:rPr>
                <w:noProof/>
                <w:webHidden/>
              </w:rPr>
            </w:r>
            <w:r>
              <w:rPr>
                <w:noProof/>
                <w:webHidden/>
              </w:rPr>
              <w:fldChar w:fldCharType="separate"/>
            </w:r>
            <w:r>
              <w:rPr>
                <w:noProof/>
                <w:webHidden/>
              </w:rPr>
              <w:t>17</w:t>
            </w:r>
            <w:r>
              <w:rPr>
                <w:noProof/>
                <w:webHidden/>
              </w:rPr>
              <w:fldChar w:fldCharType="end"/>
            </w:r>
          </w:hyperlink>
        </w:p>
        <w:p w:rsidR="000006BB" w:rsidRDefault="000006BB">
          <w:pPr>
            <w:pStyle w:val="TOC3"/>
            <w:tabs>
              <w:tab w:val="right" w:leader="dot" w:pos="9350"/>
            </w:tabs>
            <w:rPr>
              <w:rFonts w:eastAsiaTheme="minorEastAsia"/>
              <w:noProof/>
              <w:lang w:val="en-GB" w:eastAsia="en-GB"/>
            </w:rPr>
          </w:pPr>
          <w:hyperlink w:anchor="_Toc128982911" w:history="1">
            <w:r w:rsidRPr="006946AB">
              <w:rPr>
                <w:rStyle w:val="Hyperlink"/>
                <w:rFonts w:eastAsia="Times New Roman"/>
                <w:b/>
                <w:bCs/>
                <w:noProof/>
              </w:rPr>
              <w:t>Exception to the exhaustion</w:t>
            </w:r>
            <w:r>
              <w:rPr>
                <w:noProof/>
                <w:webHidden/>
              </w:rPr>
              <w:tab/>
            </w:r>
            <w:r>
              <w:rPr>
                <w:noProof/>
                <w:webHidden/>
              </w:rPr>
              <w:fldChar w:fldCharType="begin"/>
            </w:r>
            <w:r>
              <w:rPr>
                <w:noProof/>
                <w:webHidden/>
              </w:rPr>
              <w:instrText xml:space="preserve"> PAGEREF _Toc128982911 \h </w:instrText>
            </w:r>
            <w:r>
              <w:rPr>
                <w:noProof/>
                <w:webHidden/>
              </w:rPr>
            </w:r>
            <w:r>
              <w:rPr>
                <w:noProof/>
                <w:webHidden/>
              </w:rPr>
              <w:fldChar w:fldCharType="separate"/>
            </w:r>
            <w:r>
              <w:rPr>
                <w:noProof/>
                <w:webHidden/>
              </w:rPr>
              <w:t>18</w:t>
            </w:r>
            <w:r>
              <w:rPr>
                <w:noProof/>
                <w:webHidden/>
              </w:rPr>
              <w:fldChar w:fldCharType="end"/>
            </w:r>
          </w:hyperlink>
        </w:p>
        <w:p w:rsidR="000006BB" w:rsidRDefault="000006BB">
          <w:pPr>
            <w:pStyle w:val="TOC3"/>
            <w:tabs>
              <w:tab w:val="right" w:leader="dot" w:pos="9350"/>
            </w:tabs>
            <w:rPr>
              <w:rFonts w:eastAsiaTheme="minorEastAsia"/>
              <w:noProof/>
              <w:lang w:val="en-GB" w:eastAsia="en-GB"/>
            </w:rPr>
          </w:pPr>
          <w:hyperlink w:anchor="_Toc128982912" w:history="1">
            <w:r w:rsidRPr="006946AB">
              <w:rPr>
                <w:rStyle w:val="Hyperlink"/>
                <w:rFonts w:eastAsia="Times New Roman"/>
                <w:b/>
                <w:bCs/>
                <w:noProof/>
              </w:rPr>
              <w:t>The following are grounds for exception to the doctrine of exhaustion:</w:t>
            </w:r>
            <w:r>
              <w:rPr>
                <w:noProof/>
                <w:webHidden/>
              </w:rPr>
              <w:tab/>
            </w:r>
            <w:r>
              <w:rPr>
                <w:noProof/>
                <w:webHidden/>
              </w:rPr>
              <w:fldChar w:fldCharType="begin"/>
            </w:r>
            <w:r>
              <w:rPr>
                <w:noProof/>
                <w:webHidden/>
              </w:rPr>
              <w:instrText xml:space="preserve"> PAGEREF _Toc128982912 \h </w:instrText>
            </w:r>
            <w:r>
              <w:rPr>
                <w:noProof/>
                <w:webHidden/>
              </w:rPr>
            </w:r>
            <w:r>
              <w:rPr>
                <w:noProof/>
                <w:webHidden/>
              </w:rPr>
              <w:fldChar w:fldCharType="separate"/>
            </w:r>
            <w:r>
              <w:rPr>
                <w:noProof/>
                <w:webHidden/>
              </w:rPr>
              <w:t>18</w:t>
            </w:r>
            <w:r>
              <w:rPr>
                <w:noProof/>
                <w:webHidden/>
              </w:rPr>
              <w:fldChar w:fldCharType="end"/>
            </w:r>
          </w:hyperlink>
        </w:p>
        <w:p w:rsidR="00012ACF" w:rsidRDefault="00012ACF">
          <w:r>
            <w:rPr>
              <w:b/>
              <w:bCs/>
              <w:noProof/>
            </w:rPr>
            <w:fldChar w:fldCharType="end"/>
          </w:r>
        </w:p>
      </w:sdtContent>
    </w:sdt>
    <w:p w:rsidR="00B745AF" w:rsidRPr="00AE7E67" w:rsidRDefault="00AE7E67" w:rsidP="00AE7E67">
      <w:pPr>
        <w:pStyle w:val="Heading1"/>
        <w:rPr>
          <w:rFonts w:ascii="Book Antiqua" w:hAnsi="Book Antiqua"/>
          <w:b/>
          <w:bCs/>
          <w:sz w:val="28"/>
          <w:szCs w:val="28"/>
        </w:rPr>
      </w:pPr>
      <w:bookmarkStart w:id="1" w:name="_Toc128982890"/>
      <w:r w:rsidRPr="00AE7E67">
        <w:rPr>
          <w:rFonts w:ascii="Book Antiqua" w:hAnsi="Book Antiqua"/>
          <w:b/>
          <w:bCs/>
          <w:sz w:val="28"/>
          <w:szCs w:val="28"/>
        </w:rPr>
        <w:lastRenderedPageBreak/>
        <w:t>WHILE A COURT MAY BE CLOTHED WITH JURISDICTION, THE EXTENT OF THAT JURISDICTION MAY BE LIMITED IN VARIOUS WAYS. DISCUSS</w:t>
      </w:r>
      <w:bookmarkEnd w:id="0"/>
      <w:bookmarkEnd w:id="1"/>
    </w:p>
    <w:p w:rsidR="00B745AF" w:rsidRPr="00100B69" w:rsidRDefault="00B745AF" w:rsidP="00170E5C">
      <w:pPr>
        <w:jc w:val="both"/>
        <w:rPr>
          <w:rFonts w:ascii="Book Antiqua" w:hAnsi="Book Antiqua"/>
          <w:b/>
          <w:bCs/>
          <w:i/>
          <w:iCs/>
          <w:sz w:val="24"/>
          <w:szCs w:val="24"/>
        </w:rPr>
      </w:pPr>
    </w:p>
    <w:p w:rsidR="00B745AF" w:rsidRPr="00AE7E67" w:rsidRDefault="00C772A7" w:rsidP="00C772A7">
      <w:pPr>
        <w:pStyle w:val="Heading1"/>
        <w:rPr>
          <w:rFonts w:ascii="Book Antiqua" w:hAnsi="Book Antiqua"/>
          <w:b/>
          <w:bCs/>
          <w:sz w:val="24"/>
          <w:szCs w:val="24"/>
        </w:rPr>
      </w:pPr>
      <w:bookmarkStart w:id="2" w:name="_Toc128375752"/>
      <w:bookmarkStart w:id="3" w:name="_Toc128982891"/>
      <w:r w:rsidRPr="00AE7E67">
        <w:rPr>
          <w:rFonts w:ascii="Book Antiqua" w:hAnsi="Book Antiqua"/>
          <w:b/>
          <w:bCs/>
          <w:sz w:val="24"/>
          <w:szCs w:val="24"/>
        </w:rPr>
        <w:t xml:space="preserve">SECTION 1: </w:t>
      </w:r>
      <w:r w:rsidR="00B745AF" w:rsidRPr="00AE7E67">
        <w:rPr>
          <w:rFonts w:ascii="Book Antiqua" w:hAnsi="Book Antiqua"/>
          <w:b/>
          <w:bCs/>
          <w:sz w:val="24"/>
          <w:szCs w:val="24"/>
        </w:rPr>
        <w:t>INTRODUCTION</w:t>
      </w:r>
      <w:bookmarkEnd w:id="2"/>
      <w:bookmarkEnd w:id="3"/>
    </w:p>
    <w:p w:rsidR="00B745AF" w:rsidRDefault="00B745AF" w:rsidP="00170E5C">
      <w:pPr>
        <w:jc w:val="both"/>
        <w:rPr>
          <w:rFonts w:ascii="Book Antiqua" w:hAnsi="Book Antiqua"/>
          <w:sz w:val="24"/>
          <w:szCs w:val="24"/>
        </w:rPr>
      </w:pPr>
      <w:r w:rsidRPr="00100B69">
        <w:rPr>
          <w:rFonts w:ascii="Book Antiqua" w:hAnsi="Book Antiqua"/>
          <w:sz w:val="24"/>
          <w:szCs w:val="24"/>
        </w:rPr>
        <w:t>The Black’s Law Dictionary defines jurisdiction as “A Court's power to decide a case or issue a decree.”</w:t>
      </w:r>
    </w:p>
    <w:p w:rsidR="00E63256" w:rsidRPr="00100B69" w:rsidRDefault="00E63256" w:rsidP="00170E5C">
      <w:pPr>
        <w:jc w:val="both"/>
        <w:rPr>
          <w:rFonts w:ascii="Book Antiqua" w:hAnsi="Book Antiqua"/>
          <w:b/>
          <w:bCs/>
          <w:i/>
          <w:iCs/>
          <w:sz w:val="24"/>
          <w:szCs w:val="24"/>
        </w:rPr>
      </w:pPr>
      <w:r>
        <w:rPr>
          <w:rFonts w:ascii="Book Antiqua" w:hAnsi="Book Antiqua"/>
          <w:sz w:val="24"/>
          <w:szCs w:val="24"/>
        </w:rPr>
        <w:t>This jurisdiction</w:t>
      </w:r>
      <w:r w:rsidR="000006BB">
        <w:rPr>
          <w:rFonts w:ascii="Book Antiqua" w:hAnsi="Book Antiqua"/>
          <w:sz w:val="24"/>
          <w:szCs w:val="24"/>
        </w:rPr>
        <w:t>,</w:t>
      </w:r>
      <w:r>
        <w:rPr>
          <w:rFonts w:ascii="Book Antiqua" w:hAnsi="Book Antiqua"/>
          <w:sz w:val="24"/>
          <w:szCs w:val="24"/>
        </w:rPr>
        <w:t xml:space="preserve"> in Kenya, is conferred either by statute, or by the Constitution or both.</w:t>
      </w:r>
      <w:r w:rsidR="00CA7AD7">
        <w:rPr>
          <w:rStyle w:val="FootnoteReference"/>
          <w:rFonts w:ascii="Book Antiqua" w:hAnsi="Book Antiqua"/>
          <w:sz w:val="24"/>
          <w:szCs w:val="24"/>
        </w:rPr>
        <w:footnoteReference w:id="1"/>
      </w:r>
      <w:r>
        <w:rPr>
          <w:rFonts w:ascii="Book Antiqua" w:hAnsi="Book Antiqua"/>
          <w:sz w:val="24"/>
          <w:szCs w:val="24"/>
        </w:rPr>
        <w:t xml:space="preserve"> </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rPr>
        <w:t>The locus classicus on jurisdiction is the celebrated case of </w:t>
      </w:r>
      <w:r w:rsidRPr="00100B69">
        <w:rPr>
          <w:rFonts w:ascii="Book Antiqua" w:hAnsi="Book Antiqua"/>
          <w:b/>
          <w:bCs/>
          <w:i/>
          <w:iCs/>
          <w:sz w:val="24"/>
          <w:szCs w:val="24"/>
        </w:rPr>
        <w:t xml:space="preserve">Owners of Motor Vessel Lillian S v Caltex Oil (Kenya) Ltd [1989] KLR 1 </w:t>
      </w:r>
      <w:r w:rsidRPr="00100B69">
        <w:rPr>
          <w:rFonts w:ascii="Book Antiqua" w:hAnsi="Book Antiqua"/>
          <w:sz w:val="24"/>
          <w:szCs w:val="24"/>
        </w:rPr>
        <w:t xml:space="preserve">where Justice Nyarangi of the Court of Appeal held that jurisdiction is everything. </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rPr>
        <w:t>He held as follows, “</w:t>
      </w:r>
      <w:r w:rsidR="00E63256">
        <w:rPr>
          <w:rFonts w:ascii="Book Antiqua" w:hAnsi="Book Antiqua"/>
          <w:sz w:val="24"/>
          <w:szCs w:val="24"/>
        </w:rPr>
        <w:t>…</w:t>
      </w:r>
      <w:r w:rsidRPr="00100B69">
        <w:rPr>
          <w:rFonts w:ascii="Book Antiqua" w:hAnsi="Book Antiqua"/>
          <w:sz w:val="24"/>
          <w:szCs w:val="24"/>
        </w:rPr>
        <w:t>Jurisdiction is everything. Without it, a court has no power to make one more step. Where a court has no jurisdiction, there would be no basis for a continuation of proceedings pending other evidence. A court of law downs tools in respect of the matter before it the moment it holds the opinion that it is without jurisdiction.”</w:t>
      </w: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b/>
          <w:bCs/>
          <w:i/>
          <w:iCs/>
          <w:sz w:val="24"/>
          <w:szCs w:val="24"/>
        </w:rPr>
      </w:pPr>
      <w:r w:rsidRPr="00100B69">
        <w:rPr>
          <w:rFonts w:ascii="Book Antiqua" w:hAnsi="Book Antiqua"/>
          <w:sz w:val="24"/>
          <w:szCs w:val="24"/>
        </w:rPr>
        <w:t>The following are ways in which Jurisdiction of a court may be limited</w:t>
      </w:r>
      <w:r w:rsidR="00E63256">
        <w:rPr>
          <w:rFonts w:ascii="Book Antiqua" w:hAnsi="Book Antiqua"/>
          <w:sz w:val="24"/>
          <w:szCs w:val="24"/>
        </w:rPr>
        <w:t xml:space="preserve"> in Kenya</w:t>
      </w:r>
      <w:r w:rsidRPr="00100B69">
        <w:rPr>
          <w:rFonts w:ascii="Book Antiqua" w:hAnsi="Book Antiqua"/>
          <w:sz w:val="24"/>
          <w:szCs w:val="24"/>
        </w:rPr>
        <w:t>.</w:t>
      </w:r>
    </w:p>
    <w:p w:rsidR="00170E5C" w:rsidRPr="00100B69" w:rsidRDefault="00170E5C" w:rsidP="00170E5C">
      <w:pPr>
        <w:spacing w:line="276" w:lineRule="auto"/>
        <w:jc w:val="both"/>
        <w:rPr>
          <w:rFonts w:ascii="Book Antiqua" w:hAnsi="Book Antiqua"/>
          <w:b/>
          <w:bCs/>
          <w:sz w:val="24"/>
          <w:szCs w:val="24"/>
          <w:lang w:val="en-GB"/>
        </w:rPr>
      </w:pPr>
    </w:p>
    <w:p w:rsidR="00B745AF" w:rsidRPr="00F75275" w:rsidRDefault="00B745AF" w:rsidP="00F75275">
      <w:pPr>
        <w:pStyle w:val="Heading2"/>
        <w:rPr>
          <w:b/>
          <w:bCs/>
          <w:lang w:val="en-GB"/>
        </w:rPr>
      </w:pPr>
      <w:bookmarkStart w:id="4" w:name="_Toc128375755"/>
      <w:bookmarkStart w:id="5" w:name="_Toc128982892"/>
      <w:r w:rsidRPr="00F75275">
        <w:rPr>
          <w:b/>
          <w:bCs/>
          <w:lang w:val="en-GB"/>
        </w:rPr>
        <w:t>Pecuniary Jurisdiction</w:t>
      </w:r>
      <w:bookmarkEnd w:id="4"/>
      <w:bookmarkEnd w:id="5"/>
    </w:p>
    <w:p w:rsidR="00B745AF" w:rsidRPr="00100B69" w:rsidRDefault="00B745AF" w:rsidP="00170E5C">
      <w:pPr>
        <w:jc w:val="both"/>
        <w:rPr>
          <w:rFonts w:ascii="Book Antiqua" w:hAnsi="Book Antiqua"/>
          <w:sz w:val="24"/>
          <w:szCs w:val="24"/>
          <w:lang w:val="en-GB"/>
        </w:rPr>
      </w:pPr>
      <w:r w:rsidRPr="00100B69">
        <w:rPr>
          <w:rFonts w:ascii="Book Antiqua" w:hAnsi="Book Antiqua"/>
          <w:sz w:val="24"/>
          <w:szCs w:val="24"/>
          <w:lang w:val="en-GB"/>
        </w:rPr>
        <w:t>The Civil Procedure Act Cap 21, Section 4, stipulates that unless otherwise expressly provided, nothing in the Act shall purport to give any court jurisdiction over suits whose subject matter amount exceeds its pecuniary limits, of its original jurisdiction</w:t>
      </w:r>
      <w:r w:rsidR="009F49A6">
        <w:rPr>
          <w:rFonts w:ascii="Book Antiqua" w:hAnsi="Book Antiqua"/>
          <w:sz w:val="24"/>
          <w:szCs w:val="24"/>
          <w:lang w:val="en-GB"/>
        </w:rPr>
        <w:t>. This means that courts have pecuniary jurisdiction, but there are limits to pecuniary jurisdiction.</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lang w:val="en-GB"/>
        </w:rPr>
        <w:t>It was held in the case of</w:t>
      </w:r>
      <w:r w:rsidRPr="00100B69">
        <w:rPr>
          <w:rFonts w:ascii="Book Antiqua" w:hAnsi="Book Antiqua"/>
          <w:b/>
          <w:bCs/>
          <w:sz w:val="24"/>
          <w:szCs w:val="24"/>
          <w:lang w:val="en-GB"/>
        </w:rPr>
        <w:t xml:space="preserve"> </w:t>
      </w:r>
      <w:r w:rsidRPr="00100B69">
        <w:rPr>
          <w:rFonts w:ascii="Book Antiqua" w:hAnsi="Book Antiqua"/>
          <w:i/>
          <w:iCs/>
          <w:sz w:val="24"/>
          <w:szCs w:val="24"/>
        </w:rPr>
        <w:t xml:space="preserve">Phoenix of E.A. Assurance Company Ltd V S.M. </w:t>
      </w:r>
      <w:r w:rsidR="00140239" w:rsidRPr="00100B69">
        <w:rPr>
          <w:rFonts w:ascii="Book Antiqua" w:hAnsi="Book Antiqua"/>
          <w:i/>
          <w:iCs/>
          <w:sz w:val="24"/>
          <w:szCs w:val="24"/>
        </w:rPr>
        <w:t>Thigh</w:t>
      </w:r>
      <w:r w:rsidRPr="00100B69">
        <w:rPr>
          <w:rFonts w:ascii="Book Antiqua" w:hAnsi="Book Antiqua"/>
          <w:i/>
          <w:iCs/>
          <w:sz w:val="24"/>
          <w:szCs w:val="24"/>
        </w:rPr>
        <w:t xml:space="preserve"> t/a Newpaper Service [2019] eKLR (the Phoenix Case) and Equity Bank Limited V Bruce Mutie Mutuku t/a Diani Tour Travel [2016] eKLR (the Equity Bank Limited case</w:t>
      </w:r>
      <w:r w:rsidRPr="00100B69">
        <w:rPr>
          <w:rFonts w:ascii="Book Antiqua" w:hAnsi="Book Antiqua"/>
          <w:b/>
          <w:bCs/>
          <w:i/>
          <w:iCs/>
          <w:sz w:val="24"/>
          <w:szCs w:val="24"/>
        </w:rPr>
        <w:t>)</w:t>
      </w:r>
      <w:r w:rsidRPr="00100B69">
        <w:rPr>
          <w:rFonts w:ascii="Book Antiqua" w:hAnsi="Book Antiqua"/>
          <w:sz w:val="24"/>
          <w:szCs w:val="24"/>
        </w:rPr>
        <w:t xml:space="preserve"> that a suit filed devoid of jurisdiction is dead on arrival and cannot be remedied. That a court cannot confer jurisdiction on itself. </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rPr>
        <w:t>According to the Civil Procedure Act, CAP 21</w:t>
      </w:r>
      <w:r w:rsidRPr="00100B69">
        <w:rPr>
          <w:rFonts w:ascii="Book Antiqua" w:hAnsi="Book Antiqua"/>
          <w:sz w:val="24"/>
          <w:szCs w:val="24"/>
          <w:vertAlign w:val="superscript"/>
        </w:rPr>
        <w:footnoteReference w:id="2"/>
      </w:r>
      <w:r w:rsidRPr="00100B69">
        <w:rPr>
          <w:rFonts w:ascii="Book Antiqua" w:hAnsi="Book Antiqua"/>
          <w:sz w:val="24"/>
          <w:szCs w:val="24"/>
        </w:rPr>
        <w:t xml:space="preserve">, Section 18 (1), the High Court has power to withdraw and transfer suits instituted in subordinate courts. However, it is limited, in </w:t>
      </w:r>
      <w:r w:rsidRPr="00100B69">
        <w:rPr>
          <w:rFonts w:ascii="Book Antiqua" w:hAnsi="Book Antiqua"/>
          <w:sz w:val="24"/>
          <w:szCs w:val="24"/>
        </w:rPr>
        <w:lastRenderedPageBreak/>
        <w:t>that, it cannot sanctify an incompetent suit</w:t>
      </w:r>
      <w:r w:rsidRPr="00100B69">
        <w:rPr>
          <w:rFonts w:ascii="Book Antiqua" w:hAnsi="Book Antiqua"/>
          <w:sz w:val="24"/>
          <w:szCs w:val="24"/>
          <w:vertAlign w:val="superscript"/>
        </w:rPr>
        <w:footnoteReference w:id="3"/>
      </w:r>
      <w:r w:rsidRPr="00100B69">
        <w:rPr>
          <w:rFonts w:ascii="Book Antiqua" w:hAnsi="Book Antiqua"/>
          <w:sz w:val="24"/>
          <w:szCs w:val="24"/>
        </w:rPr>
        <w:t>; transfer a suit filed in a court lacking jurisdiction to a court with jurisdiction, that would be an abuse of its powers.</w:t>
      </w:r>
    </w:p>
    <w:p w:rsidR="00B745AF" w:rsidRPr="00100B69" w:rsidRDefault="00B745AF" w:rsidP="00170E5C">
      <w:pPr>
        <w:jc w:val="both"/>
        <w:rPr>
          <w:rFonts w:ascii="Book Antiqua" w:hAnsi="Book Antiqua"/>
          <w:sz w:val="24"/>
          <w:szCs w:val="24"/>
          <w:lang w:val="en-GB"/>
        </w:rPr>
      </w:pPr>
      <w:r w:rsidRPr="00100B69">
        <w:rPr>
          <w:rFonts w:ascii="Book Antiqua" w:hAnsi="Book Antiqua"/>
          <w:sz w:val="24"/>
          <w:szCs w:val="24"/>
        </w:rPr>
        <w:t xml:space="preserve">Ms. Wambua in the case of </w:t>
      </w:r>
      <w:r w:rsidRPr="009E1273">
        <w:rPr>
          <w:rFonts w:ascii="Book Antiqua" w:hAnsi="Book Antiqua"/>
          <w:i/>
          <w:iCs/>
          <w:sz w:val="24"/>
          <w:szCs w:val="24"/>
        </w:rPr>
        <w:t>J</w:t>
      </w:r>
      <w:r w:rsidRPr="009E1273">
        <w:rPr>
          <w:rFonts w:ascii="Book Antiqua" w:hAnsi="Book Antiqua"/>
          <w:b/>
          <w:bCs/>
          <w:i/>
          <w:iCs/>
          <w:sz w:val="24"/>
          <w:szCs w:val="24"/>
        </w:rPr>
        <w:t>oseph Muthee Kamau &amp; Another v. David Mwangi Gichure &amp;</w:t>
      </w:r>
      <w:r w:rsidR="00140239" w:rsidRPr="009E1273">
        <w:rPr>
          <w:rFonts w:ascii="Book Antiqua" w:hAnsi="Book Antiqua"/>
          <w:b/>
          <w:bCs/>
          <w:i/>
          <w:iCs/>
          <w:sz w:val="24"/>
          <w:szCs w:val="24"/>
        </w:rPr>
        <w:t>Another (</w:t>
      </w:r>
      <w:r w:rsidRPr="009E1273">
        <w:rPr>
          <w:rFonts w:ascii="Book Antiqua" w:hAnsi="Book Antiqua"/>
          <w:b/>
          <w:bCs/>
          <w:i/>
          <w:iCs/>
          <w:sz w:val="24"/>
          <w:szCs w:val="24"/>
        </w:rPr>
        <w:t>2013) eKLR</w:t>
      </w:r>
      <w:r w:rsidRPr="009E1273">
        <w:rPr>
          <w:rFonts w:ascii="Book Antiqua" w:hAnsi="Book Antiqua"/>
          <w:sz w:val="24"/>
          <w:szCs w:val="24"/>
        </w:rPr>
        <w:t xml:space="preserve"> </w:t>
      </w:r>
      <w:r w:rsidRPr="00100B69">
        <w:rPr>
          <w:rFonts w:ascii="Book Antiqua" w:hAnsi="Book Antiqua"/>
          <w:sz w:val="24"/>
          <w:szCs w:val="24"/>
        </w:rPr>
        <w:t xml:space="preserve">raised an issue </w:t>
      </w:r>
      <w:r w:rsidRPr="00100B69">
        <w:rPr>
          <w:rFonts w:ascii="Book Antiqua" w:hAnsi="Book Antiqua"/>
          <w:sz w:val="24"/>
          <w:szCs w:val="24"/>
          <w:lang w:val="en-GB"/>
        </w:rPr>
        <w:t xml:space="preserve">as to whether the subordinate court could still hear the suit but only allow the maximum damages allowable within its pecuniary jurisdiction. The Court held that when a suit has been filed in a court without jurisdiction, it is a nullity, and that the same would apply to pecuniary jurisdiction in a claim for special damages where the liquidated sum claimed exceeds the court’s pecuniary jurisdiction. </w:t>
      </w:r>
    </w:p>
    <w:p w:rsidR="00B745AF" w:rsidRDefault="00B745AF" w:rsidP="00170E5C">
      <w:pPr>
        <w:jc w:val="both"/>
        <w:rPr>
          <w:rFonts w:ascii="Book Antiqua" w:hAnsi="Book Antiqua"/>
          <w:sz w:val="24"/>
          <w:szCs w:val="24"/>
          <w:lang w:val="en-GB"/>
        </w:rPr>
      </w:pPr>
      <w:r w:rsidRPr="00100B69">
        <w:rPr>
          <w:rFonts w:ascii="Book Antiqua" w:hAnsi="Book Antiqua"/>
          <w:sz w:val="24"/>
          <w:szCs w:val="24"/>
          <w:lang w:val="en-GB"/>
        </w:rPr>
        <w:t>The wise court then concluded by saying that jurisdiction cannot be conferred at the time of delivery of judgment. Further, that jurisdiction does not operate retroactively, jurisdiction must exist at the time of filing suit or latest at the commencement of hearing.</w:t>
      </w:r>
    </w:p>
    <w:p w:rsidR="009E1273" w:rsidRPr="009E1273" w:rsidRDefault="009E1273" w:rsidP="009E1273">
      <w:pPr>
        <w:jc w:val="both"/>
        <w:rPr>
          <w:rFonts w:ascii="Book Antiqua" w:hAnsi="Book Antiqua"/>
          <w:i/>
          <w:iCs/>
          <w:sz w:val="24"/>
          <w:szCs w:val="24"/>
        </w:rPr>
      </w:pPr>
      <w:r w:rsidRPr="009E1273">
        <w:rPr>
          <w:rFonts w:ascii="Book Antiqua" w:hAnsi="Book Antiqua"/>
          <w:sz w:val="24"/>
          <w:szCs w:val="24"/>
        </w:rPr>
        <w:t xml:space="preserve">Jurisdiction is so important that when parties get this wrong, the only remedy is to withdraw their suits. They cannot even by their consent confer jurisdiction on a court where no such jurisdiction exists. </w:t>
      </w:r>
      <w:r w:rsidRPr="009E1273">
        <w:rPr>
          <w:rFonts w:ascii="Book Antiqua" w:hAnsi="Book Antiqua"/>
          <w:i/>
          <w:iCs/>
          <w:sz w:val="24"/>
          <w:szCs w:val="24"/>
        </w:rPr>
        <w:t>“It is so fundamental that where it lacks parties cannot even seek refuge under the O2principle or the overriding objective under the Civil Procedure Act, the Appellate Jurisdiction Act or even Article 159 of the Constitution to remedy the same.”</w:t>
      </w:r>
      <w:r w:rsidRPr="009E1273">
        <w:rPr>
          <w:rFonts w:ascii="Book Antiqua" w:hAnsi="Book Antiqua"/>
          <w:b/>
          <w:bCs/>
          <w:sz w:val="24"/>
          <w:szCs w:val="24"/>
          <w:u w:val="single"/>
        </w:rPr>
        <w:t xml:space="preserve"> </w:t>
      </w:r>
      <w:r w:rsidRPr="009E1273">
        <w:rPr>
          <w:rFonts w:ascii="Book Antiqua" w:hAnsi="Book Antiqua"/>
          <w:i/>
          <w:iCs/>
          <w:sz w:val="24"/>
          <w:szCs w:val="24"/>
          <w:u w:val="single"/>
        </w:rPr>
        <w:t>Equity Bank Limited v Bruce Mutie Mutuku t/a Diani Tour Travel</w:t>
      </w:r>
      <w:r w:rsidRPr="009E1273">
        <w:rPr>
          <w:rFonts w:ascii="Book Antiqua" w:hAnsi="Book Antiqua"/>
          <w:i/>
          <w:iCs/>
          <w:sz w:val="24"/>
          <w:szCs w:val="24"/>
        </w:rPr>
        <w:t xml:space="preserve"> (2016) eKLR</w:t>
      </w:r>
    </w:p>
    <w:p w:rsidR="00B745AF" w:rsidRPr="00100B69" w:rsidRDefault="00B745AF" w:rsidP="00170E5C">
      <w:pPr>
        <w:jc w:val="both"/>
        <w:rPr>
          <w:rFonts w:ascii="Book Antiqua" w:hAnsi="Book Antiqua"/>
          <w:sz w:val="24"/>
          <w:szCs w:val="24"/>
          <w:lang w:val="en-GB"/>
        </w:rPr>
      </w:pPr>
    </w:p>
    <w:p w:rsidR="00140239" w:rsidRPr="00F75275" w:rsidRDefault="00B745AF" w:rsidP="00F75275">
      <w:pPr>
        <w:pStyle w:val="Heading2"/>
        <w:rPr>
          <w:b/>
          <w:bCs/>
          <w:lang w:val="en-GB"/>
        </w:rPr>
      </w:pPr>
      <w:bookmarkStart w:id="6" w:name="_Toc128375756"/>
      <w:bookmarkStart w:id="7" w:name="_Toc128982893"/>
      <w:r w:rsidRPr="00F75275">
        <w:rPr>
          <w:b/>
          <w:bCs/>
          <w:lang w:val="en-GB"/>
        </w:rPr>
        <w:t>Immovable Property/ S</w:t>
      </w:r>
      <w:r w:rsidR="00140239" w:rsidRPr="00F75275">
        <w:rPr>
          <w:b/>
          <w:bCs/>
          <w:lang w:val="en-GB"/>
        </w:rPr>
        <w:t>ubject Matter Situate</w:t>
      </w:r>
      <w:bookmarkEnd w:id="6"/>
      <w:bookmarkEnd w:id="7"/>
    </w:p>
    <w:p w:rsidR="00140239" w:rsidRPr="00100B69" w:rsidRDefault="00B745AF" w:rsidP="00170E5C">
      <w:pPr>
        <w:jc w:val="both"/>
        <w:rPr>
          <w:rFonts w:ascii="Book Antiqua" w:hAnsi="Book Antiqua"/>
          <w:sz w:val="24"/>
          <w:szCs w:val="24"/>
          <w:lang w:val="en-GB"/>
        </w:rPr>
      </w:pPr>
      <w:r w:rsidRPr="00100B69">
        <w:rPr>
          <w:rFonts w:ascii="Book Antiqua" w:hAnsi="Book Antiqua"/>
          <w:sz w:val="24"/>
          <w:szCs w:val="24"/>
          <w:lang w:val="en-GB"/>
        </w:rPr>
        <w:t xml:space="preserve">Section 12 (1) of the Civil Procedure Cap 21 </w:t>
      </w:r>
      <w:r w:rsidR="00140239" w:rsidRPr="00100B69">
        <w:rPr>
          <w:rFonts w:ascii="Book Antiqua" w:hAnsi="Book Antiqua"/>
          <w:sz w:val="24"/>
          <w:szCs w:val="24"/>
          <w:lang w:val="en-GB"/>
        </w:rPr>
        <w:t>states that suits relating to immovable property, specifically the recovery, partition, foreclosure, sale or redemption in the case of Travel ( a mortgage of or charge upon immovable property, the determination of any other right to or interest in immovable property, for compensation for wrong to immovable property, where the property is situate in Kenya, subject to pecuniary and any other limitations prescribed in any law, shall be instituted within the court of local limits of whose jurisdiction the property is situate.</w:t>
      </w:r>
    </w:p>
    <w:p w:rsidR="00B745AF" w:rsidRPr="00100B69" w:rsidRDefault="00140239" w:rsidP="00170E5C">
      <w:pPr>
        <w:jc w:val="both"/>
        <w:rPr>
          <w:rFonts w:ascii="Book Antiqua" w:hAnsi="Book Antiqua"/>
          <w:sz w:val="24"/>
          <w:szCs w:val="24"/>
          <w:lang w:val="en-GB"/>
        </w:rPr>
      </w:pPr>
      <w:r w:rsidRPr="00100B69">
        <w:rPr>
          <w:rFonts w:ascii="Book Antiqua" w:hAnsi="Book Antiqua"/>
          <w:sz w:val="24"/>
          <w:szCs w:val="24"/>
          <w:lang w:val="en-GB"/>
        </w:rPr>
        <w:t>The above-mentioned stipulations also apply to suits for the recovery of movable property under distraint or attachment Civil Procedure CAP 21section 12 (f)</w:t>
      </w:r>
      <w:r w:rsidR="008E0204" w:rsidRPr="00100B69">
        <w:rPr>
          <w:rFonts w:ascii="Book Antiqua" w:hAnsi="Book Antiqua"/>
          <w:sz w:val="24"/>
          <w:szCs w:val="24"/>
          <w:lang w:val="en-GB"/>
        </w:rPr>
        <w:t>.</w:t>
      </w:r>
    </w:p>
    <w:p w:rsidR="008E0204" w:rsidRPr="00100B69" w:rsidRDefault="008E0204" w:rsidP="00170E5C">
      <w:pPr>
        <w:jc w:val="both"/>
        <w:rPr>
          <w:rFonts w:ascii="Book Antiqua" w:hAnsi="Book Antiqua"/>
          <w:sz w:val="24"/>
          <w:szCs w:val="24"/>
          <w:lang w:val="en-GB"/>
        </w:rPr>
      </w:pPr>
    </w:p>
    <w:p w:rsidR="008E0204" w:rsidRPr="00F75275" w:rsidRDefault="008E0204" w:rsidP="00F75275">
      <w:pPr>
        <w:pStyle w:val="Heading2"/>
        <w:rPr>
          <w:b/>
          <w:bCs/>
          <w:lang w:val=""/>
        </w:rPr>
      </w:pPr>
      <w:bookmarkStart w:id="8" w:name="_Toc128375757"/>
      <w:bookmarkStart w:id="9" w:name="_Toc128982894"/>
      <w:r w:rsidRPr="00F75275">
        <w:rPr>
          <w:b/>
          <w:bCs/>
          <w:lang w:val=""/>
        </w:rPr>
        <w:t>Ouster Clauses</w:t>
      </w:r>
      <w:bookmarkEnd w:id="8"/>
      <w:bookmarkEnd w:id="9"/>
      <w:r w:rsidRPr="00F75275">
        <w:rPr>
          <w:b/>
          <w:bCs/>
          <w:lang w:val=""/>
        </w:rPr>
        <w:t xml:space="preserve"> </w:t>
      </w:r>
    </w:p>
    <w:p w:rsidR="008E0204" w:rsidRPr="00100B69" w:rsidRDefault="008E0204" w:rsidP="00170E5C">
      <w:pPr>
        <w:jc w:val="both"/>
        <w:rPr>
          <w:rFonts w:ascii="Book Antiqua" w:hAnsi="Book Antiqua"/>
          <w:sz w:val="24"/>
          <w:szCs w:val="24"/>
          <w:lang w:val=""/>
        </w:rPr>
      </w:pPr>
      <w:r w:rsidRPr="00100B69">
        <w:rPr>
          <w:rFonts w:ascii="Book Antiqua" w:hAnsi="Book Antiqua"/>
          <w:sz w:val="24"/>
          <w:szCs w:val="24"/>
          <w:lang w:val=""/>
        </w:rPr>
        <w:t>Can be defined as the provisions in law which remove and /or estoppe the judicial review of certain decisions by a Court of Law.</w:t>
      </w:r>
    </w:p>
    <w:p w:rsidR="008E0204" w:rsidRPr="00100B69" w:rsidRDefault="008E0204" w:rsidP="00170E5C">
      <w:pPr>
        <w:jc w:val="both"/>
        <w:rPr>
          <w:rFonts w:ascii="Book Antiqua" w:hAnsi="Book Antiqua"/>
          <w:sz w:val="24"/>
          <w:szCs w:val="24"/>
          <w:lang w:val=""/>
        </w:rPr>
      </w:pPr>
      <w:r w:rsidRPr="00100B69">
        <w:rPr>
          <w:rFonts w:ascii="Book Antiqua" w:hAnsi="Book Antiqua"/>
          <w:sz w:val="24"/>
          <w:szCs w:val="24"/>
          <w:lang w:val=""/>
        </w:rPr>
        <w:lastRenderedPageBreak/>
        <w:t>Section 23(1) of the Schedule provides for the establishment of a vetting board for all the judges and magistrates who were sitting before the coming in of the New Constitution.Section 23 (2) of the Sixth Schedule of Constitution of Kenya, 2010 goes further to state that a removal or a process leading to the removal of a judge from office by virtue of the operation of legislation contemplated under Subsection (1) shall not be subject to question in or review by any Court.</w:t>
      </w:r>
      <w:r w:rsidRPr="00100B69">
        <w:rPr>
          <w:rFonts w:ascii="Book Antiqua" w:hAnsi="Book Antiqua"/>
          <w:sz w:val="24"/>
          <w:szCs w:val="24"/>
          <w:vertAlign w:val="superscript"/>
          <w:lang w:val=""/>
        </w:rPr>
        <w:footnoteReference w:id="4"/>
      </w:r>
    </w:p>
    <w:p w:rsidR="008E0204" w:rsidRPr="00100B69" w:rsidRDefault="008E0204" w:rsidP="00170E5C">
      <w:pPr>
        <w:jc w:val="both"/>
        <w:rPr>
          <w:rFonts w:ascii="Book Antiqua" w:hAnsi="Book Antiqua"/>
          <w:sz w:val="24"/>
          <w:szCs w:val="24"/>
          <w:lang w:val=""/>
        </w:rPr>
      </w:pPr>
      <w:r w:rsidRPr="00100B69">
        <w:rPr>
          <w:rFonts w:ascii="Book Antiqua" w:hAnsi="Book Antiqua"/>
          <w:sz w:val="24"/>
          <w:szCs w:val="24"/>
          <w:lang w:val=""/>
        </w:rPr>
        <w:t>In the case of Judges and Magistrates Vetting Board &amp; 2 Others vs The Centre for Human Rights Democracy &amp; 11 Others (2014) eKLR, The apex court reversed the decisions of the High Court and Appellate Court to make it possible for the High Court to exercise judicial review for decisions made by the  Judges and Magistrates Vetting Board. The Supreme Court held as follows at paragraph 202 of the judgment: for the avoidance of doubt, and in the terms of Section 23(2) of the Sixth Schedule to the Constitution, it is our finding that none of the Superior Courts has the jurisdiction to review the process or outcome attendant upon the operation of the Judges and Magistrates Vetting Board by virtue of the Constitution, and the Vetting of Judges and Magistrates Act.</w:t>
      </w:r>
      <w:r w:rsidRPr="00100B69">
        <w:rPr>
          <w:rFonts w:ascii="Book Antiqua" w:hAnsi="Book Antiqua"/>
          <w:sz w:val="24"/>
          <w:szCs w:val="24"/>
          <w:vertAlign w:val="superscript"/>
          <w:lang w:val=""/>
        </w:rPr>
        <w:footnoteReference w:id="5"/>
      </w:r>
    </w:p>
    <w:p w:rsidR="008E0204" w:rsidRPr="00100B69" w:rsidRDefault="008E0204" w:rsidP="00170E5C">
      <w:pPr>
        <w:jc w:val="both"/>
        <w:rPr>
          <w:rFonts w:ascii="Book Antiqua" w:hAnsi="Book Antiqua"/>
          <w:sz w:val="24"/>
          <w:szCs w:val="24"/>
        </w:rPr>
      </w:pPr>
      <w:r w:rsidRPr="00100B69">
        <w:rPr>
          <w:rFonts w:ascii="Book Antiqua" w:hAnsi="Book Antiqua"/>
          <w:sz w:val="24"/>
          <w:szCs w:val="24"/>
          <w:lang w:val=""/>
        </w:rPr>
        <w:t>Both lower courts in rendering their decisions had agreed that the Judges and Magistrates Vetting Board as a tribunal was inferior to the supervisory jurisdiction of the High Court as stipulated by 165(6) of  the Constitution of Kenya.</w:t>
      </w:r>
    </w:p>
    <w:p w:rsidR="00B745AF" w:rsidRPr="00100B69" w:rsidRDefault="00B745AF" w:rsidP="00170E5C">
      <w:pPr>
        <w:jc w:val="both"/>
        <w:rPr>
          <w:rFonts w:ascii="Book Antiqua" w:hAnsi="Book Antiqua"/>
          <w:sz w:val="24"/>
          <w:szCs w:val="24"/>
        </w:rPr>
      </w:pPr>
    </w:p>
    <w:p w:rsidR="00B745AF" w:rsidRPr="00F75275" w:rsidRDefault="00B745AF" w:rsidP="00F75275">
      <w:pPr>
        <w:pStyle w:val="Heading2"/>
        <w:rPr>
          <w:b/>
          <w:bCs/>
        </w:rPr>
      </w:pPr>
      <w:bookmarkStart w:id="10" w:name="_Toc128375758"/>
      <w:bookmarkStart w:id="11" w:name="_Toc128982895"/>
      <w:r w:rsidRPr="00F75275">
        <w:rPr>
          <w:b/>
          <w:bCs/>
        </w:rPr>
        <w:t>Residual Jurisdiction Limitation</w:t>
      </w:r>
      <w:bookmarkEnd w:id="10"/>
      <w:bookmarkEnd w:id="11"/>
    </w:p>
    <w:p w:rsidR="00322363" w:rsidRDefault="00B745AF" w:rsidP="00322363">
      <w:pPr>
        <w:jc w:val="both"/>
        <w:rPr>
          <w:rFonts w:ascii="Book Antiqua" w:hAnsi="Book Antiqua"/>
          <w:sz w:val="24"/>
          <w:szCs w:val="24"/>
        </w:rPr>
      </w:pPr>
      <w:r w:rsidRPr="00100B69">
        <w:rPr>
          <w:rFonts w:ascii="Book Antiqua" w:hAnsi="Book Antiqua"/>
          <w:sz w:val="24"/>
          <w:szCs w:val="24"/>
        </w:rPr>
        <w:t xml:space="preserve">This is whereby The Court of Appeal has discretion to re-open its own judgement, but it is limited to the extent that it may not appeal its own judgment, the (‘slip rule’). </w:t>
      </w:r>
    </w:p>
    <w:p w:rsidR="00322363" w:rsidRDefault="00322363" w:rsidP="00170E5C">
      <w:pPr>
        <w:jc w:val="both"/>
        <w:rPr>
          <w:rFonts w:ascii="Book Antiqua" w:hAnsi="Book Antiqua"/>
          <w:sz w:val="24"/>
          <w:szCs w:val="24"/>
        </w:rPr>
      </w:pPr>
      <w:r w:rsidRPr="00322363">
        <w:rPr>
          <w:rFonts w:ascii="Book Antiqua" w:hAnsi="Book Antiqua"/>
          <w:sz w:val="24"/>
          <w:szCs w:val="24"/>
        </w:rPr>
        <w:t xml:space="preserve">Under </w:t>
      </w:r>
      <w:r w:rsidRPr="00322363">
        <w:rPr>
          <w:rFonts w:ascii="Book Antiqua" w:hAnsi="Book Antiqua"/>
          <w:i/>
          <w:iCs/>
          <w:sz w:val="24"/>
          <w:szCs w:val="24"/>
        </w:rPr>
        <w:t>R</w:t>
      </w:r>
      <w:r w:rsidRPr="00322363">
        <w:rPr>
          <w:rFonts w:ascii="Book Antiqua" w:hAnsi="Book Antiqua"/>
          <w:b/>
          <w:bCs/>
          <w:i/>
          <w:iCs/>
          <w:sz w:val="24"/>
          <w:szCs w:val="24"/>
        </w:rPr>
        <w:t>ule 35 (1)</w:t>
      </w:r>
      <w:r w:rsidRPr="00322363">
        <w:rPr>
          <w:rFonts w:ascii="Book Antiqua" w:hAnsi="Book Antiqua"/>
          <w:sz w:val="24"/>
          <w:szCs w:val="24"/>
        </w:rPr>
        <w:t> of the </w:t>
      </w:r>
      <w:r w:rsidRPr="00322363">
        <w:rPr>
          <w:rFonts w:ascii="Book Antiqua" w:hAnsi="Book Antiqua"/>
          <w:b/>
          <w:bCs/>
          <w:i/>
          <w:iCs/>
          <w:sz w:val="24"/>
          <w:szCs w:val="24"/>
        </w:rPr>
        <w:t>Court of Appeal Rules,</w:t>
      </w:r>
      <w:r w:rsidRPr="00322363">
        <w:rPr>
          <w:rFonts w:ascii="Book Antiqua" w:hAnsi="Book Antiqua"/>
          <w:sz w:val="24"/>
          <w:szCs w:val="24"/>
        </w:rPr>
        <w:t xml:space="preserve"> (commonly referred to as the </w:t>
      </w:r>
      <w:r w:rsidRPr="00322363">
        <w:rPr>
          <w:rFonts w:ascii="Book Antiqua" w:hAnsi="Book Antiqua"/>
          <w:b/>
          <w:bCs/>
          <w:i/>
          <w:iCs/>
          <w:sz w:val="24"/>
          <w:szCs w:val="24"/>
        </w:rPr>
        <w:t>slip rule</w:t>
      </w:r>
      <w:r w:rsidRPr="00322363">
        <w:rPr>
          <w:rFonts w:ascii="Book Antiqua" w:hAnsi="Book Antiqua"/>
          <w:sz w:val="24"/>
          <w:szCs w:val="24"/>
        </w:rPr>
        <w:t>), states that the Court has power to correct any clerical or arithmetical mistake in its judgment or any error arising therein from an accidental slip or omission. The Court may undertake that correction of its own motion or on the application of any interested person, and at any time whether before or after the judgment has been embodied in an order.</w:t>
      </w:r>
    </w:p>
    <w:p w:rsidR="00322363" w:rsidRDefault="00B745AF" w:rsidP="00170E5C">
      <w:pPr>
        <w:jc w:val="both"/>
        <w:rPr>
          <w:rFonts w:ascii="Book Antiqua" w:hAnsi="Book Antiqua"/>
          <w:sz w:val="24"/>
          <w:szCs w:val="24"/>
        </w:rPr>
      </w:pPr>
      <w:r w:rsidRPr="00100B69">
        <w:rPr>
          <w:rFonts w:ascii="Book Antiqua" w:hAnsi="Book Antiqua"/>
          <w:sz w:val="24"/>
          <w:szCs w:val="24"/>
        </w:rPr>
        <w:t>The ‘slip rule’ does not allow the Court to sit in judgment on its own previous judgment. (See </w:t>
      </w:r>
      <w:r w:rsidRPr="00100B69">
        <w:rPr>
          <w:rFonts w:ascii="Book Antiqua" w:hAnsi="Book Antiqua"/>
          <w:b/>
          <w:bCs/>
          <w:i/>
          <w:iCs/>
          <w:sz w:val="24"/>
          <w:szCs w:val="24"/>
          <w:u w:val="single"/>
        </w:rPr>
        <w:t>LAKHAMSHI BROTHERS LTD V. R RAJA &amp; SONS</w:t>
      </w:r>
      <w:r w:rsidRPr="00100B69">
        <w:rPr>
          <w:rFonts w:ascii="Book Antiqua" w:hAnsi="Book Antiqua"/>
          <w:b/>
          <w:bCs/>
          <w:i/>
          <w:iCs/>
          <w:sz w:val="24"/>
          <w:szCs w:val="24"/>
        </w:rPr>
        <w:t> (1966) EA 313)</w:t>
      </w:r>
      <w:r w:rsidRPr="00100B69">
        <w:rPr>
          <w:rFonts w:ascii="Book Antiqua" w:hAnsi="Book Antiqua"/>
          <w:sz w:val="24"/>
          <w:szCs w:val="24"/>
        </w:rPr>
        <w:t xml:space="preserve">. </w:t>
      </w:r>
    </w:p>
    <w:p w:rsidR="00B745AF" w:rsidRPr="009E1273" w:rsidRDefault="00B745AF" w:rsidP="00170E5C">
      <w:pPr>
        <w:jc w:val="both"/>
        <w:rPr>
          <w:rFonts w:ascii="Book Antiqua" w:hAnsi="Book Antiqua"/>
          <w:i/>
          <w:iCs/>
          <w:sz w:val="24"/>
          <w:szCs w:val="24"/>
        </w:rPr>
      </w:pPr>
      <w:r w:rsidRPr="00100B69">
        <w:rPr>
          <w:rFonts w:ascii="Book Antiqua" w:hAnsi="Book Antiqua"/>
          <w:sz w:val="24"/>
          <w:szCs w:val="24"/>
        </w:rPr>
        <w:lastRenderedPageBreak/>
        <w:t xml:space="preserve">The purpose of this jurisdiction is to effect correction so to give effect to the intention of the Court when it gave its judgment. We see this in the case of </w:t>
      </w:r>
      <w:r w:rsidRPr="009E1273">
        <w:rPr>
          <w:rFonts w:ascii="Book Antiqua" w:hAnsi="Book Antiqua"/>
          <w:i/>
          <w:iCs/>
          <w:sz w:val="24"/>
          <w:szCs w:val="24"/>
        </w:rPr>
        <w:t>Mukuru Munge v Florence Shingi Mwawana &amp; 2 others [2016] eKLR</w:t>
      </w:r>
      <w:r w:rsidRPr="009E1273">
        <w:rPr>
          <w:rFonts w:ascii="Book Antiqua" w:hAnsi="Book Antiqua"/>
          <w:i/>
          <w:iCs/>
          <w:sz w:val="24"/>
          <w:szCs w:val="24"/>
          <w:vertAlign w:val="superscript"/>
        </w:rPr>
        <w:footnoteReference w:id="6"/>
      </w:r>
      <w:r w:rsidRPr="009E1273">
        <w:rPr>
          <w:rFonts w:ascii="Book Antiqua" w:hAnsi="Book Antiqua"/>
          <w:i/>
          <w:iCs/>
          <w:sz w:val="24"/>
          <w:szCs w:val="24"/>
        </w:rPr>
        <w:t>.</w:t>
      </w:r>
    </w:p>
    <w:p w:rsidR="00956AEE" w:rsidRPr="00100B69" w:rsidRDefault="008978ED" w:rsidP="00170E5C">
      <w:pPr>
        <w:jc w:val="both"/>
        <w:rPr>
          <w:rFonts w:ascii="Book Antiqua" w:hAnsi="Book Antiqua"/>
          <w:sz w:val="24"/>
          <w:szCs w:val="24"/>
        </w:rPr>
      </w:pPr>
      <w:r w:rsidRPr="008978ED">
        <w:rPr>
          <w:rFonts w:ascii="Book Antiqua" w:hAnsi="Book Antiqua"/>
          <w:sz w:val="24"/>
          <w:szCs w:val="24"/>
        </w:rPr>
        <w:t>In </w:t>
      </w:r>
      <w:hyperlink r:id="rId9" w:tgtFrame="_blank" w:history="1">
        <w:r w:rsidRPr="008978ED">
          <w:rPr>
            <w:rStyle w:val="Hyperlink"/>
            <w:rFonts w:ascii="Book Antiqua" w:hAnsi="Book Antiqua"/>
            <w:i/>
            <w:iCs/>
            <w:sz w:val="24"/>
            <w:szCs w:val="24"/>
          </w:rPr>
          <w:t xml:space="preserve">Standard Chartered Financial Services Limited &amp; 2 others v Manchester Outfitters (Suiting Division) Limited (now known as King </w:t>
        </w:r>
        <w:proofErr w:type="spellStart"/>
        <w:r w:rsidRPr="008978ED">
          <w:rPr>
            <w:rStyle w:val="Hyperlink"/>
            <w:rFonts w:ascii="Book Antiqua" w:hAnsi="Book Antiqua"/>
            <w:i/>
            <w:iCs/>
            <w:sz w:val="24"/>
            <w:szCs w:val="24"/>
          </w:rPr>
          <w:t>Woollen</w:t>
        </w:r>
        <w:proofErr w:type="spellEnd"/>
        <w:r w:rsidRPr="008978ED">
          <w:rPr>
            <w:rStyle w:val="Hyperlink"/>
            <w:rFonts w:ascii="Book Antiqua" w:hAnsi="Book Antiqua"/>
            <w:i/>
            <w:iCs/>
            <w:sz w:val="24"/>
            <w:szCs w:val="24"/>
          </w:rPr>
          <w:t xml:space="preserve"> Mills Limited) &amp; 2 others</w:t>
        </w:r>
      </w:hyperlink>
      <w:r w:rsidRPr="008978ED">
        <w:rPr>
          <w:rFonts w:ascii="Book Antiqua" w:hAnsi="Book Antiqua"/>
          <w:sz w:val="24"/>
          <w:szCs w:val="24"/>
        </w:rPr>
        <w:t> [2016] eKLR,</w:t>
      </w:r>
      <w:r>
        <w:rPr>
          <w:rFonts w:ascii="Book Antiqua" w:hAnsi="Book Antiqua"/>
          <w:sz w:val="24"/>
          <w:szCs w:val="24"/>
        </w:rPr>
        <w:t xml:space="preserve"> the court held that the residual jurisdiction of the court is provided for in section 3A of the Appellate Jurisdiction Act. They held that this could however only be exercised in exceptional circumstances where “the need to obviate justice outweigh the principle of finality in litigation.”</w:t>
      </w:r>
      <w:r>
        <w:rPr>
          <w:rStyle w:val="FootnoteReference"/>
          <w:rFonts w:ascii="Book Antiqua" w:hAnsi="Book Antiqua"/>
          <w:sz w:val="24"/>
          <w:szCs w:val="24"/>
        </w:rPr>
        <w:footnoteReference w:id="7"/>
      </w:r>
    </w:p>
    <w:p w:rsidR="00B745AF" w:rsidRPr="00100B69" w:rsidRDefault="00B745AF" w:rsidP="00170E5C">
      <w:pPr>
        <w:jc w:val="both"/>
        <w:rPr>
          <w:rFonts w:ascii="Book Antiqua" w:hAnsi="Book Antiqua"/>
          <w:sz w:val="24"/>
          <w:szCs w:val="24"/>
        </w:rPr>
      </w:pPr>
    </w:p>
    <w:p w:rsidR="00B745AF" w:rsidRPr="00F75275" w:rsidRDefault="00B745AF" w:rsidP="00F75275">
      <w:pPr>
        <w:pStyle w:val="Heading2"/>
        <w:rPr>
          <w:b/>
          <w:bCs/>
        </w:rPr>
      </w:pPr>
      <w:bookmarkStart w:id="12" w:name="_Toc128375759"/>
      <w:bookmarkStart w:id="13" w:name="_Toc128982896"/>
      <w:r w:rsidRPr="00F75275">
        <w:rPr>
          <w:b/>
          <w:bCs/>
        </w:rPr>
        <w:t xml:space="preserve">Territorial </w:t>
      </w:r>
      <w:r w:rsidR="00140239" w:rsidRPr="00F75275">
        <w:rPr>
          <w:b/>
          <w:bCs/>
        </w:rPr>
        <w:t>Jurisdiction</w:t>
      </w:r>
      <w:bookmarkEnd w:id="12"/>
      <w:bookmarkEnd w:id="13"/>
    </w:p>
    <w:p w:rsidR="00B745AF" w:rsidRPr="00100B69" w:rsidRDefault="00B745AF" w:rsidP="00170E5C">
      <w:pPr>
        <w:jc w:val="both"/>
        <w:rPr>
          <w:rFonts w:ascii="Book Antiqua" w:hAnsi="Book Antiqua"/>
          <w:sz w:val="24"/>
          <w:szCs w:val="24"/>
        </w:rPr>
      </w:pPr>
      <w:r w:rsidRPr="00100B69">
        <w:rPr>
          <w:rFonts w:ascii="Book Antiqua" w:hAnsi="Book Antiqua"/>
          <w:b/>
          <w:bCs/>
          <w:sz w:val="24"/>
          <w:szCs w:val="24"/>
        </w:rPr>
        <w:t xml:space="preserve">Section 72 of the Criminal Procedure Code </w:t>
      </w:r>
      <w:r w:rsidRPr="00100B69">
        <w:rPr>
          <w:rFonts w:ascii="Book Antiqua" w:hAnsi="Book Antiqua"/>
          <w:sz w:val="24"/>
          <w:szCs w:val="24"/>
        </w:rPr>
        <w:t xml:space="preserve">provides that a trial may be undertaken at the local limits of where the offence has been committed. This means that a case cannot be heard outside of the territorial boundaries where the course of action was committed. </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rPr>
        <w:t xml:space="preserve">In the case of </w:t>
      </w:r>
      <w:r w:rsidRPr="00100B69">
        <w:rPr>
          <w:rFonts w:ascii="Book Antiqua" w:hAnsi="Book Antiqua"/>
          <w:i/>
          <w:iCs/>
          <w:sz w:val="24"/>
          <w:szCs w:val="24"/>
          <w:lang w:val="en-GB"/>
        </w:rPr>
        <w:t>Republic v James Irungu Magondu [2020] eKLR</w:t>
      </w:r>
      <w:r w:rsidRPr="00100B69">
        <w:rPr>
          <w:rFonts w:ascii="Book Antiqua" w:hAnsi="Book Antiqua"/>
          <w:i/>
          <w:iCs/>
          <w:sz w:val="24"/>
          <w:szCs w:val="24"/>
          <w:vertAlign w:val="superscript"/>
          <w:lang w:val="en-GB"/>
        </w:rPr>
        <w:footnoteReference w:id="8"/>
      </w:r>
      <w:r w:rsidRPr="00100B69">
        <w:rPr>
          <w:rFonts w:ascii="Book Antiqua" w:hAnsi="Book Antiqua"/>
          <w:b/>
          <w:bCs/>
          <w:sz w:val="24"/>
          <w:szCs w:val="24"/>
          <w:lang w:val="en-GB"/>
        </w:rPr>
        <w:t xml:space="preserve"> </w:t>
      </w:r>
      <w:r w:rsidRPr="00100B69">
        <w:rPr>
          <w:rFonts w:ascii="Book Antiqua" w:hAnsi="Book Antiqua"/>
          <w:sz w:val="24"/>
          <w:szCs w:val="24"/>
        </w:rPr>
        <w:t xml:space="preserve"> the matter was brought before the high court for orders of transfer to the court with territorial jurisdiction, in accordance with section 76(1) and section 81 of the Criminal Procedure Code</w:t>
      </w:r>
      <w:r w:rsidR="00F7317A">
        <w:rPr>
          <w:rFonts w:ascii="Book Antiqua" w:hAnsi="Book Antiqua"/>
          <w:sz w:val="24"/>
          <w:szCs w:val="24"/>
        </w:rPr>
        <w:t>. I</w:t>
      </w:r>
      <w:r w:rsidRPr="00100B69">
        <w:rPr>
          <w:rFonts w:ascii="Book Antiqua" w:hAnsi="Book Antiqua"/>
          <w:sz w:val="24"/>
          <w:szCs w:val="24"/>
        </w:rPr>
        <w:t xml:space="preserve">t was found that the accused who had committed a crime of theft, was </w:t>
      </w:r>
      <w:r w:rsidR="00140239" w:rsidRPr="00100B69">
        <w:rPr>
          <w:rFonts w:ascii="Book Antiqua" w:hAnsi="Book Antiqua"/>
          <w:sz w:val="24"/>
          <w:szCs w:val="24"/>
        </w:rPr>
        <w:t>erroneously</w:t>
      </w:r>
      <w:r w:rsidRPr="00100B69">
        <w:rPr>
          <w:rFonts w:ascii="Book Antiqua" w:hAnsi="Book Antiqua"/>
          <w:sz w:val="24"/>
          <w:szCs w:val="24"/>
        </w:rPr>
        <w:t xml:space="preserve"> brought before Baricho Law Courts whereas it was established that the crime was committed in Ruiru Law Courts, in Ruiru Sub-County within Kiambu County.</w:t>
      </w:r>
      <w:r w:rsidR="00F7317A">
        <w:rPr>
          <w:rFonts w:ascii="Book Antiqua" w:hAnsi="Book Antiqua"/>
          <w:sz w:val="24"/>
          <w:szCs w:val="24"/>
        </w:rPr>
        <w:t xml:space="preserve"> On analysis</w:t>
      </w:r>
      <w:r w:rsidRPr="00100B69">
        <w:rPr>
          <w:rFonts w:ascii="Book Antiqua" w:hAnsi="Book Antiqua"/>
          <w:sz w:val="24"/>
          <w:szCs w:val="24"/>
        </w:rPr>
        <w:t xml:space="preserve"> </w:t>
      </w:r>
      <w:r w:rsidR="00F7317A">
        <w:rPr>
          <w:rFonts w:ascii="Book Antiqua" w:hAnsi="Book Antiqua"/>
          <w:sz w:val="24"/>
          <w:szCs w:val="24"/>
        </w:rPr>
        <w:t>i</w:t>
      </w:r>
      <w:r w:rsidRPr="00100B69">
        <w:rPr>
          <w:rFonts w:ascii="Book Antiqua" w:hAnsi="Book Antiqua"/>
          <w:sz w:val="24"/>
          <w:szCs w:val="24"/>
        </w:rPr>
        <w:t xml:space="preserve">t was found that </w:t>
      </w:r>
      <w:r w:rsidR="00140239" w:rsidRPr="00100B69">
        <w:rPr>
          <w:rFonts w:ascii="Book Antiqua" w:hAnsi="Book Antiqua"/>
          <w:sz w:val="24"/>
          <w:szCs w:val="24"/>
        </w:rPr>
        <w:t>t</w:t>
      </w:r>
      <w:r w:rsidRPr="00100B69">
        <w:rPr>
          <w:rFonts w:ascii="Book Antiqua" w:hAnsi="Book Antiqua"/>
          <w:sz w:val="24"/>
          <w:szCs w:val="24"/>
        </w:rPr>
        <w:t>he offence was committed outside Kirinyaga County wherein Baricho Law Courts are situated and was granted orders of transfer to Ruiru Law Courts which fall under the territorial jurisdiction of the Ruiru Law Courts, within Kiambu County.</w:t>
      </w:r>
    </w:p>
    <w:p w:rsidR="00B745AF" w:rsidRPr="00100B69" w:rsidRDefault="00B745AF" w:rsidP="00170E5C">
      <w:pPr>
        <w:jc w:val="both"/>
        <w:rPr>
          <w:rFonts w:ascii="Book Antiqua" w:hAnsi="Book Antiqua"/>
          <w:sz w:val="24"/>
          <w:szCs w:val="24"/>
        </w:rPr>
      </w:pPr>
    </w:p>
    <w:p w:rsidR="00B745AF" w:rsidRDefault="00B745AF" w:rsidP="00F75275">
      <w:pPr>
        <w:pStyle w:val="Heading3"/>
        <w:rPr>
          <w:rFonts w:ascii="Book Antiqua" w:hAnsi="Book Antiqua"/>
          <w:b/>
          <w:bCs/>
          <w:lang w:val="en-GB"/>
        </w:rPr>
      </w:pPr>
      <w:bookmarkStart w:id="14" w:name="_Toc128375760"/>
      <w:bookmarkStart w:id="15" w:name="_Toc128982897"/>
      <w:r w:rsidRPr="00F75275">
        <w:rPr>
          <w:rFonts w:ascii="Book Antiqua" w:hAnsi="Book Antiqua"/>
          <w:b/>
          <w:bCs/>
          <w:lang w:val="en-GB"/>
        </w:rPr>
        <w:t>Also Under Territorial Jurisdiction:</w:t>
      </w:r>
      <w:bookmarkEnd w:id="14"/>
      <w:bookmarkEnd w:id="15"/>
    </w:p>
    <w:p w:rsidR="00F75275" w:rsidRPr="00F75275" w:rsidRDefault="00F75275" w:rsidP="00F75275">
      <w:pPr>
        <w:rPr>
          <w:lang w:val="en-GB"/>
        </w:rPr>
      </w:pPr>
    </w:p>
    <w:p w:rsidR="00B745AF" w:rsidRPr="00F75275" w:rsidRDefault="00B745AF" w:rsidP="00F75275">
      <w:pPr>
        <w:pStyle w:val="Heading4"/>
        <w:rPr>
          <w:rFonts w:ascii="Book Antiqua" w:hAnsi="Book Antiqua"/>
          <w:b/>
          <w:bCs/>
          <w:sz w:val="24"/>
          <w:szCs w:val="24"/>
          <w:lang w:val="en-GB"/>
        </w:rPr>
      </w:pPr>
      <w:r w:rsidRPr="00F75275">
        <w:rPr>
          <w:rFonts w:ascii="Book Antiqua" w:hAnsi="Book Antiqua"/>
          <w:b/>
          <w:bCs/>
          <w:sz w:val="24"/>
          <w:szCs w:val="24"/>
          <w:lang w:val="en-GB"/>
        </w:rPr>
        <w:t>The Offence of Piracy, Jure Gentium</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rPr>
        <w:t>Section 69(1) of the Penal Code provides,</w:t>
      </w:r>
      <w:r w:rsidRPr="00100B69">
        <w:rPr>
          <w:rFonts w:ascii="Book Antiqua" w:hAnsi="Book Antiqua"/>
          <w:b/>
          <w:bCs/>
          <w:i/>
          <w:iCs/>
          <w:sz w:val="24"/>
          <w:szCs w:val="24"/>
        </w:rPr>
        <w:t xml:space="preserve"> “Any person who, in territorial waters or upon the high seas, commits any act of piracy jure gentium is guilty of the offence of piracy”. </w:t>
      </w:r>
      <w:r w:rsidRPr="00100B69">
        <w:rPr>
          <w:rFonts w:ascii="Book Antiqua" w:hAnsi="Book Antiqua"/>
          <w:sz w:val="24"/>
          <w:szCs w:val="24"/>
        </w:rPr>
        <w:t xml:space="preserve">Section 69 falls under part VIII of the penal code which deals with extra territorial </w:t>
      </w:r>
      <w:r w:rsidRPr="00100B69">
        <w:rPr>
          <w:rFonts w:ascii="Book Antiqua" w:hAnsi="Book Antiqua"/>
          <w:sz w:val="24"/>
          <w:szCs w:val="24"/>
        </w:rPr>
        <w:lastRenderedPageBreak/>
        <w:t>jurisdiction of Penal Code. This lets us know that Kenyan courts have jurisdiction to try cases of piracy.</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lang w:val="en-GB"/>
        </w:rPr>
        <w:t>In the case of</w:t>
      </w:r>
      <w:r w:rsidRPr="00100B69">
        <w:rPr>
          <w:rFonts w:ascii="Book Antiqua" w:hAnsi="Book Antiqua"/>
          <w:b/>
          <w:bCs/>
          <w:sz w:val="24"/>
          <w:szCs w:val="24"/>
          <w:lang w:val="en-GB"/>
        </w:rPr>
        <w:t xml:space="preserve"> </w:t>
      </w:r>
      <w:r w:rsidRPr="00100B69">
        <w:rPr>
          <w:rFonts w:ascii="Book Antiqua" w:hAnsi="Book Antiqua"/>
          <w:b/>
          <w:bCs/>
          <w:i/>
          <w:iCs/>
          <w:sz w:val="24"/>
          <w:szCs w:val="24"/>
          <w:lang w:val="en-GB"/>
        </w:rPr>
        <w:t>Attorney General v Mohamud Mohammed Hashi &amp; 8 others [2012] eKLR</w:t>
      </w:r>
      <w:r w:rsidR="0014517A">
        <w:rPr>
          <w:rStyle w:val="FootnoteReference"/>
          <w:rFonts w:ascii="Book Antiqua" w:hAnsi="Book Antiqua"/>
          <w:b/>
          <w:bCs/>
          <w:i/>
          <w:iCs/>
          <w:sz w:val="24"/>
          <w:szCs w:val="24"/>
          <w:lang w:val="en-GB"/>
        </w:rPr>
        <w:footnoteReference w:id="9"/>
      </w:r>
      <w:r w:rsidRPr="00100B69">
        <w:rPr>
          <w:rFonts w:ascii="Book Antiqua" w:hAnsi="Book Antiqua"/>
          <w:b/>
          <w:bCs/>
          <w:i/>
          <w:iCs/>
          <w:sz w:val="24"/>
          <w:szCs w:val="24"/>
          <w:lang w:val="en-GB"/>
        </w:rPr>
        <w:t xml:space="preserve">, </w:t>
      </w:r>
      <w:r w:rsidRPr="00100B69">
        <w:rPr>
          <w:rFonts w:ascii="Book Antiqua" w:hAnsi="Book Antiqua"/>
          <w:sz w:val="24"/>
          <w:szCs w:val="24"/>
          <w:lang w:val="en-GB"/>
        </w:rPr>
        <w:t>the matter was brought before the Court of Appeal, the issue before the court being whether</w:t>
      </w:r>
      <w:r w:rsidRPr="00100B69">
        <w:rPr>
          <w:rFonts w:ascii="Book Antiqua" w:hAnsi="Book Antiqua"/>
          <w:sz w:val="24"/>
          <w:szCs w:val="24"/>
        </w:rPr>
        <w:t xml:space="preserve"> the Kenyan courts have jurisdiction to try the respondents and for that matter, any other accused person for the offence or offences in respect of Piracy </w:t>
      </w:r>
      <w:r w:rsidRPr="00100B69">
        <w:rPr>
          <w:rFonts w:ascii="Book Antiqua" w:hAnsi="Book Antiqua"/>
          <w:i/>
          <w:iCs/>
          <w:sz w:val="24"/>
          <w:szCs w:val="24"/>
        </w:rPr>
        <w:t>Jure Gentium</w:t>
      </w:r>
      <w:r w:rsidRPr="00100B69">
        <w:rPr>
          <w:rFonts w:ascii="Book Antiqua" w:hAnsi="Book Antiqua"/>
          <w:sz w:val="24"/>
          <w:szCs w:val="24"/>
        </w:rPr>
        <w:t> committed outside the Kenyan Territorial Waters or to be more precise, committed in the High Seas.</w:t>
      </w:r>
    </w:p>
    <w:p w:rsidR="00B745AF" w:rsidRPr="00100B69" w:rsidRDefault="00B745AF" w:rsidP="00170E5C">
      <w:pPr>
        <w:jc w:val="both"/>
        <w:rPr>
          <w:rFonts w:ascii="Book Antiqua" w:hAnsi="Book Antiqua"/>
          <w:sz w:val="24"/>
          <w:szCs w:val="24"/>
        </w:rPr>
      </w:pPr>
      <w:r w:rsidRPr="00100B69">
        <w:rPr>
          <w:rFonts w:ascii="Book Antiqua" w:hAnsi="Book Antiqua"/>
          <w:sz w:val="24"/>
          <w:szCs w:val="24"/>
        </w:rPr>
        <w:t>The learned judge of the High Court (as he then was) had found that the courts did not have jurisdiction to deal with piracy. This was appealed and at the time the offence in respect of the case took place on 3rd March, 2009, </w:t>
      </w:r>
      <w:r w:rsidRPr="00100B69">
        <w:rPr>
          <w:rFonts w:ascii="Book Antiqua" w:hAnsi="Book Antiqua"/>
          <w:b/>
          <w:bCs/>
          <w:i/>
          <w:iCs/>
          <w:sz w:val="24"/>
          <w:szCs w:val="24"/>
        </w:rPr>
        <w:t>Section 69 (1)</w:t>
      </w:r>
      <w:r w:rsidRPr="00100B69">
        <w:rPr>
          <w:rFonts w:ascii="Book Antiqua" w:hAnsi="Book Antiqua"/>
          <w:sz w:val="24"/>
          <w:szCs w:val="24"/>
        </w:rPr>
        <w:t> as read with </w:t>
      </w:r>
      <w:r w:rsidRPr="00100B69">
        <w:rPr>
          <w:rFonts w:ascii="Book Antiqua" w:hAnsi="Book Antiqua"/>
          <w:b/>
          <w:bCs/>
          <w:i/>
          <w:iCs/>
          <w:sz w:val="24"/>
          <w:szCs w:val="24"/>
        </w:rPr>
        <w:t>Section 69 (3)</w:t>
      </w:r>
      <w:r w:rsidRPr="00100B69">
        <w:rPr>
          <w:rFonts w:ascii="Book Antiqua" w:hAnsi="Book Antiqua"/>
          <w:sz w:val="24"/>
          <w:szCs w:val="24"/>
        </w:rPr>
        <w:t> of the Penal Code was still in operation. By the time the trial started, that section was still in operation. Later it was repealed by </w:t>
      </w:r>
      <w:r w:rsidRPr="00100B69">
        <w:rPr>
          <w:rFonts w:ascii="Book Antiqua" w:hAnsi="Book Antiqua"/>
          <w:b/>
          <w:bCs/>
          <w:sz w:val="24"/>
          <w:szCs w:val="24"/>
        </w:rPr>
        <w:t>Merchant Shipping Act </w:t>
      </w:r>
      <w:r w:rsidRPr="00100B69">
        <w:rPr>
          <w:rFonts w:ascii="Book Antiqua" w:hAnsi="Book Antiqua"/>
          <w:sz w:val="24"/>
          <w:szCs w:val="24"/>
        </w:rPr>
        <w:t xml:space="preserve">which came into operation on 1st September, 2009. The Court of Appeal found </w:t>
      </w:r>
      <w:r w:rsidR="00140239" w:rsidRPr="00100B69">
        <w:rPr>
          <w:rFonts w:ascii="Book Antiqua" w:hAnsi="Book Antiqua"/>
          <w:sz w:val="24"/>
          <w:szCs w:val="24"/>
        </w:rPr>
        <w:t>that there</w:t>
      </w:r>
      <w:r w:rsidRPr="00100B69">
        <w:rPr>
          <w:rFonts w:ascii="Book Antiqua" w:hAnsi="Book Antiqua"/>
          <w:sz w:val="24"/>
          <w:szCs w:val="24"/>
        </w:rPr>
        <w:t xml:space="preserve"> was no contradiction in the law and that Kenyan courts did have geographical and territorial jurisdiction to try the offence of piracy, Jure Gentium.</w:t>
      </w:r>
    </w:p>
    <w:p w:rsidR="00B745AF" w:rsidRPr="00100B69" w:rsidRDefault="00140239" w:rsidP="00170E5C">
      <w:pPr>
        <w:jc w:val="both"/>
        <w:rPr>
          <w:rFonts w:ascii="Book Antiqua" w:hAnsi="Book Antiqua"/>
          <w:sz w:val="24"/>
          <w:szCs w:val="24"/>
        </w:rPr>
      </w:pPr>
      <w:r w:rsidRPr="00100B69">
        <w:rPr>
          <w:rFonts w:ascii="Book Antiqua" w:hAnsi="Book Antiqua"/>
          <w:sz w:val="24"/>
          <w:szCs w:val="24"/>
        </w:rPr>
        <w:t>Succinctly</w:t>
      </w:r>
      <w:r w:rsidR="00B745AF" w:rsidRPr="00100B69">
        <w:rPr>
          <w:rFonts w:ascii="Book Antiqua" w:hAnsi="Book Antiqua"/>
          <w:sz w:val="24"/>
          <w:szCs w:val="24"/>
        </w:rPr>
        <w:t xml:space="preserve"> from the foregoing </w:t>
      </w:r>
      <w:r w:rsidRPr="00100B69">
        <w:rPr>
          <w:rFonts w:ascii="Book Antiqua" w:hAnsi="Book Antiqua"/>
          <w:sz w:val="24"/>
          <w:szCs w:val="24"/>
        </w:rPr>
        <w:t>reasoning</w:t>
      </w:r>
      <w:r w:rsidR="00B745AF" w:rsidRPr="00100B69">
        <w:rPr>
          <w:rFonts w:ascii="Book Antiqua" w:hAnsi="Book Antiqua"/>
          <w:sz w:val="24"/>
          <w:szCs w:val="24"/>
        </w:rPr>
        <w:t>, we learn that piracy is a crime that Kenyan Courts have territorial jurisdiction over</w:t>
      </w:r>
      <w:r w:rsidR="00520583" w:rsidRPr="00100B69">
        <w:rPr>
          <w:rFonts w:ascii="Book Antiqua" w:hAnsi="Book Antiqua"/>
          <w:sz w:val="24"/>
          <w:szCs w:val="24"/>
        </w:rPr>
        <w:t>, specifically the High Court</w:t>
      </w:r>
      <w:r w:rsidR="00B745AF" w:rsidRPr="00100B69">
        <w:rPr>
          <w:rFonts w:ascii="Book Antiqua" w:hAnsi="Book Antiqua"/>
          <w:sz w:val="24"/>
          <w:szCs w:val="24"/>
        </w:rPr>
        <w:t>.</w:t>
      </w:r>
    </w:p>
    <w:p w:rsidR="00BE692A" w:rsidRPr="00100B69" w:rsidRDefault="00BE692A" w:rsidP="00170E5C">
      <w:pPr>
        <w:jc w:val="both"/>
        <w:rPr>
          <w:rFonts w:ascii="Book Antiqua" w:hAnsi="Book Antiqua"/>
          <w:sz w:val="24"/>
          <w:szCs w:val="24"/>
        </w:rPr>
      </w:pPr>
    </w:p>
    <w:p w:rsidR="00BE692A" w:rsidRPr="00731B78" w:rsidRDefault="00BE692A" w:rsidP="00731B78">
      <w:pPr>
        <w:pStyle w:val="Heading2"/>
        <w:rPr>
          <w:b/>
          <w:bCs/>
        </w:rPr>
      </w:pPr>
      <w:bookmarkStart w:id="16" w:name="_Toc128375761"/>
      <w:bookmarkStart w:id="17" w:name="_Toc128982898"/>
      <w:r w:rsidRPr="00731B78">
        <w:rPr>
          <w:b/>
          <w:bCs/>
        </w:rPr>
        <w:t>Original and Appellate Jurisdiction</w:t>
      </w:r>
      <w:bookmarkEnd w:id="16"/>
      <w:bookmarkEnd w:id="17"/>
    </w:p>
    <w:p w:rsidR="00B745AF" w:rsidRPr="00100B69" w:rsidRDefault="00BE692A" w:rsidP="00170E5C">
      <w:pPr>
        <w:pStyle w:val="ListParagraph"/>
        <w:numPr>
          <w:ilvl w:val="0"/>
          <w:numId w:val="3"/>
        </w:numPr>
        <w:jc w:val="both"/>
        <w:rPr>
          <w:rFonts w:ascii="Book Antiqua" w:hAnsi="Book Antiqua"/>
          <w:sz w:val="24"/>
          <w:szCs w:val="24"/>
        </w:rPr>
      </w:pPr>
      <w:r w:rsidRPr="00100B69">
        <w:rPr>
          <w:rFonts w:ascii="Book Antiqua" w:hAnsi="Book Antiqua"/>
          <w:sz w:val="24"/>
          <w:szCs w:val="24"/>
        </w:rPr>
        <w:t xml:space="preserve">The High Court has original and appellate jurisdiction on matters of fact and law. </w:t>
      </w:r>
      <w:r w:rsidR="000757C5" w:rsidRPr="00100B69">
        <w:rPr>
          <w:rFonts w:ascii="Book Antiqua" w:hAnsi="Book Antiqua"/>
          <w:sz w:val="24"/>
          <w:szCs w:val="24"/>
        </w:rPr>
        <w:t>(Article 165 3(d)(</w:t>
      </w:r>
      <w:proofErr w:type="spellStart"/>
      <w:r w:rsidR="000757C5" w:rsidRPr="00100B69">
        <w:rPr>
          <w:rFonts w:ascii="Book Antiqua" w:hAnsi="Book Antiqua"/>
          <w:sz w:val="24"/>
          <w:szCs w:val="24"/>
        </w:rPr>
        <w:t>i</w:t>
      </w:r>
      <w:proofErr w:type="spellEnd"/>
      <w:proofErr w:type="gramStart"/>
      <w:r w:rsidR="000757C5" w:rsidRPr="00100B69">
        <w:rPr>
          <w:rFonts w:ascii="Book Antiqua" w:hAnsi="Book Antiqua"/>
          <w:sz w:val="24"/>
          <w:szCs w:val="24"/>
        </w:rPr>
        <w:t>,)(</w:t>
      </w:r>
      <w:proofErr w:type="gramEnd"/>
      <w:r w:rsidR="000757C5" w:rsidRPr="00100B69">
        <w:rPr>
          <w:rFonts w:ascii="Book Antiqua" w:hAnsi="Book Antiqua"/>
          <w:sz w:val="24"/>
          <w:szCs w:val="24"/>
        </w:rPr>
        <w:t>ii) and (e).</w:t>
      </w:r>
    </w:p>
    <w:p w:rsidR="000757C5" w:rsidRPr="00100B69" w:rsidRDefault="000757C5" w:rsidP="00170E5C">
      <w:pPr>
        <w:jc w:val="both"/>
        <w:rPr>
          <w:rFonts w:ascii="Book Antiqua" w:hAnsi="Book Antiqua"/>
          <w:sz w:val="24"/>
          <w:szCs w:val="24"/>
        </w:rPr>
      </w:pPr>
      <w:r w:rsidRPr="00100B69">
        <w:rPr>
          <w:rFonts w:ascii="Book Antiqua" w:hAnsi="Book Antiqua"/>
          <w:sz w:val="24"/>
          <w:szCs w:val="24"/>
        </w:rPr>
        <w:t>Note, Article 165 (5):</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25"/>
        <w:gridCol w:w="9035"/>
      </w:tblGrid>
      <w:tr w:rsidR="000757C5" w:rsidRPr="00100B69" w:rsidTr="000757C5">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rsidR="000757C5" w:rsidRPr="00100B69" w:rsidRDefault="000757C5" w:rsidP="00170E5C">
            <w:pPr>
              <w:jc w:val="both"/>
              <w:rPr>
                <w:rFonts w:ascii="Book Antiqua" w:hAnsi="Book Antiqua"/>
                <w:sz w:val="24"/>
                <w:szCs w:val="24"/>
                <w:lang w:val="en-GB"/>
              </w:rPr>
            </w:pPr>
            <w:r w:rsidRPr="00100B69">
              <w:rPr>
                <w:rFonts w:ascii="Book Antiqua" w:hAnsi="Book Antiqua"/>
                <w:sz w:val="24"/>
                <w:szCs w:val="24"/>
                <w:lang w:val="en-GB"/>
              </w:rPr>
              <w:t>(5)</w:t>
            </w:r>
          </w:p>
        </w:tc>
        <w:tc>
          <w:tcPr>
            <w:tcW w:w="0" w:type="auto"/>
            <w:tcBorders>
              <w:top w:val="nil"/>
              <w:left w:val="nil"/>
              <w:bottom w:val="nil"/>
              <w:right w:val="nil"/>
            </w:tcBorders>
            <w:shd w:val="clear" w:color="auto" w:fill="FFFFFF"/>
            <w:tcMar>
              <w:top w:w="0" w:type="dxa"/>
              <w:left w:w="150" w:type="dxa"/>
              <w:bottom w:w="0" w:type="dxa"/>
              <w:right w:w="0" w:type="dxa"/>
            </w:tcMar>
            <w:hideMark/>
          </w:tcPr>
          <w:p w:rsidR="000757C5" w:rsidRPr="00100B69" w:rsidRDefault="000757C5" w:rsidP="00170E5C">
            <w:pPr>
              <w:jc w:val="both"/>
              <w:rPr>
                <w:rFonts w:ascii="Book Antiqua" w:hAnsi="Book Antiqua"/>
                <w:sz w:val="24"/>
                <w:szCs w:val="24"/>
                <w:lang w:val="en-GB"/>
              </w:rPr>
            </w:pPr>
            <w:r w:rsidRPr="00100B69">
              <w:rPr>
                <w:rFonts w:ascii="Book Antiqua" w:hAnsi="Book Antiqua"/>
                <w:sz w:val="24"/>
                <w:szCs w:val="24"/>
                <w:lang w:val="en-GB"/>
              </w:rPr>
              <w:t xml:space="preserve">The High Court shall </w:t>
            </w:r>
            <w:r w:rsidRPr="00100B69">
              <w:rPr>
                <w:rFonts w:ascii="Book Antiqua" w:hAnsi="Book Antiqua"/>
                <w:b/>
                <w:bCs/>
                <w:sz w:val="24"/>
                <w:szCs w:val="24"/>
                <w:lang w:val="en-GB"/>
              </w:rPr>
              <w:t>not have jurisdiction</w:t>
            </w:r>
            <w:r w:rsidRPr="00100B69">
              <w:rPr>
                <w:rFonts w:ascii="Book Antiqua" w:hAnsi="Book Antiqua"/>
                <w:sz w:val="24"/>
                <w:szCs w:val="24"/>
                <w:lang w:val="en-GB"/>
              </w:rPr>
              <w:t xml:space="preserve"> in respect of matters—</w:t>
            </w:r>
          </w:p>
          <w:tbl>
            <w:tblPr>
              <w:tblW w:w="0" w:type="auto"/>
              <w:tblCellSpacing w:w="15" w:type="dxa"/>
              <w:tblCellMar>
                <w:left w:w="0" w:type="dxa"/>
                <w:right w:w="0" w:type="dxa"/>
              </w:tblCellMar>
              <w:tblLook w:val="04A0" w:firstRow="1" w:lastRow="0" w:firstColumn="1" w:lastColumn="0" w:noHBand="0" w:noVBand="1"/>
            </w:tblPr>
            <w:tblGrid>
              <w:gridCol w:w="325"/>
              <w:gridCol w:w="30"/>
              <w:gridCol w:w="8440"/>
              <w:gridCol w:w="45"/>
            </w:tblGrid>
            <w:tr w:rsidR="000757C5" w:rsidRPr="00100B69" w:rsidTr="000757C5">
              <w:trPr>
                <w:tblCellSpacing w:w="15" w:type="dxa"/>
              </w:trPr>
              <w:tc>
                <w:tcPr>
                  <w:tcW w:w="0" w:type="auto"/>
                  <w:tcBorders>
                    <w:top w:val="nil"/>
                    <w:left w:val="nil"/>
                    <w:bottom w:val="nil"/>
                    <w:right w:val="nil"/>
                  </w:tcBorders>
                  <w:tcMar>
                    <w:top w:w="15" w:type="dxa"/>
                    <w:left w:w="0" w:type="dxa"/>
                    <w:bottom w:w="0" w:type="dxa"/>
                    <w:right w:w="0" w:type="dxa"/>
                  </w:tcMar>
                  <w:hideMark/>
                </w:tcPr>
                <w:p w:rsidR="000757C5" w:rsidRPr="00100B69" w:rsidRDefault="000757C5" w:rsidP="00170E5C">
                  <w:pPr>
                    <w:jc w:val="both"/>
                    <w:rPr>
                      <w:rFonts w:ascii="Book Antiqua" w:hAnsi="Book Antiqua"/>
                      <w:sz w:val="24"/>
                      <w:szCs w:val="24"/>
                      <w:lang w:val="en-GB"/>
                    </w:rPr>
                  </w:pPr>
                  <w:r w:rsidRPr="00100B69">
                    <w:rPr>
                      <w:rFonts w:ascii="Book Antiqua" w:hAnsi="Book Antiqua"/>
                      <w:sz w:val="24"/>
                      <w:szCs w:val="24"/>
                      <w:lang w:val="en-GB"/>
                    </w:rPr>
                    <w:t>(a)</w:t>
                  </w:r>
                </w:p>
              </w:tc>
              <w:tc>
                <w:tcPr>
                  <w:tcW w:w="0" w:type="auto"/>
                  <w:gridSpan w:val="3"/>
                  <w:tcBorders>
                    <w:top w:val="nil"/>
                    <w:left w:val="nil"/>
                    <w:bottom w:val="nil"/>
                    <w:right w:val="nil"/>
                  </w:tcBorders>
                  <w:tcMar>
                    <w:top w:w="0" w:type="dxa"/>
                    <w:left w:w="150" w:type="dxa"/>
                    <w:bottom w:w="0" w:type="dxa"/>
                    <w:right w:w="0" w:type="dxa"/>
                  </w:tcMar>
                  <w:hideMark/>
                </w:tcPr>
                <w:p w:rsidR="000757C5" w:rsidRPr="00100B69" w:rsidRDefault="000757C5" w:rsidP="00170E5C">
                  <w:pPr>
                    <w:jc w:val="both"/>
                    <w:rPr>
                      <w:rFonts w:ascii="Book Antiqua" w:hAnsi="Book Antiqua"/>
                      <w:sz w:val="24"/>
                      <w:szCs w:val="24"/>
                      <w:lang w:val="en-GB"/>
                    </w:rPr>
                  </w:pPr>
                  <w:r w:rsidRPr="00100B69">
                    <w:rPr>
                      <w:rFonts w:ascii="Book Antiqua" w:hAnsi="Book Antiqua"/>
                      <w:sz w:val="24"/>
                      <w:szCs w:val="24"/>
                      <w:lang w:val="en-GB"/>
                    </w:rPr>
                    <w:t>reserved for the exclusive jurisdiction of the Supreme Court under this Constitution; or</w:t>
                  </w:r>
                </w:p>
              </w:tc>
            </w:tr>
            <w:tr w:rsidR="000757C5" w:rsidRPr="00100B69">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rsidR="000757C5" w:rsidRPr="00100B69" w:rsidRDefault="000757C5" w:rsidP="00170E5C">
                  <w:pPr>
                    <w:jc w:val="both"/>
                    <w:rPr>
                      <w:rFonts w:ascii="Book Antiqua" w:hAnsi="Book Antiqua"/>
                      <w:sz w:val="24"/>
                      <w:szCs w:val="24"/>
                      <w:lang w:val="en-GB"/>
                    </w:rPr>
                  </w:pPr>
                  <w:r w:rsidRPr="00100B69">
                    <w:rPr>
                      <w:rFonts w:ascii="Book Antiqua" w:hAnsi="Book Antiqua"/>
                      <w:sz w:val="24"/>
                      <w:szCs w:val="24"/>
                      <w:lang w:val="en-GB"/>
                    </w:rPr>
                    <w:t>(b)</w:t>
                  </w:r>
                </w:p>
              </w:tc>
              <w:tc>
                <w:tcPr>
                  <w:tcW w:w="0" w:type="auto"/>
                  <w:tcBorders>
                    <w:top w:val="nil"/>
                    <w:left w:val="nil"/>
                    <w:bottom w:val="nil"/>
                    <w:right w:val="nil"/>
                  </w:tcBorders>
                  <w:tcMar>
                    <w:top w:w="0" w:type="dxa"/>
                    <w:left w:w="150" w:type="dxa"/>
                    <w:bottom w:w="0" w:type="dxa"/>
                    <w:right w:w="0" w:type="dxa"/>
                  </w:tcMar>
                  <w:hideMark/>
                </w:tcPr>
                <w:p w:rsidR="000757C5" w:rsidRPr="00100B69" w:rsidRDefault="000757C5" w:rsidP="00170E5C">
                  <w:pPr>
                    <w:jc w:val="both"/>
                    <w:rPr>
                      <w:rFonts w:ascii="Book Antiqua" w:hAnsi="Book Antiqua"/>
                      <w:sz w:val="24"/>
                      <w:szCs w:val="24"/>
                      <w:lang w:val="en-GB"/>
                    </w:rPr>
                  </w:pPr>
                  <w:r w:rsidRPr="00100B69">
                    <w:rPr>
                      <w:rFonts w:ascii="Book Antiqua" w:hAnsi="Book Antiqua"/>
                      <w:sz w:val="24"/>
                      <w:szCs w:val="24"/>
                      <w:lang w:val="en-GB"/>
                    </w:rPr>
                    <w:t>falling within the jurisdiction of the courts contemplated in Article 162 (2)</w:t>
                  </w:r>
                </w:p>
              </w:tc>
            </w:tr>
          </w:tbl>
          <w:p w:rsidR="000757C5" w:rsidRPr="00100B69" w:rsidRDefault="000757C5" w:rsidP="00170E5C">
            <w:pPr>
              <w:jc w:val="both"/>
              <w:rPr>
                <w:rFonts w:ascii="Book Antiqua" w:hAnsi="Book Antiqua"/>
                <w:sz w:val="24"/>
                <w:szCs w:val="24"/>
                <w:lang w:val="en-GB"/>
              </w:rPr>
            </w:pPr>
          </w:p>
        </w:tc>
      </w:tr>
    </w:tbl>
    <w:p w:rsidR="000757C5" w:rsidRPr="00100B69" w:rsidRDefault="000757C5" w:rsidP="00170E5C">
      <w:pPr>
        <w:jc w:val="both"/>
        <w:rPr>
          <w:rFonts w:ascii="Book Antiqua" w:hAnsi="Book Antiqua"/>
          <w:sz w:val="24"/>
          <w:szCs w:val="24"/>
        </w:rPr>
      </w:pPr>
    </w:p>
    <w:p w:rsidR="005653E6" w:rsidRPr="00985A7B" w:rsidRDefault="00BE692A" w:rsidP="005653E6">
      <w:pPr>
        <w:pStyle w:val="ListParagraph"/>
        <w:numPr>
          <w:ilvl w:val="0"/>
          <w:numId w:val="3"/>
        </w:numPr>
        <w:spacing w:line="276" w:lineRule="auto"/>
        <w:ind w:left="360"/>
        <w:jc w:val="both"/>
        <w:rPr>
          <w:rFonts w:ascii="Book Antiqua" w:eastAsia="Times New Roman" w:hAnsi="Book Antiqua" w:cs="Times New Roman"/>
          <w:b/>
          <w:bCs/>
          <w:sz w:val="24"/>
          <w:szCs w:val="24"/>
          <w:u w:val="single"/>
          <w:lang w:val=""/>
        </w:rPr>
      </w:pPr>
      <w:r w:rsidRPr="00100B69">
        <w:rPr>
          <w:rFonts w:ascii="Book Antiqua" w:hAnsi="Book Antiqua"/>
          <w:sz w:val="24"/>
          <w:szCs w:val="24"/>
        </w:rPr>
        <w:lastRenderedPageBreak/>
        <w:t>The Court of Appeal</w:t>
      </w:r>
      <w:r w:rsidR="00C65A0C" w:rsidRPr="00100B69">
        <w:rPr>
          <w:rStyle w:val="FootnoteReference"/>
          <w:rFonts w:ascii="Book Antiqua" w:hAnsi="Book Antiqua"/>
          <w:sz w:val="24"/>
          <w:szCs w:val="24"/>
        </w:rPr>
        <w:footnoteReference w:id="10"/>
      </w:r>
      <w:r w:rsidRPr="00100B69">
        <w:rPr>
          <w:rFonts w:ascii="Book Antiqua" w:hAnsi="Book Antiqua"/>
          <w:sz w:val="24"/>
          <w:szCs w:val="24"/>
        </w:rPr>
        <w:t xml:space="preserve"> only has appellate jurisdiction; you cannot file a case for the first hearing in a court of appeal in Kenya. The </w:t>
      </w:r>
      <w:r w:rsidR="005E6EEB" w:rsidRPr="00100B69">
        <w:rPr>
          <w:rFonts w:ascii="Book Antiqua" w:hAnsi="Book Antiqua"/>
          <w:sz w:val="24"/>
          <w:szCs w:val="24"/>
        </w:rPr>
        <w:t xml:space="preserve">matter has to be an appeal. The </w:t>
      </w:r>
      <w:r w:rsidRPr="00100B69">
        <w:rPr>
          <w:rFonts w:ascii="Book Antiqua" w:hAnsi="Book Antiqua"/>
          <w:sz w:val="24"/>
          <w:szCs w:val="24"/>
        </w:rPr>
        <w:t xml:space="preserve">appellate jurisdiction of the court of appeal is also only limited to matters of fact. </w:t>
      </w:r>
    </w:p>
    <w:p w:rsidR="00170E5C" w:rsidRPr="00100B69" w:rsidRDefault="00170E5C" w:rsidP="00170E5C">
      <w:pPr>
        <w:spacing w:line="276" w:lineRule="auto"/>
        <w:ind w:left="360"/>
        <w:jc w:val="both"/>
        <w:rPr>
          <w:rFonts w:ascii="Book Antiqua" w:eastAsia="Times New Roman" w:hAnsi="Book Antiqua" w:cs="Times New Roman"/>
          <w:b/>
          <w:bCs/>
          <w:sz w:val="24"/>
          <w:szCs w:val="24"/>
          <w:u w:val="single"/>
          <w:lang w:val=""/>
        </w:rPr>
      </w:pPr>
    </w:p>
    <w:p w:rsidR="00170E5C" w:rsidRPr="00731B78" w:rsidRDefault="00170E5C" w:rsidP="00731B78">
      <w:pPr>
        <w:pStyle w:val="Heading2"/>
        <w:rPr>
          <w:rFonts w:eastAsia="Times New Roman"/>
          <w:b/>
          <w:bCs/>
          <w:lang w:val=""/>
        </w:rPr>
      </w:pPr>
      <w:bookmarkStart w:id="18" w:name="_Toc128375762"/>
      <w:bookmarkStart w:id="19" w:name="_Toc128982899"/>
      <w:r w:rsidRPr="00731B78">
        <w:rPr>
          <w:rFonts w:eastAsia="Times New Roman"/>
          <w:b/>
          <w:bCs/>
          <w:lang w:val=""/>
        </w:rPr>
        <w:t>Locus Standi</w:t>
      </w:r>
      <w:bookmarkEnd w:id="18"/>
      <w:bookmarkEnd w:id="19"/>
    </w:p>
    <w:p w:rsidR="00170E5C" w:rsidRPr="00100B69" w:rsidRDefault="00170E5C" w:rsidP="00170E5C">
      <w:pPr>
        <w:spacing w:line="276" w:lineRule="auto"/>
        <w:jc w:val="both"/>
        <w:rPr>
          <w:rFonts w:ascii="Book Antiqua" w:eastAsia="Times New Roman" w:hAnsi="Book Antiqua" w:cs="Times New Roman"/>
          <w:sz w:val="24"/>
          <w:szCs w:val="24"/>
          <w:lang w:val=""/>
        </w:rPr>
      </w:pPr>
      <w:r w:rsidRPr="00100B69">
        <w:rPr>
          <w:rFonts w:ascii="Book Antiqua" w:eastAsia="Times New Roman" w:hAnsi="Book Antiqua" w:cs="Times New Roman"/>
          <w:sz w:val="24"/>
          <w:szCs w:val="24"/>
          <w:lang w:val=""/>
        </w:rPr>
        <w:t>It can be defined as as authority/capacity and ability to institute suits before a Court of Law. Article 163(6) of the COK provides that the Supreme Court may give an advisory opinion at the request of the national government, any State Organ, or any county government with respect to any matter concerning county government.</w:t>
      </w:r>
      <w:r w:rsidRPr="00100B69">
        <w:rPr>
          <w:rFonts w:ascii="Book Antiqua" w:eastAsia="Times New Roman" w:hAnsi="Book Antiqua" w:cs="Times New Roman"/>
          <w:sz w:val="24"/>
          <w:szCs w:val="24"/>
          <w:vertAlign w:val="superscript"/>
          <w:lang w:val=""/>
        </w:rPr>
        <w:footnoteReference w:id="11"/>
      </w:r>
      <w:r w:rsidRPr="00100B69">
        <w:rPr>
          <w:rFonts w:ascii="Book Antiqua" w:eastAsia="Times New Roman" w:hAnsi="Book Antiqua" w:cs="Times New Roman"/>
          <w:sz w:val="24"/>
          <w:szCs w:val="24"/>
          <w:lang w:val=""/>
        </w:rPr>
        <w:t xml:space="preserve"> </w:t>
      </w:r>
    </w:p>
    <w:p w:rsidR="00716038" w:rsidRDefault="00170E5C" w:rsidP="00170E5C">
      <w:pPr>
        <w:spacing w:line="276" w:lineRule="auto"/>
        <w:jc w:val="both"/>
        <w:rPr>
          <w:rFonts w:ascii="Book Antiqua" w:eastAsia="Times New Roman" w:hAnsi="Book Antiqua" w:cs="Times New Roman"/>
          <w:sz w:val="24"/>
          <w:szCs w:val="24"/>
          <w:lang w:val=""/>
        </w:rPr>
      </w:pPr>
      <w:r w:rsidRPr="00100B69">
        <w:rPr>
          <w:rFonts w:ascii="Book Antiqua" w:eastAsia="Times New Roman" w:hAnsi="Book Antiqua" w:cs="Times New Roman"/>
          <w:sz w:val="24"/>
          <w:szCs w:val="24"/>
          <w:lang w:val=""/>
        </w:rPr>
        <w:t>From the foregoing, the persons with locus to approach the Supreme Court for an advisory opinion have been outrightly stated, an individual cannot therefore purport to move the apex Court for the same without being within the espoused bracket.</w:t>
      </w:r>
    </w:p>
    <w:p w:rsidR="00111C25" w:rsidRDefault="00111C25" w:rsidP="00111C25">
      <w:pPr>
        <w:spacing w:line="276" w:lineRule="auto"/>
        <w:jc w:val="both"/>
        <w:rPr>
          <w:rFonts w:ascii="Book Antiqua" w:eastAsia="Times New Roman" w:hAnsi="Book Antiqua" w:cs="Times New Roman"/>
          <w:sz w:val="24"/>
          <w:szCs w:val="24"/>
          <w:lang w:val=""/>
        </w:rPr>
      </w:pPr>
    </w:p>
    <w:p w:rsidR="00716038" w:rsidRPr="00111C25" w:rsidRDefault="00111C25" w:rsidP="000006BB">
      <w:pPr>
        <w:pStyle w:val="Heading3"/>
        <w:rPr>
          <w:rFonts w:eastAsia="Times New Roman"/>
          <w:lang w:val=""/>
        </w:rPr>
      </w:pPr>
      <w:bookmarkStart w:id="20" w:name="_Toc128982900"/>
      <w:r w:rsidRPr="00111C25">
        <w:rPr>
          <w:rFonts w:eastAsia="Times New Roman"/>
          <w:lang w:val=""/>
        </w:rPr>
        <w:t>Conclusion</w:t>
      </w:r>
      <w:bookmarkEnd w:id="20"/>
      <w:r w:rsidR="00716038" w:rsidRPr="00111C25">
        <w:rPr>
          <w:rFonts w:eastAsia="Times New Roman"/>
          <w:i/>
          <w:iCs/>
          <w:lang w:val=""/>
        </w:rPr>
        <w:t xml:space="preserve"> </w:t>
      </w:r>
    </w:p>
    <w:p w:rsidR="00F35D30" w:rsidRDefault="00716038" w:rsidP="00F35D30">
      <w:pPr>
        <w:spacing w:line="276" w:lineRule="auto"/>
        <w:rPr>
          <w:rFonts w:ascii="Book Antiqua" w:eastAsia="Times New Roman" w:hAnsi="Book Antiqua" w:cs="Times New Roman"/>
          <w:sz w:val="24"/>
          <w:szCs w:val="24"/>
          <w:lang w:val=""/>
        </w:rPr>
      </w:pPr>
      <w:r w:rsidRPr="00716038">
        <w:rPr>
          <w:rFonts w:ascii="Book Antiqua" w:eastAsia="Times New Roman" w:hAnsi="Book Antiqua" w:cs="Times New Roman"/>
          <w:sz w:val="24"/>
          <w:szCs w:val="24"/>
          <w:lang w:val=""/>
        </w:rPr>
        <w:t>Whilst the above factors</w:t>
      </w:r>
      <w:r w:rsidR="005E16E1">
        <w:rPr>
          <w:rFonts w:ascii="Book Antiqua" w:eastAsia="Times New Roman" w:hAnsi="Book Antiqua" w:cs="Times New Roman"/>
          <w:sz w:val="24"/>
          <w:szCs w:val="24"/>
          <w:lang w:val=""/>
        </w:rPr>
        <w:t xml:space="preserve"> </w:t>
      </w:r>
      <w:r w:rsidRPr="00716038">
        <w:rPr>
          <w:rFonts w:ascii="Book Antiqua" w:eastAsia="Times New Roman" w:hAnsi="Book Antiqua" w:cs="Times New Roman"/>
          <w:sz w:val="24"/>
          <w:szCs w:val="24"/>
          <w:lang w:val=""/>
        </w:rPr>
        <w:t>limit jurisdiction expressly</w:t>
      </w:r>
      <w:r w:rsidR="005E16E1">
        <w:rPr>
          <w:rFonts w:ascii="Book Antiqua" w:eastAsia="Times New Roman" w:hAnsi="Book Antiqua" w:cs="Times New Roman"/>
          <w:sz w:val="24"/>
          <w:szCs w:val="24"/>
          <w:lang w:val=""/>
        </w:rPr>
        <w:t xml:space="preserve">, the doctrine of </w:t>
      </w:r>
      <w:r w:rsidR="00FC7EF5">
        <w:rPr>
          <w:rFonts w:ascii="Book Antiqua" w:eastAsia="Times New Roman" w:hAnsi="Book Antiqua" w:cs="Times New Roman"/>
          <w:sz w:val="24"/>
          <w:szCs w:val="24"/>
          <w:lang w:val=""/>
        </w:rPr>
        <w:t xml:space="preserve">Statutory </w:t>
      </w:r>
      <w:r w:rsidR="005E16E1">
        <w:rPr>
          <w:rFonts w:ascii="Book Antiqua" w:eastAsia="Times New Roman" w:hAnsi="Book Antiqua" w:cs="Times New Roman"/>
          <w:sz w:val="24"/>
          <w:szCs w:val="24"/>
          <w:lang w:val=""/>
        </w:rPr>
        <w:t>limitation</w:t>
      </w:r>
      <w:r w:rsidRPr="00716038">
        <w:rPr>
          <w:rFonts w:ascii="Book Antiqua" w:eastAsia="Times New Roman" w:hAnsi="Book Antiqua" w:cs="Times New Roman"/>
          <w:sz w:val="24"/>
          <w:szCs w:val="24"/>
          <w:lang w:val=""/>
        </w:rPr>
        <w:t xml:space="preserve"> </w:t>
      </w:r>
      <w:r>
        <w:rPr>
          <w:rFonts w:ascii="Book Antiqua" w:eastAsia="Times New Roman" w:hAnsi="Book Antiqua" w:cs="Times New Roman"/>
          <w:sz w:val="24"/>
          <w:szCs w:val="24"/>
          <w:lang w:val=""/>
        </w:rPr>
        <w:t xml:space="preserve">is one that the law provides under </w:t>
      </w:r>
      <w:r w:rsidR="00111C25">
        <w:rPr>
          <w:rFonts w:ascii="Book Antiqua" w:eastAsia="Times New Roman" w:hAnsi="Book Antiqua" w:cs="Times New Roman"/>
          <w:sz w:val="24"/>
          <w:szCs w:val="24"/>
          <w:lang w:val=""/>
        </w:rPr>
        <w:t>L</w:t>
      </w:r>
      <w:r>
        <w:rPr>
          <w:rFonts w:ascii="Book Antiqua" w:eastAsia="Times New Roman" w:hAnsi="Book Antiqua" w:cs="Times New Roman"/>
          <w:sz w:val="24"/>
          <w:szCs w:val="24"/>
          <w:lang w:val=""/>
        </w:rPr>
        <w:t xml:space="preserve">imitation of Actions </w:t>
      </w:r>
      <w:r w:rsidR="00111C25">
        <w:rPr>
          <w:rFonts w:ascii="Book Antiqua" w:eastAsia="Times New Roman" w:hAnsi="Book Antiqua" w:cs="Times New Roman"/>
          <w:sz w:val="24"/>
          <w:szCs w:val="24"/>
          <w:lang w:val=""/>
        </w:rPr>
        <w:t>Act</w:t>
      </w:r>
      <w:r w:rsidR="00BA50B4">
        <w:rPr>
          <w:rFonts w:ascii="Book Antiqua" w:eastAsia="Times New Roman" w:hAnsi="Book Antiqua" w:cs="Times New Roman"/>
          <w:sz w:val="24"/>
          <w:szCs w:val="24"/>
          <w:lang w:val=""/>
        </w:rPr>
        <w:t>, CAP 22,</w:t>
      </w:r>
      <w:r w:rsidR="00111C25">
        <w:rPr>
          <w:rFonts w:ascii="Book Antiqua" w:eastAsia="Times New Roman" w:hAnsi="Book Antiqua" w:cs="Times New Roman"/>
          <w:sz w:val="24"/>
          <w:szCs w:val="24"/>
          <w:lang w:val=""/>
        </w:rPr>
        <w:t xml:space="preserve"> </w:t>
      </w:r>
      <w:r>
        <w:rPr>
          <w:rFonts w:ascii="Book Antiqua" w:eastAsia="Times New Roman" w:hAnsi="Book Antiqua" w:cs="Times New Roman"/>
          <w:sz w:val="24"/>
          <w:szCs w:val="24"/>
          <w:lang w:val=""/>
        </w:rPr>
        <w:t xml:space="preserve">to limit certain </w:t>
      </w:r>
      <w:r w:rsidR="00BA50B4">
        <w:rPr>
          <w:rFonts w:ascii="Book Antiqua" w:eastAsia="Times New Roman" w:hAnsi="Book Antiqua" w:cs="Times New Roman"/>
          <w:sz w:val="24"/>
          <w:szCs w:val="24"/>
          <w:lang w:val=""/>
        </w:rPr>
        <w:t>legal actions</w:t>
      </w:r>
      <w:r>
        <w:rPr>
          <w:rFonts w:ascii="Book Antiqua" w:eastAsia="Times New Roman" w:hAnsi="Book Antiqua" w:cs="Times New Roman"/>
          <w:sz w:val="24"/>
          <w:szCs w:val="24"/>
          <w:lang w:val=""/>
        </w:rPr>
        <w:t xml:space="preserve"> in the event </w:t>
      </w:r>
      <w:r w:rsidR="00111C25">
        <w:rPr>
          <w:rFonts w:ascii="Book Antiqua" w:eastAsia="Times New Roman" w:hAnsi="Book Antiqua" w:cs="Times New Roman"/>
          <w:sz w:val="24"/>
          <w:szCs w:val="24"/>
          <w:lang w:val=""/>
        </w:rPr>
        <w:t>a suit is filed out of the stipulated sta</w:t>
      </w:r>
      <w:r w:rsidR="00D551C0">
        <w:rPr>
          <w:rFonts w:ascii="Book Antiqua" w:eastAsia="Times New Roman" w:hAnsi="Book Antiqua" w:cs="Times New Roman"/>
          <w:sz w:val="24"/>
          <w:szCs w:val="24"/>
          <w:lang w:val=""/>
        </w:rPr>
        <w:t>t</w:t>
      </w:r>
      <w:r w:rsidR="00111C25">
        <w:rPr>
          <w:rFonts w:ascii="Book Antiqua" w:eastAsia="Times New Roman" w:hAnsi="Book Antiqua" w:cs="Times New Roman"/>
          <w:sz w:val="24"/>
          <w:szCs w:val="24"/>
          <w:lang w:val=""/>
        </w:rPr>
        <w:t>utory time. Courts have pronounced their position on the same in a number of cases.</w:t>
      </w:r>
      <w:r w:rsidR="00FC7EF5">
        <w:rPr>
          <w:rFonts w:ascii="Book Antiqua" w:eastAsia="Times New Roman" w:hAnsi="Book Antiqua" w:cs="Times New Roman"/>
          <w:sz w:val="24"/>
          <w:szCs w:val="24"/>
          <w:lang w:val=""/>
        </w:rPr>
        <w:t xml:space="preserve"> </w:t>
      </w:r>
      <w:r w:rsidR="00F35D30" w:rsidRPr="00F35D30">
        <w:rPr>
          <w:rFonts w:ascii="Book Antiqua" w:eastAsia="Times New Roman" w:hAnsi="Book Antiqua" w:cs="Times New Roman"/>
          <w:sz w:val="24"/>
          <w:szCs w:val="24"/>
        </w:rPr>
        <w:t xml:space="preserve">The learned Judge drawing from the Court of Appeal precedent </w:t>
      </w:r>
      <w:r w:rsidR="00F35D30" w:rsidRPr="00F35D30">
        <w:rPr>
          <w:rFonts w:ascii="Book Antiqua" w:eastAsia="Times New Roman" w:hAnsi="Book Antiqua" w:cs="Times New Roman"/>
          <w:b/>
          <w:bCs/>
          <w:i/>
          <w:iCs/>
          <w:sz w:val="24"/>
          <w:szCs w:val="24"/>
        </w:rPr>
        <w:t>in Owners and Masters of The Motor Vessel “Joey” vs. Owners and Masters of The Motor Tugs “Barbara” and “Steve B” [2008] 1 EA 367</w:t>
      </w:r>
      <w:r w:rsidR="00F35D30" w:rsidRPr="00F35D30">
        <w:rPr>
          <w:rFonts w:ascii="Book Antiqua" w:eastAsia="Times New Roman" w:hAnsi="Book Antiqua" w:cs="Times New Roman"/>
          <w:b/>
          <w:bCs/>
          <w:sz w:val="24"/>
          <w:szCs w:val="24"/>
        </w:rPr>
        <w:t xml:space="preserve"> stated thus:</w:t>
      </w:r>
    </w:p>
    <w:p w:rsidR="00F35D30" w:rsidRPr="0039619E" w:rsidRDefault="00F35D30" w:rsidP="00F35D30">
      <w:pPr>
        <w:spacing w:line="276" w:lineRule="auto"/>
        <w:rPr>
          <w:rFonts w:ascii="Book Antiqua" w:eastAsia="Times New Roman" w:hAnsi="Book Antiqua"/>
          <w:sz w:val="24"/>
          <w:szCs w:val="24"/>
          <w:lang w:val="en-GB"/>
        </w:rPr>
      </w:pPr>
      <w:r w:rsidRPr="0039619E">
        <w:rPr>
          <w:rFonts w:ascii="Book Antiqua" w:eastAsia="Times New Roman" w:hAnsi="Book Antiqua" w:cs="Times New Roman"/>
          <w:sz w:val="24"/>
          <w:szCs w:val="24"/>
          <w:lang w:val=""/>
        </w:rPr>
        <w:t>“</w:t>
      </w:r>
      <w:r w:rsidRPr="0039619E">
        <w:rPr>
          <w:rFonts w:ascii="Book Antiqua" w:eastAsia="Times New Roman" w:hAnsi="Book Antiqua"/>
          <w:sz w:val="24"/>
          <w:szCs w:val="24"/>
          <w:lang w:val="en-GB"/>
        </w:rPr>
        <w:t>25. What I understand the Court to have been saying is</w:t>
      </w:r>
      <w:r w:rsidRPr="0039619E">
        <w:rPr>
          <w:rFonts w:ascii="Book Antiqua" w:eastAsia="Times New Roman" w:hAnsi="Book Antiqua"/>
          <w:b/>
          <w:bCs/>
          <w:sz w:val="24"/>
          <w:szCs w:val="24"/>
          <w:lang w:val="en-GB"/>
        </w:rPr>
        <w:t xml:space="preserve"> </w:t>
      </w:r>
      <w:r w:rsidRPr="0039619E">
        <w:rPr>
          <w:rFonts w:ascii="Book Antiqua" w:eastAsia="Times New Roman" w:hAnsi="Book Antiqua"/>
          <w:sz w:val="24"/>
          <w:szCs w:val="24"/>
          <w:lang w:val="en-GB"/>
        </w:rPr>
        <w:t>that it is not mandatory that an issue of jurisdiction must be raised by the parties. The Court on its own motion can take up the issue and make a determination thereon without the same being pleaded</w:t>
      </w:r>
      <w:r w:rsidRPr="0039619E">
        <w:rPr>
          <w:rFonts w:ascii="Book Antiqua" w:eastAsia="Times New Roman" w:hAnsi="Book Antiqua"/>
          <w:b/>
          <w:bCs/>
          <w:sz w:val="24"/>
          <w:szCs w:val="24"/>
          <w:lang w:val="en-GB"/>
        </w:rPr>
        <w:t>…” (Emphasis supplied)</w:t>
      </w:r>
    </w:p>
    <w:p w:rsidR="00F35D30" w:rsidRPr="00F35D30" w:rsidRDefault="00F35D30" w:rsidP="00F35D30">
      <w:pPr>
        <w:spacing w:line="276" w:lineRule="auto"/>
        <w:jc w:val="both"/>
        <w:rPr>
          <w:rFonts w:ascii="Book Antiqua" w:eastAsia="Times New Roman" w:hAnsi="Book Antiqua" w:cs="Times New Roman"/>
          <w:sz w:val="24"/>
          <w:szCs w:val="24"/>
          <w:lang w:val="en-GB"/>
        </w:rPr>
      </w:pPr>
      <w:r w:rsidRPr="00F35D30">
        <w:rPr>
          <w:rFonts w:ascii="Book Antiqua" w:eastAsia="Times New Roman" w:hAnsi="Book Antiqua" w:cs="Times New Roman"/>
          <w:sz w:val="24"/>
          <w:szCs w:val="24"/>
          <w:lang w:val="en-GB"/>
        </w:rPr>
        <w:t> We fortify that view by quoting yet another passage from the East African Court of Appeal in the matter of </w:t>
      </w:r>
      <w:proofErr w:type="spellStart"/>
      <w:r w:rsidRPr="00F35D30">
        <w:rPr>
          <w:rFonts w:ascii="Book Antiqua" w:eastAsia="Times New Roman" w:hAnsi="Book Antiqua" w:cs="Times New Roman"/>
          <w:sz w:val="24"/>
          <w:szCs w:val="24"/>
          <w:u w:val="single"/>
          <w:lang w:val="en-GB"/>
        </w:rPr>
        <w:t>Iga</w:t>
      </w:r>
      <w:proofErr w:type="spellEnd"/>
      <w:r w:rsidRPr="00F35D30">
        <w:rPr>
          <w:rFonts w:ascii="Book Antiqua" w:eastAsia="Times New Roman" w:hAnsi="Book Antiqua" w:cs="Times New Roman"/>
          <w:sz w:val="24"/>
          <w:szCs w:val="24"/>
          <w:u w:val="single"/>
          <w:lang w:val="en-GB"/>
        </w:rPr>
        <w:t xml:space="preserve"> V. Makerere University</w:t>
      </w:r>
      <w:r w:rsidRPr="00F35D30">
        <w:rPr>
          <w:rFonts w:ascii="Book Antiqua" w:eastAsia="Times New Roman" w:hAnsi="Book Antiqua" w:cs="Times New Roman"/>
          <w:sz w:val="24"/>
          <w:szCs w:val="24"/>
          <w:lang w:val="en-GB"/>
        </w:rPr>
        <w:t> (1972) E.A 62, where it was stated that;</w:t>
      </w:r>
    </w:p>
    <w:p w:rsidR="00F35D30" w:rsidRPr="00F35D30" w:rsidRDefault="00F35D30" w:rsidP="00F35D30">
      <w:pPr>
        <w:spacing w:line="276" w:lineRule="auto"/>
        <w:jc w:val="both"/>
        <w:rPr>
          <w:rFonts w:ascii="Book Antiqua" w:eastAsia="Times New Roman" w:hAnsi="Book Antiqua" w:cs="Times New Roman"/>
          <w:sz w:val="24"/>
          <w:szCs w:val="24"/>
          <w:lang w:val="en-GB"/>
        </w:rPr>
      </w:pPr>
      <w:r w:rsidRPr="00F35D30">
        <w:rPr>
          <w:rFonts w:ascii="Book Antiqua" w:eastAsia="Times New Roman" w:hAnsi="Book Antiqua" w:cs="Times New Roman"/>
          <w:sz w:val="24"/>
          <w:szCs w:val="24"/>
          <w:lang w:val="en-GB"/>
        </w:rPr>
        <w:t> “The limitation Act does not extinguish a suit or action itself, but operates to bar the claim or remedy sought for and when a suit is time-barred, the court cannot grant the remedy or relief……. The effect then is that if a suit is brought after the expiration of the period of limitation, </w:t>
      </w:r>
      <w:r w:rsidRPr="00F35D30">
        <w:rPr>
          <w:rFonts w:ascii="Book Antiqua" w:eastAsia="Times New Roman" w:hAnsi="Book Antiqua" w:cs="Times New Roman"/>
          <w:sz w:val="24"/>
          <w:szCs w:val="24"/>
          <w:u w:val="single"/>
          <w:lang w:val="en-GB"/>
        </w:rPr>
        <w:t>and this is apparent from the plaint,</w:t>
      </w:r>
      <w:r w:rsidRPr="00F35D30">
        <w:rPr>
          <w:rFonts w:ascii="Book Antiqua" w:eastAsia="Times New Roman" w:hAnsi="Book Antiqua" w:cs="Times New Roman"/>
          <w:sz w:val="24"/>
          <w:szCs w:val="24"/>
          <w:lang w:val="en-GB"/>
        </w:rPr>
        <w:t xml:space="preserve"> and no grounds of exemption </w:t>
      </w:r>
      <w:r w:rsidRPr="00F35D30">
        <w:rPr>
          <w:rFonts w:ascii="Book Antiqua" w:eastAsia="Times New Roman" w:hAnsi="Book Antiqua" w:cs="Times New Roman"/>
          <w:sz w:val="24"/>
          <w:szCs w:val="24"/>
          <w:lang w:val="en-GB"/>
        </w:rPr>
        <w:lastRenderedPageBreak/>
        <w:t>are shown in the plaint, the plaint must be rejected.” (Our emphasis). The learned Judge in this appeal, no doubt did not err when she determined whether, by operation of the law, she had to down tools for want of jurisdiction.”</w:t>
      </w:r>
    </w:p>
    <w:p w:rsidR="00985A7B" w:rsidRPr="00100B69" w:rsidRDefault="00985A7B" w:rsidP="00716038">
      <w:pPr>
        <w:spacing w:line="276" w:lineRule="auto"/>
        <w:jc w:val="both"/>
        <w:rPr>
          <w:rFonts w:ascii="Book Antiqua" w:eastAsia="Times New Roman" w:hAnsi="Book Antiqua" w:cs="Times New Roman"/>
          <w:sz w:val="24"/>
          <w:szCs w:val="24"/>
          <w:lang w:val=""/>
        </w:rPr>
      </w:pPr>
    </w:p>
    <w:p w:rsidR="00F07C1C" w:rsidRPr="00100B69" w:rsidRDefault="00F07C1C" w:rsidP="00170E5C">
      <w:pPr>
        <w:spacing w:line="276" w:lineRule="auto"/>
        <w:jc w:val="both"/>
        <w:rPr>
          <w:rFonts w:ascii="Book Antiqua" w:eastAsia="Times New Roman" w:hAnsi="Book Antiqua" w:cs="Times New Roman"/>
          <w:sz w:val="24"/>
          <w:szCs w:val="24"/>
          <w:lang w:val=""/>
        </w:rPr>
      </w:pPr>
    </w:p>
    <w:p w:rsidR="00443C64" w:rsidRPr="00443C64" w:rsidRDefault="008C6CD5" w:rsidP="00443C64">
      <w:pPr>
        <w:pStyle w:val="Heading1"/>
        <w:rPr>
          <w:rFonts w:eastAsia="Times New Roman"/>
          <w:b/>
          <w:bCs/>
        </w:rPr>
      </w:pPr>
      <w:bookmarkStart w:id="21" w:name="_Toc128375763"/>
      <w:bookmarkStart w:id="22" w:name="_Toc128982901"/>
      <w:r w:rsidRPr="00443C64">
        <w:rPr>
          <w:rFonts w:eastAsia="Times New Roman"/>
          <w:b/>
          <w:bCs/>
        </w:rPr>
        <w:t xml:space="preserve">SECTION 2: </w:t>
      </w:r>
      <w:r w:rsidR="00443C64" w:rsidRPr="00443C64">
        <w:rPr>
          <w:rFonts w:eastAsia="Times New Roman"/>
          <w:b/>
          <w:bCs/>
        </w:rPr>
        <w:t>QUESTION 2</w:t>
      </w:r>
      <w:bookmarkEnd w:id="21"/>
      <w:bookmarkEnd w:id="22"/>
    </w:p>
    <w:p w:rsidR="00F07C1C" w:rsidRPr="00F07C1C" w:rsidRDefault="00F07C1C" w:rsidP="00F07C1C">
      <w:pPr>
        <w:spacing w:line="276" w:lineRule="auto"/>
        <w:jc w:val="both"/>
        <w:rPr>
          <w:rFonts w:ascii="Book Antiqua" w:eastAsia="Times New Roman" w:hAnsi="Book Antiqua" w:cs="Times New Roman"/>
          <w:b/>
          <w:bCs/>
          <w:sz w:val="24"/>
          <w:szCs w:val="24"/>
        </w:rPr>
      </w:pPr>
      <w:r w:rsidRPr="00F07C1C">
        <w:rPr>
          <w:rFonts w:ascii="Book Antiqua" w:eastAsia="Times New Roman" w:hAnsi="Book Antiqua" w:cs="Times New Roman"/>
          <w:b/>
          <w:bCs/>
          <w:sz w:val="24"/>
          <w:szCs w:val="24"/>
        </w:rPr>
        <w:t>Mpenda Kesi has had a long running dispute with a bank. The dispute dates way back to the year 2000 when he took a loan which was secured by a charge over his property. Mpenda Kesi defaulted on the loan and the bank eventually sold the property. The sale resulted in the court dispute. On 11</w:t>
      </w:r>
      <w:r w:rsidRPr="00F07C1C">
        <w:rPr>
          <w:rFonts w:ascii="Book Antiqua" w:eastAsia="Times New Roman" w:hAnsi="Book Antiqua" w:cs="Times New Roman"/>
          <w:b/>
          <w:bCs/>
          <w:sz w:val="24"/>
          <w:szCs w:val="24"/>
          <w:vertAlign w:val="superscript"/>
        </w:rPr>
        <w:t>th</w:t>
      </w:r>
      <w:r w:rsidRPr="00F07C1C">
        <w:rPr>
          <w:rFonts w:ascii="Book Antiqua" w:eastAsia="Times New Roman" w:hAnsi="Book Antiqua" w:cs="Times New Roman"/>
          <w:b/>
          <w:bCs/>
          <w:sz w:val="24"/>
          <w:szCs w:val="24"/>
        </w:rPr>
        <w:t xml:space="preserve"> October 2022, the Court of appeal delivered a verdict on an appeal that had been filed by Mpenda Kesi challenging a High Court decision that upheld the sale by the Bank. During the hearing of the Appeal at the Court of Appeal, the Court only gave Mpenda Kesi three minutes to submit which he feels was not enough. When he lost the appeal, he sought leave to appeal to the Supreme Court from both the Court of Appeal and the Supreme Court. Both Courts denied him the leave. </w:t>
      </w:r>
    </w:p>
    <w:p w:rsidR="00F07C1C" w:rsidRPr="00F07C1C" w:rsidRDefault="00F07C1C" w:rsidP="00F07C1C">
      <w:pPr>
        <w:spacing w:line="276" w:lineRule="auto"/>
        <w:jc w:val="both"/>
        <w:rPr>
          <w:rFonts w:ascii="Book Antiqua" w:eastAsia="Times New Roman" w:hAnsi="Book Antiqua" w:cs="Times New Roman"/>
          <w:b/>
          <w:bCs/>
          <w:sz w:val="24"/>
          <w:szCs w:val="24"/>
        </w:rPr>
      </w:pPr>
    </w:p>
    <w:p w:rsidR="00F07C1C" w:rsidRPr="00F07C1C" w:rsidRDefault="00F07C1C" w:rsidP="00F07C1C">
      <w:pPr>
        <w:spacing w:line="276" w:lineRule="auto"/>
        <w:jc w:val="both"/>
        <w:rPr>
          <w:rFonts w:ascii="Book Antiqua" w:eastAsia="Times New Roman" w:hAnsi="Book Antiqua" w:cs="Times New Roman"/>
          <w:b/>
          <w:bCs/>
          <w:sz w:val="24"/>
          <w:szCs w:val="24"/>
        </w:rPr>
      </w:pPr>
      <w:r w:rsidRPr="00F07C1C">
        <w:rPr>
          <w:rFonts w:ascii="Book Antiqua" w:eastAsia="Times New Roman" w:hAnsi="Book Antiqua" w:cs="Times New Roman"/>
          <w:b/>
          <w:bCs/>
          <w:sz w:val="24"/>
          <w:szCs w:val="24"/>
        </w:rPr>
        <w:t xml:space="preserve">Mpenda Kesi now feels that the Court of Appeal infringed on his right to fair administrative action by not allowing him enough time to ventilate his appeal. He strongly feels that he should file a Judicial Review application before the High Court on the said ground. He is however open to advice and he has approached you for advice. Advice him. </w:t>
      </w:r>
    </w:p>
    <w:p w:rsidR="00F07C1C" w:rsidRPr="00100B69" w:rsidRDefault="00F07C1C" w:rsidP="00170E5C">
      <w:pPr>
        <w:spacing w:line="276" w:lineRule="auto"/>
        <w:jc w:val="both"/>
        <w:rPr>
          <w:rFonts w:ascii="Book Antiqua" w:eastAsia="Times New Roman" w:hAnsi="Book Antiqua" w:cs="Times New Roman"/>
          <w:sz w:val="24"/>
          <w:szCs w:val="24"/>
          <w:lang w:val=""/>
        </w:rPr>
      </w:pPr>
    </w:p>
    <w:p w:rsidR="00D958E3" w:rsidRPr="00D958E3" w:rsidRDefault="00D958E3" w:rsidP="00D958E3">
      <w:pPr>
        <w:pStyle w:val="Heading2"/>
        <w:rPr>
          <w:rFonts w:eastAsia="Times New Roman"/>
          <w:b/>
          <w:bCs/>
          <w:lang w:val="en-GB"/>
        </w:rPr>
      </w:pPr>
      <w:bookmarkStart w:id="23" w:name="_Toc128982902"/>
      <w:r w:rsidRPr="00D958E3">
        <w:rPr>
          <w:rFonts w:eastAsia="Times New Roman"/>
          <w:b/>
          <w:bCs/>
          <w:lang w:val="en-GB"/>
        </w:rPr>
        <w:t>Background</w:t>
      </w:r>
      <w:bookmarkEnd w:id="23"/>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The dispute between Mpenda Kesi and the bank dates back to the year 2000 when he took a loan which was secured by a charge over his property. Mpenda Kesi defaulted on the loan and the bank eventually sold the property. The sale resulted in a court dispute, which culminated in an appeal before the Court of Appeal. During the hearing of the appeal, the court only gave Mpenda Kesi three minutes to submit, which he feels was not enough. When he lost the appeal, he sought leave to appeal to the Supreme Court from both the Court of Appeal and the Supreme Court. Both courts denied him leave.</w:t>
      </w:r>
    </w:p>
    <w:p w:rsidR="00D958E3" w:rsidRPr="00D958E3" w:rsidRDefault="00D958E3" w:rsidP="00D958E3">
      <w:pPr>
        <w:pStyle w:val="Heading2"/>
        <w:rPr>
          <w:rFonts w:eastAsia="Times New Roman"/>
          <w:b/>
          <w:bCs/>
          <w:lang w:val="en-GB"/>
        </w:rPr>
      </w:pPr>
      <w:bookmarkStart w:id="24" w:name="_Toc128982903"/>
      <w:r w:rsidRPr="00D958E3">
        <w:rPr>
          <w:rFonts w:eastAsia="Times New Roman"/>
          <w:b/>
          <w:bCs/>
          <w:lang w:val="en-GB"/>
        </w:rPr>
        <w:t>Judicial Review</w:t>
      </w:r>
      <w:bookmarkEnd w:id="24"/>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 xml:space="preserve">Judicial review is a process by which the High Court supervises the decision-making processes of public bodies and ensures that their actions are lawful and within their </w:t>
      </w:r>
      <w:r w:rsidRPr="00D958E3">
        <w:rPr>
          <w:rFonts w:ascii="Book Antiqua" w:eastAsia="Times New Roman" w:hAnsi="Book Antiqua" w:cs="Times New Roman"/>
          <w:sz w:val="24"/>
          <w:szCs w:val="24"/>
          <w:lang w:val="en-GB"/>
        </w:rPr>
        <w:lastRenderedPageBreak/>
        <w:t>jurisdiction. The High Court has jurisdiction to hear judicial review applications under Article 165 (3) (d) of the Constitution of Kenya, 2010. Judicial review is not an appeal but a process to ensure that the decision-making process was conducted fairly and in accordance with the law.</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The grounds for judicial review are set out in Order 53 of the Civil Procedure Rules, which includes illegality, irrationality, procedural impropriety, and breach of natural justice. In Mpenda Kesi's case, he is alleging a breach of natural justice, specifically the right to a fair hearing.</w:t>
      </w:r>
    </w:p>
    <w:p w:rsidR="00D958E3" w:rsidRPr="00D958E3" w:rsidRDefault="00D958E3" w:rsidP="00D958E3">
      <w:pPr>
        <w:pStyle w:val="Heading2"/>
        <w:rPr>
          <w:rFonts w:eastAsia="Times New Roman"/>
          <w:b/>
          <w:bCs/>
          <w:lang w:val="en-GB"/>
        </w:rPr>
      </w:pPr>
      <w:bookmarkStart w:id="25" w:name="_Toc128982904"/>
      <w:r w:rsidRPr="00D958E3">
        <w:rPr>
          <w:rFonts w:eastAsia="Times New Roman"/>
          <w:b/>
          <w:bCs/>
          <w:lang w:val="en-GB"/>
        </w:rPr>
        <w:t>Right to Fair Hearing</w:t>
      </w:r>
      <w:bookmarkEnd w:id="25"/>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The right to a fair hearing is a fundamental human right recognized under Article 50 (1) of the Constitution of Kenya, 2010. The right to a fair hearing is not limited to criminal proceedings but also extends to civil proceedings. The right to a fair hearing includes the right to be heard, the right to be informed of the case against one, the right to adduce evidence, and the right to have a reasoned decision.</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In Mpenda Kesi's case, he alleges that the Court of Appeal infringed on his right to a fair hearing by not allowing him enough time to ventilate his appeal. This is a breach of natural justice, which is a ground for judicial review.</w:t>
      </w:r>
    </w:p>
    <w:p w:rsidR="00D958E3" w:rsidRPr="00D958E3" w:rsidRDefault="00D958E3" w:rsidP="00D958E3">
      <w:pPr>
        <w:pStyle w:val="Heading2"/>
        <w:rPr>
          <w:rFonts w:eastAsia="Times New Roman"/>
          <w:b/>
          <w:bCs/>
          <w:lang w:val="en-GB"/>
        </w:rPr>
      </w:pPr>
      <w:bookmarkStart w:id="26" w:name="_Toc128982905"/>
      <w:r w:rsidRPr="00D958E3">
        <w:rPr>
          <w:rFonts w:eastAsia="Times New Roman"/>
          <w:b/>
          <w:bCs/>
          <w:lang w:val="en-GB"/>
        </w:rPr>
        <w:t>Case Law</w:t>
      </w:r>
      <w:bookmarkEnd w:id="26"/>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The case law in Kenya has consistently held that the right to a fair hearing is a fundamental human right that cannot be ignored. In the case of Republic v. Independent Electoral and Boundaries Commission Ex-parte Njonjo Mue &amp; 2 others [2017] eKLR, the court held that the right to a fair hearing is sacrosanct and that any infringement of this right is not only unlawful but also unconstitutional. The court further held that where a party alleges a breach of the right to a fair hearing, the court must investigate and determine whether such a breach occurred.</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In the case of David Gitau Ngari v. Attorney General &amp; 3 others [2015] eKLR, the court held that the right to a fair hearing is not only a procedural requirement but also a substantive requirement. The court further held that the right to a fair hearing requires that a party be given adequate time to present their case, and any infringement of this right would amount to a breach of natural justice.</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 xml:space="preserve">In </w:t>
      </w:r>
      <w:r w:rsidRPr="00D958E3">
        <w:rPr>
          <w:rFonts w:ascii="Book Antiqua" w:eastAsia="Times New Roman" w:hAnsi="Book Antiqua" w:cs="Times New Roman"/>
          <w:sz w:val="24"/>
          <w:szCs w:val="24"/>
          <w:lang w:val="en-GB"/>
        </w:rPr>
        <w:t>the case of Republic v Kenya Revenue Authority Ex parte Asea Food Supplies Ltd &amp; 5 others [2015] eKLR, where the High Court held that "the right to be heard is a fundamental principle of natural justice and fair administrative action." The court further held that "the hearing must be adequate in the sense that the party concerned must be allowed to put forward their case and any evidence they may have to support it."</w:t>
      </w:r>
    </w:p>
    <w:p w:rsidR="00D958E3" w:rsidRPr="00D958E3" w:rsidRDefault="00D958E3" w:rsidP="00D958E3">
      <w:pPr>
        <w:spacing w:line="276" w:lineRule="auto"/>
        <w:jc w:val="both"/>
        <w:rPr>
          <w:rFonts w:ascii="Book Antiqua" w:eastAsia="Times New Roman" w:hAnsi="Book Antiqua" w:cs="Times New Roman"/>
          <w:sz w:val="24"/>
          <w:szCs w:val="24"/>
        </w:rPr>
      </w:pPr>
    </w:p>
    <w:p w:rsidR="00D958E3" w:rsidRPr="00D958E3" w:rsidRDefault="00D958E3" w:rsidP="00D958E3">
      <w:pPr>
        <w:pStyle w:val="Heading2"/>
        <w:rPr>
          <w:rFonts w:eastAsia="Times New Roman"/>
          <w:b/>
          <w:bCs/>
          <w:lang w:val="en-GB"/>
        </w:rPr>
      </w:pPr>
      <w:bookmarkStart w:id="27" w:name="_Toc128982906"/>
      <w:r w:rsidRPr="00D958E3">
        <w:rPr>
          <w:rFonts w:eastAsia="Times New Roman"/>
          <w:b/>
          <w:bCs/>
          <w:lang w:val="en-GB"/>
        </w:rPr>
        <w:t>The Constitution of Kenya, 2010</w:t>
      </w:r>
      <w:bookmarkEnd w:id="27"/>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T</w:t>
      </w:r>
      <w:r w:rsidRPr="00D958E3">
        <w:rPr>
          <w:rFonts w:ascii="Book Antiqua" w:eastAsia="Times New Roman" w:hAnsi="Book Antiqua" w:cs="Times New Roman"/>
          <w:sz w:val="24"/>
          <w:szCs w:val="24"/>
          <w:lang w:val="en-GB"/>
        </w:rPr>
        <w:t>he right to a fair hearing is a constitutional right enshrined in Article 50 of the Constitution of Kenya. The Article states that every person has the right to have any dispute that can be resolved by the application of law decided in a fair and public hearing before a court or, if appropriate, another independent and impartial tribunal or forum.</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In the case of Republic v. Registrar of Motor Vehicles Ex-parte Rohitlal (1991) KLR 1, it was held that a court is obliged to give a fair and full hearing to all parties before it, and it should not curtail a party's right to be heard. In the same case, it was further held that justice must not only be done but must be seen to be done.</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Furthermore, the principle of natural justice also requires that an individual be given an opportunity to be heard before a decision affecting their rights or interests is made. The principles of natural justice have been codified in various statutes such as the Fair Administrative Action Act, 2015 which provides for the right to a fair administrative action, the right to reasons for administrative action, and the right to request for reasons for administrative action.</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In the case of Patel v. Commissioner of Income Tax (1982) KLR 489, it was held that the principles of natural justice require that a person should be given an opportunity to be heard before an adverse decision is made against them. In the case of Okiya Omtatah Okoiti v. Attorney General &amp; 2 others (2013) eKLR, it was held that the right to be heard is a cardinal principle of natural justice.</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In light of the above constitutional provisions, statutes, and case law, it is clear that Mpenda Kesi has a case to file a judicial review application citing a violation of his right to a fair hearing. The Court of Appeal's decision to give him only three minutes to make submissions during the appeal hearing could be considered a violation of his right to be heard and the principles of natural justice.</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It is clear that he would be justified in filing a judicial review application on the grounds of a violation of his right to a fair hearing.</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 xml:space="preserve">However, the right to fair administrative action does not mean that a litigant is entitled to a particular outcome in their case. Rather, it means that the procedures and processes followed in arriving at the decision must be fair and in accordance with the law. In this case, it is important to note that Mpenda Kesi had ample opportunity to present his case before the Court of Appeal, including during the hearing of his appeal and during his application for leave to appeal to the Supreme Court. The fact that he was only given </w:t>
      </w:r>
      <w:r w:rsidRPr="00D958E3">
        <w:rPr>
          <w:rFonts w:ascii="Book Antiqua" w:eastAsia="Times New Roman" w:hAnsi="Book Antiqua" w:cs="Times New Roman"/>
          <w:sz w:val="24"/>
          <w:szCs w:val="24"/>
          <w:lang w:val="en-GB"/>
        </w:rPr>
        <w:lastRenderedPageBreak/>
        <w:t>three minutes to submit during the appeal hearing may be seen as unfortunate, but it does not necessarily mean that his right to fair administrative action was violated.</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Furthermore, it is important to note that the Court of Appeal is entitled to exercise its discretion in deciding whether to grant leave to appeal to the Supreme Court. The Court of Appeal is required to consider whether there are issues of general public importance, or whether the decision involves a substantial question of law. The Court of Appeal is also entitled to consider whether there are any other compelling reasons why leave should be granted. In this case, it is unclear from the information provided whether Mpenda Kesi's case met any of these criteria, and whether the Court of Appeal therefore erred in denying him leave to appeal.</w:t>
      </w:r>
    </w:p>
    <w:p w:rsidR="00D958E3" w:rsidRPr="00D958E3" w:rsidRDefault="00D958E3" w:rsidP="00D958E3">
      <w:pPr>
        <w:spacing w:line="276" w:lineRule="auto"/>
        <w:jc w:val="both"/>
        <w:rPr>
          <w:rFonts w:ascii="Book Antiqua" w:eastAsia="Times New Roman" w:hAnsi="Book Antiqua" w:cs="Times New Roman"/>
          <w:sz w:val="24"/>
          <w:szCs w:val="24"/>
        </w:rPr>
      </w:pPr>
      <w:r w:rsidRPr="00D958E3">
        <w:rPr>
          <w:rFonts w:ascii="Book Antiqua" w:eastAsia="Times New Roman" w:hAnsi="Book Antiqua" w:cs="Times New Roman"/>
          <w:sz w:val="24"/>
          <w:szCs w:val="24"/>
        </w:rPr>
        <w:t>I</w:t>
      </w:r>
      <w:proofErr w:type="spellStart"/>
      <w:r w:rsidRPr="00D958E3">
        <w:rPr>
          <w:rFonts w:ascii="Book Antiqua" w:eastAsia="Times New Roman" w:hAnsi="Book Antiqua" w:cs="Times New Roman"/>
          <w:sz w:val="24"/>
          <w:szCs w:val="24"/>
          <w:lang w:val="en-GB"/>
        </w:rPr>
        <w:t>t</w:t>
      </w:r>
      <w:proofErr w:type="spellEnd"/>
      <w:r w:rsidRPr="00D958E3">
        <w:rPr>
          <w:rFonts w:ascii="Book Antiqua" w:eastAsia="Times New Roman" w:hAnsi="Book Antiqua" w:cs="Times New Roman"/>
          <w:sz w:val="24"/>
          <w:szCs w:val="24"/>
          <w:lang w:val="en-GB"/>
        </w:rPr>
        <w:t xml:space="preserve"> is important to note that judicial review is not an appeal. Rather, it is a review of the decision-making process to ensure that it was fair, lawful and reasonable. The role of the court in a judicial review application is therefore limited to reviewing the decision-making process, and it does not have the power to substitute its own decision for that of the decision-maker. As such, even if Mpenda Kesi was able to convince the court that his right to fair administrative action was violated, this does not necessarily mean that the court would set aside the decision of the Court of Appeal</w:t>
      </w:r>
      <w:r w:rsidRPr="00D958E3">
        <w:rPr>
          <w:rFonts w:ascii="Book Antiqua" w:eastAsia="Times New Roman" w:hAnsi="Book Antiqua" w:cs="Times New Roman"/>
          <w:sz w:val="24"/>
          <w:szCs w:val="24"/>
        </w:rPr>
        <w:t>.</w:t>
      </w:r>
    </w:p>
    <w:p w:rsidR="00D958E3" w:rsidRPr="00D958E3" w:rsidRDefault="00D958E3" w:rsidP="00D958E3">
      <w:pPr>
        <w:spacing w:line="276" w:lineRule="auto"/>
        <w:jc w:val="both"/>
        <w:rPr>
          <w:rFonts w:ascii="Book Antiqua" w:eastAsia="Times New Roman" w:hAnsi="Book Antiqua" w:cs="Times New Roman"/>
          <w:sz w:val="24"/>
          <w:szCs w:val="24"/>
        </w:rPr>
      </w:pPr>
      <w:r w:rsidRPr="00D958E3">
        <w:rPr>
          <w:rFonts w:ascii="Book Antiqua" w:eastAsia="Times New Roman" w:hAnsi="Book Antiqua" w:cs="Times New Roman"/>
          <w:sz w:val="24"/>
          <w:szCs w:val="24"/>
          <w:lang w:val="en-GB"/>
        </w:rPr>
        <w:t>In addition to the above points, it is important to note that judicial review is a discretionary remedy. This means that the court has the power to refuse to grant the remedy even where there has been a breach of the rules of natural justice. In the case of Republic v Judicial Service Commission ex parte Kinyua [2011] eKLR, the court held that judicial review is not a remedy of right, but a discretionary one that the court can grant or refuse based on the particular circumstances of the case. Therefore, even if Mpenda Kesi is able to establish that his right to fair hearing was violated, the court still has the discretion to refuse to grant the remedy of judicial review.</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lang w:val="en-GB"/>
        </w:rPr>
        <w:t>In conclusion, while Mpenda Kesi may have legitimate concerns about the handling of his appeal at the Court of Appeal, his application for judicial review is likely to face significant challenges. The court may require him to show that the court's decision had a material effect on the outcome of his appeal and that there were no other remedies available to him.</w:t>
      </w:r>
    </w:p>
    <w:p w:rsidR="00D958E3" w:rsidRPr="00D958E3" w:rsidRDefault="00D958E3" w:rsidP="00D958E3">
      <w:pPr>
        <w:pStyle w:val="Heading2"/>
        <w:rPr>
          <w:rFonts w:eastAsia="Times New Roman"/>
          <w:b/>
          <w:bCs/>
        </w:rPr>
      </w:pPr>
      <w:bookmarkStart w:id="28" w:name="_Toc128982907"/>
      <w:r w:rsidRPr="00D958E3">
        <w:rPr>
          <w:rFonts w:eastAsia="Times New Roman"/>
          <w:b/>
          <w:bCs/>
        </w:rPr>
        <w:t>Jurisdiction of the High Court</w:t>
      </w:r>
      <w:bookmarkEnd w:id="28"/>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 xml:space="preserve">The High Court has jurisdiction to determine the question whether a right or fundamental freedom in the Bill of Rights has been denied, violated, infringed or threatened. The High Court's in determining whether a right or fundamental freedoms as enshrined in the Constitution, is unlimited to the </w:t>
      </w:r>
      <w:proofErr w:type="spellStart"/>
      <w:r w:rsidRPr="00D958E3">
        <w:rPr>
          <w:rFonts w:ascii="Book Antiqua" w:eastAsia="Times New Roman" w:hAnsi="Book Antiqua" w:cs="Times New Roman"/>
          <w:sz w:val="24"/>
          <w:szCs w:val="24"/>
        </w:rPr>
        <w:t>extend</w:t>
      </w:r>
      <w:proofErr w:type="spellEnd"/>
      <w:r w:rsidRPr="00D958E3">
        <w:rPr>
          <w:rFonts w:ascii="Book Antiqua" w:eastAsia="Times New Roman" w:hAnsi="Book Antiqua" w:cs="Times New Roman"/>
          <w:sz w:val="24"/>
          <w:szCs w:val="24"/>
        </w:rPr>
        <w:t xml:space="preserve"> that it cannot here matters </w:t>
      </w:r>
      <w:r w:rsidRPr="00D958E3">
        <w:rPr>
          <w:rFonts w:ascii="Book Antiqua" w:eastAsia="Times New Roman" w:hAnsi="Book Antiqua" w:cs="Times New Roman"/>
          <w:sz w:val="24"/>
          <w:szCs w:val="24"/>
        </w:rPr>
        <w:lastRenderedPageBreak/>
        <w:t>exclusively reserved for the supreme Court and the specialized Courts contemplated in Article 162 of the Constitution of Kenya. The Kenyan Courts have laid jurisprudence and settled on contention that the High Court has jurisdiction to determine an alleged violation, denial and/or threatening of a right and/or freedom of an individual by any state officer and stage organs. This description includes judges of the Court of Appeal.</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 xml:space="preserve">Every person has the right to have any dispute that can be resolved by the application of law decided in a fair and public hearing before a court or, if appropriate, another independent and impartial tribunal or body. Mpenda Kesi's right to a fair hearing has been violated. In our eyes, three minutes is not a reasonable time for one to prosecute their cases in the Court of Appeal in a manner likely to persuade the Court. </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 xml:space="preserve">The denial of reasonable time to present his case by the court of appeal and further denial of the right for leave to appeal to the Supreme Court by the two upper most Courts amounts to unfair administrative action. </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 xml:space="preserve">Every person has the right to administrative action that </w:t>
      </w:r>
      <w:proofErr w:type="spellStart"/>
      <w:r w:rsidRPr="00D958E3">
        <w:rPr>
          <w:rFonts w:ascii="Book Antiqua" w:eastAsia="Times New Roman" w:hAnsi="Book Antiqua" w:cs="Times New Roman"/>
          <w:sz w:val="24"/>
          <w:szCs w:val="24"/>
        </w:rPr>
        <w:t>isexpeditious</w:t>
      </w:r>
      <w:proofErr w:type="spellEnd"/>
      <w:r w:rsidRPr="00D958E3">
        <w:rPr>
          <w:rFonts w:ascii="Book Antiqua" w:eastAsia="Times New Roman" w:hAnsi="Book Antiqua" w:cs="Times New Roman"/>
          <w:sz w:val="24"/>
          <w:szCs w:val="24"/>
        </w:rPr>
        <w:t>, efficient, lawful, reasonable and procedurally fair. If a right or fundamental freedom of a person has been or is likely to be adversely affected by administrative action, the person has the right to be given written reasons for the action. Procedural fairness in hearing involves access to adequate and reasonable time to further one's case. The Court of Appeal errored in failing to offer Mpenda Kesi reasonable time and not favouring him with a written reason justifying the denial of his right of leave to appeal. This calls upon the intervention of the High Court to determine whether the same amounted to violation of the rights of Mpenda Kesi.</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In the land mark case of PROTUS BULIBA SHIKUKU v ATTONEY GENERAL [2012] eKLR, Justices Nambuye &amp; Aron observed that:</w:t>
      </w:r>
    </w:p>
    <w:p w:rsidR="00D958E3" w:rsidRPr="00D958E3" w:rsidRDefault="00D958E3" w:rsidP="00D958E3">
      <w:pPr>
        <w:spacing w:line="276" w:lineRule="auto"/>
        <w:jc w:val="both"/>
        <w:rPr>
          <w:rFonts w:ascii="Book Antiqua" w:eastAsia="Times New Roman" w:hAnsi="Book Antiqua" w:cs="Times New Roman"/>
          <w:i/>
          <w:iCs/>
          <w:sz w:val="24"/>
          <w:szCs w:val="24"/>
          <w:lang w:val="en-GB"/>
        </w:rPr>
      </w:pPr>
      <w:r w:rsidRPr="00D958E3">
        <w:rPr>
          <w:rFonts w:ascii="Book Antiqua" w:eastAsia="Times New Roman" w:hAnsi="Book Antiqua" w:cs="Times New Roman"/>
          <w:i/>
          <w:iCs/>
          <w:sz w:val="24"/>
          <w:szCs w:val="24"/>
        </w:rPr>
        <w:t>‘‘In a unique way the superior court is being asked to interfere with a decision of the court of appeal. We are in agreement that Article 23 of the current 2010 Constitution as read with Article 165(1) 3(a)(b) (d) (</w:t>
      </w:r>
      <w:proofErr w:type="spellStart"/>
      <w:r w:rsidRPr="00D958E3">
        <w:rPr>
          <w:rFonts w:ascii="Book Antiqua" w:eastAsia="Times New Roman" w:hAnsi="Book Antiqua" w:cs="Times New Roman"/>
          <w:i/>
          <w:iCs/>
          <w:sz w:val="24"/>
          <w:szCs w:val="24"/>
        </w:rPr>
        <w:t>i</w:t>
      </w:r>
      <w:proofErr w:type="spellEnd"/>
      <w:r w:rsidRPr="00D958E3">
        <w:rPr>
          <w:rFonts w:ascii="Book Antiqua" w:eastAsia="Times New Roman" w:hAnsi="Book Antiqua" w:cs="Times New Roman"/>
          <w:i/>
          <w:iCs/>
          <w:sz w:val="24"/>
          <w:szCs w:val="24"/>
        </w:rPr>
        <w:t>) (ii) have donated the same mandate without exception to this superior court and for this reason of donation of jurisdiction without exception we feel confident that we are properly seized of the petitioner\'s complaints which arise from an alleged act of omission or commission by the courts of this jurisdiction as laid out in the petition.''</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The Supreme Court (Mutunga, CJ) in Jasbir Singh Rai &amp; 3 Others vs. Tarlochan Singh Rai Estate &amp; 4 Others [2013] eKLR where he expressed himself as hereunder;</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i/>
          <w:iCs/>
          <w:sz w:val="24"/>
          <w:szCs w:val="24"/>
        </w:rPr>
        <w:t xml:space="preserve">“The Kenyan Constitution has given the High Court the exclusive jurisdiction to deal with matters of violations of fundamental rights (Article 23 as read with Article 165 of the Constitution). The </w:t>
      </w:r>
      <w:r w:rsidRPr="00D958E3">
        <w:rPr>
          <w:rFonts w:ascii="Book Antiqua" w:eastAsia="Times New Roman" w:hAnsi="Book Antiqua" w:cs="Times New Roman"/>
          <w:i/>
          <w:iCs/>
          <w:sz w:val="24"/>
          <w:szCs w:val="24"/>
        </w:rPr>
        <w:lastRenderedPageBreak/>
        <w:t>High Court, on this point, has correctly pronounced itself in a judgment by Justices Nambuye and Aroni, in Protus Buliba Shikuku v R, Constitutional Reference No. 3 of 2011, [2012] eKLR.’’</w:t>
      </w:r>
    </w:p>
    <w:p w:rsidR="00D958E3" w:rsidRPr="00D958E3" w:rsidRDefault="00D958E3" w:rsidP="00D958E3">
      <w:pPr>
        <w:spacing w:line="276" w:lineRule="auto"/>
        <w:jc w:val="both"/>
        <w:rPr>
          <w:rFonts w:ascii="Book Antiqua" w:eastAsia="Times New Roman" w:hAnsi="Book Antiqua" w:cs="Times New Roman"/>
          <w:sz w:val="24"/>
          <w:szCs w:val="24"/>
          <w:lang w:val="en-GB"/>
        </w:rPr>
      </w:pPr>
      <w:r w:rsidRPr="00D958E3">
        <w:rPr>
          <w:rFonts w:ascii="Book Antiqua" w:eastAsia="Times New Roman" w:hAnsi="Book Antiqua" w:cs="Times New Roman"/>
          <w:sz w:val="24"/>
          <w:szCs w:val="24"/>
        </w:rPr>
        <w:t xml:space="preserve">In the recent case of </w:t>
      </w:r>
      <w:r w:rsidRPr="00D958E3">
        <w:rPr>
          <w:rFonts w:ascii="Book Antiqua" w:eastAsia="Times New Roman" w:hAnsi="Book Antiqua" w:cs="Times New Roman"/>
          <w:b/>
          <w:bCs/>
          <w:sz w:val="24"/>
          <w:szCs w:val="24"/>
        </w:rPr>
        <w:t xml:space="preserve">Andrew Nthiwa Mutuku v Court of Appeal &amp; 3 others [2021] eKLR, Justice G.V Odunga </w:t>
      </w:r>
      <w:r w:rsidRPr="00D958E3">
        <w:rPr>
          <w:rFonts w:ascii="Book Antiqua" w:eastAsia="Times New Roman" w:hAnsi="Book Antiqua" w:cs="Times New Roman"/>
          <w:sz w:val="24"/>
          <w:szCs w:val="24"/>
        </w:rPr>
        <w:t xml:space="preserve">observed </w:t>
      </w:r>
      <w:proofErr w:type="gramStart"/>
      <w:r w:rsidRPr="00D958E3">
        <w:rPr>
          <w:rFonts w:ascii="Book Antiqua" w:eastAsia="Times New Roman" w:hAnsi="Book Antiqua" w:cs="Times New Roman"/>
          <w:sz w:val="24"/>
          <w:szCs w:val="24"/>
        </w:rPr>
        <w:t xml:space="preserve">that, </w:t>
      </w:r>
      <w:r w:rsidRPr="00D958E3">
        <w:rPr>
          <w:rFonts w:ascii="Book Antiqua" w:eastAsia="Times New Roman" w:hAnsi="Book Antiqua" w:cs="Times New Roman"/>
          <w:i/>
          <w:iCs/>
          <w:sz w:val="24"/>
          <w:szCs w:val="24"/>
        </w:rPr>
        <w:t xml:space="preserve"> ‘</w:t>
      </w:r>
      <w:proofErr w:type="gramEnd"/>
      <w:r w:rsidRPr="00D958E3">
        <w:rPr>
          <w:rFonts w:ascii="Book Antiqua" w:eastAsia="Times New Roman" w:hAnsi="Book Antiqua" w:cs="Times New Roman"/>
          <w:i/>
          <w:iCs/>
          <w:sz w:val="24"/>
          <w:szCs w:val="24"/>
        </w:rPr>
        <w:t>judges are bound under Article 21(1) of the Constitution, to observe, respect, protect, promote and fulfil the rights and fundamental freedoms in the Bill of Rights notwithstanding their hierarchy in the judicial chain. Where therefore it is alleged that a Judge has violated the rights or fundamental freedoms of an individual that individual is properly entitled to approach the High Court for redress and this Court is under an obligation to interrogate such allegations.'</w:t>
      </w:r>
    </w:p>
    <w:p w:rsidR="00D958E3" w:rsidRPr="00D958E3" w:rsidRDefault="00D958E3" w:rsidP="00D958E3">
      <w:pPr>
        <w:spacing w:line="276" w:lineRule="auto"/>
        <w:jc w:val="both"/>
        <w:rPr>
          <w:rFonts w:ascii="Book Antiqua" w:eastAsia="Times New Roman" w:hAnsi="Book Antiqua" w:cs="Times New Roman"/>
          <w:sz w:val="24"/>
          <w:szCs w:val="24"/>
        </w:rPr>
      </w:pPr>
      <w:r w:rsidRPr="00D958E3">
        <w:rPr>
          <w:rFonts w:ascii="Book Antiqua" w:eastAsia="Times New Roman" w:hAnsi="Book Antiqua" w:cs="Times New Roman"/>
          <w:sz w:val="24"/>
          <w:szCs w:val="24"/>
          <w:lang w:val="en-GB"/>
        </w:rPr>
        <w:t>In light of the above, it is likely that Mpenda Kesi's application for judicial review against the Court of Appeal would fail.</w:t>
      </w:r>
      <w:r w:rsidRPr="00D958E3">
        <w:rPr>
          <w:rFonts w:ascii="Book Antiqua" w:eastAsia="Times New Roman" w:hAnsi="Book Antiqua" w:cs="Times New Roman"/>
          <w:sz w:val="24"/>
          <w:szCs w:val="24"/>
        </w:rPr>
        <w:t xml:space="preserve"> However, we would like to advice Mr. Mpenda case to file a Constitutional Petition for the determination of the alleged violation of Hus right to fair hearing at the High Court.</w:t>
      </w:r>
    </w:p>
    <w:p w:rsidR="00504957" w:rsidRPr="00100B69" w:rsidRDefault="00504957" w:rsidP="0050495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vanish/>
          <w:sz w:val="24"/>
          <w:szCs w:val="24"/>
        </w:rPr>
        <w:t>Top of Form</w:t>
      </w:r>
    </w:p>
    <w:p w:rsidR="00443C64" w:rsidRPr="00443C64" w:rsidRDefault="00443C64" w:rsidP="00443C64">
      <w:pPr>
        <w:pStyle w:val="Heading1"/>
        <w:rPr>
          <w:rFonts w:eastAsia="Times New Roman"/>
          <w:b/>
          <w:bCs/>
          <w:lang w:val="en-GB"/>
        </w:rPr>
      </w:pPr>
      <w:bookmarkStart w:id="29" w:name="_Toc128375770"/>
      <w:bookmarkStart w:id="30" w:name="_Toc128982908"/>
      <w:r w:rsidRPr="00443C64">
        <w:rPr>
          <w:rFonts w:eastAsia="Times New Roman"/>
          <w:b/>
          <w:bCs/>
          <w:lang w:val="en-GB"/>
        </w:rPr>
        <w:t xml:space="preserve">SECTION 3: </w:t>
      </w:r>
      <w:r w:rsidR="00504957" w:rsidRPr="00443C64">
        <w:rPr>
          <w:rFonts w:eastAsia="Times New Roman"/>
          <w:b/>
          <w:bCs/>
          <w:lang w:val="en-GB"/>
        </w:rPr>
        <w:t>Q</w:t>
      </w:r>
      <w:r w:rsidRPr="00443C64">
        <w:rPr>
          <w:rFonts w:eastAsia="Times New Roman"/>
          <w:b/>
          <w:bCs/>
          <w:lang w:val="en-GB"/>
        </w:rPr>
        <w:t xml:space="preserve">UESTION </w:t>
      </w:r>
      <w:r w:rsidR="00504957" w:rsidRPr="00443C64">
        <w:rPr>
          <w:rFonts w:eastAsia="Times New Roman"/>
          <w:b/>
          <w:bCs/>
          <w:lang w:val="en-GB"/>
        </w:rPr>
        <w:t>3</w:t>
      </w:r>
      <w:bookmarkEnd w:id="29"/>
      <w:bookmarkEnd w:id="30"/>
    </w:p>
    <w:p w:rsidR="00504957" w:rsidRPr="00504957" w:rsidRDefault="00504957" w:rsidP="00504957">
      <w:pPr>
        <w:spacing w:line="276" w:lineRule="auto"/>
        <w:jc w:val="both"/>
        <w:rPr>
          <w:rFonts w:ascii="Book Antiqua" w:eastAsia="Times New Roman" w:hAnsi="Book Antiqua" w:cs="Times New Roman"/>
          <w:b/>
          <w:sz w:val="24"/>
          <w:szCs w:val="24"/>
          <w:lang w:val="en-GB"/>
        </w:rPr>
      </w:pPr>
      <w:r w:rsidRPr="00504957">
        <w:rPr>
          <w:rFonts w:ascii="Book Antiqua" w:eastAsia="Times New Roman" w:hAnsi="Book Antiqua" w:cs="Times New Roman"/>
          <w:b/>
          <w:sz w:val="24"/>
          <w:szCs w:val="24"/>
          <w:lang w:val="en-GB"/>
        </w:rPr>
        <w:t xml:space="preserve">A client has approached your firm. She claims that was forced to work long hours without pay and eventually terminated without any due process. However, two days before her employment was terminated, she was kept in a dark room without food and water for </w:t>
      </w:r>
      <w:r w:rsidR="00D56077" w:rsidRPr="00504957">
        <w:rPr>
          <w:rFonts w:ascii="Book Antiqua" w:eastAsia="Times New Roman" w:hAnsi="Book Antiqua" w:cs="Times New Roman"/>
          <w:b/>
          <w:sz w:val="24"/>
          <w:szCs w:val="24"/>
          <w:lang w:val="en-GB"/>
        </w:rPr>
        <w:t>forty-eight</w:t>
      </w:r>
      <w:r w:rsidRPr="00504957">
        <w:rPr>
          <w:rFonts w:ascii="Book Antiqua" w:eastAsia="Times New Roman" w:hAnsi="Book Antiqua" w:cs="Times New Roman"/>
          <w:b/>
          <w:sz w:val="24"/>
          <w:szCs w:val="24"/>
          <w:lang w:val="en-GB"/>
        </w:rPr>
        <w:t xml:space="preserve"> hours on accusation of having stolen some money. She was then released and informed that her employment had been terminated. She is a paralegal and it is very clear in her mind that her various constitutional rights were infringed upon. She is, however, not sure where to file the case. With the aid of decided cases and relevant laws, advise her on the court that is clothed with jurisdiction where she can file the case. </w:t>
      </w:r>
    </w:p>
    <w:p w:rsidR="00504957" w:rsidRPr="00504957" w:rsidRDefault="00504957" w:rsidP="00504957">
      <w:pPr>
        <w:spacing w:line="276" w:lineRule="auto"/>
        <w:jc w:val="both"/>
        <w:rPr>
          <w:rFonts w:ascii="Book Antiqua" w:eastAsia="Times New Roman" w:hAnsi="Book Antiqua" w:cs="Times New Roman"/>
          <w:sz w:val="24"/>
          <w:szCs w:val="24"/>
          <w:lang w:val="en-GB"/>
        </w:rPr>
      </w:pP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b/>
          <w:sz w:val="24"/>
          <w:szCs w:val="24"/>
          <w:lang w:val="en-GB"/>
        </w:rPr>
        <w:t>Article 162</w:t>
      </w:r>
      <w:r w:rsidRPr="00504957">
        <w:rPr>
          <w:rFonts w:ascii="Book Antiqua" w:eastAsia="Times New Roman" w:hAnsi="Book Antiqua" w:cs="Times New Roman"/>
          <w:sz w:val="24"/>
          <w:szCs w:val="24"/>
          <w:lang w:val="en-GB"/>
        </w:rPr>
        <w:t xml:space="preserve"> of the Constitution provides for the various court system in Kenya</w:t>
      </w:r>
      <w:r w:rsidRPr="00504957">
        <w:rPr>
          <w:rFonts w:ascii="Book Antiqua" w:eastAsia="Times New Roman" w:hAnsi="Book Antiqua" w:cs="Times New Roman"/>
          <w:sz w:val="24"/>
          <w:szCs w:val="24"/>
          <w:vertAlign w:val="superscript"/>
          <w:lang w:val="en-GB"/>
        </w:rPr>
        <w:footnoteReference w:id="12"/>
      </w:r>
      <w:r w:rsidRPr="00504957">
        <w:rPr>
          <w:rFonts w:ascii="Book Antiqua" w:eastAsia="Times New Roman" w:hAnsi="Book Antiqua" w:cs="Times New Roman"/>
          <w:sz w:val="24"/>
          <w:szCs w:val="24"/>
          <w:lang w:val="en-GB"/>
        </w:rPr>
        <w:t xml:space="preserve">. It also establishes that there is a hierarchy when addressing the courts from the highest to the lowest courts in rank. In order to figure out which court to approach, Jurisdiction must be looked into to address the matter of the client. Jurisdiction is everything and without it a court cannot proceed with a matter, it provides the court the ability to determine a particular suit, so if a court does not have jurisdiction there is no way it can listen or </w:t>
      </w:r>
      <w:r w:rsidRPr="00504957">
        <w:rPr>
          <w:rFonts w:ascii="Book Antiqua" w:eastAsia="Times New Roman" w:hAnsi="Book Antiqua" w:cs="Times New Roman"/>
          <w:sz w:val="24"/>
          <w:szCs w:val="24"/>
          <w:lang w:val="en-GB"/>
        </w:rPr>
        <w:lastRenderedPageBreak/>
        <w:t xml:space="preserve">determine a suit which has been filed for it. This has been stated in the case of </w:t>
      </w:r>
      <w:r w:rsidRPr="00504957">
        <w:rPr>
          <w:rFonts w:ascii="Book Antiqua" w:eastAsia="Times New Roman" w:hAnsi="Book Antiqua" w:cs="Times New Roman"/>
          <w:b/>
          <w:i/>
          <w:sz w:val="24"/>
          <w:szCs w:val="24"/>
          <w:lang w:val="en-GB"/>
        </w:rPr>
        <w:t>Owners of the Motor Vessel “Lillian S” Vs Caltex Oil (Kenya) Ltd</w:t>
      </w:r>
      <w:r w:rsidRPr="00504957">
        <w:rPr>
          <w:rFonts w:ascii="Book Antiqua" w:eastAsia="Times New Roman" w:hAnsi="Book Antiqua" w:cs="Times New Roman"/>
          <w:b/>
          <w:sz w:val="24"/>
          <w:szCs w:val="24"/>
          <w:vertAlign w:val="superscript"/>
          <w:lang w:val="en-GB"/>
        </w:rPr>
        <w:footnoteReference w:id="13"/>
      </w:r>
      <w:r w:rsidRPr="00504957">
        <w:rPr>
          <w:rFonts w:ascii="Book Antiqua" w:eastAsia="Times New Roman" w:hAnsi="Book Antiqua" w:cs="Times New Roman"/>
          <w:sz w:val="24"/>
          <w:szCs w:val="24"/>
          <w:lang w:val="en-GB"/>
        </w:rPr>
        <w:t xml:space="preserve">. </w:t>
      </w:r>
    </w:p>
    <w:p w:rsidR="00504957" w:rsidRPr="00504957" w:rsidRDefault="00504957" w:rsidP="00504957">
      <w:pPr>
        <w:spacing w:line="276" w:lineRule="auto"/>
        <w:jc w:val="both"/>
        <w:rPr>
          <w:rFonts w:ascii="Book Antiqua" w:eastAsia="Times New Roman" w:hAnsi="Book Antiqua" w:cs="Times New Roman"/>
          <w:sz w:val="24"/>
          <w:szCs w:val="24"/>
          <w:lang w:val="en-GB"/>
        </w:rPr>
      </w:pP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According to the case provided, the aggrieved party was forced to work long hours where she was employed without pay. She was exposed to degrading treatment by being locked up in a dark room without food and water for </w:t>
      </w:r>
      <w:r w:rsidR="00D56077" w:rsidRPr="00504957">
        <w:rPr>
          <w:rFonts w:ascii="Book Antiqua" w:eastAsia="Times New Roman" w:hAnsi="Book Antiqua" w:cs="Times New Roman"/>
          <w:sz w:val="24"/>
          <w:szCs w:val="24"/>
          <w:lang w:val="en-GB"/>
        </w:rPr>
        <w:t>forty-eight</w:t>
      </w:r>
      <w:r w:rsidRPr="00504957">
        <w:rPr>
          <w:rFonts w:ascii="Book Antiqua" w:eastAsia="Times New Roman" w:hAnsi="Book Antiqua" w:cs="Times New Roman"/>
          <w:sz w:val="24"/>
          <w:szCs w:val="24"/>
          <w:lang w:val="en-GB"/>
        </w:rPr>
        <w:t xml:space="preserve"> hours. She was then dismissed from work without pay.</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Taking this into consideration several of the </w:t>
      </w:r>
      <w:r w:rsidR="00D56077" w:rsidRPr="00504957">
        <w:rPr>
          <w:rFonts w:ascii="Book Antiqua" w:eastAsia="Times New Roman" w:hAnsi="Book Antiqua" w:cs="Times New Roman"/>
          <w:sz w:val="24"/>
          <w:szCs w:val="24"/>
          <w:lang w:val="en-GB"/>
        </w:rPr>
        <w:t>clients’</w:t>
      </w:r>
      <w:r w:rsidRPr="00504957">
        <w:rPr>
          <w:rFonts w:ascii="Book Antiqua" w:eastAsia="Times New Roman" w:hAnsi="Book Antiqua" w:cs="Times New Roman"/>
          <w:sz w:val="24"/>
          <w:szCs w:val="24"/>
          <w:lang w:val="en-GB"/>
        </w:rPr>
        <w:t xml:space="preserve"> constitutional rights have been infringed in this case, including;</w:t>
      </w:r>
    </w:p>
    <w:p w:rsidR="00504957" w:rsidRPr="00504957" w:rsidRDefault="00504957" w:rsidP="00504957">
      <w:pPr>
        <w:numPr>
          <w:ilvl w:val="0"/>
          <w:numId w:val="6"/>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b/>
          <w:sz w:val="24"/>
          <w:szCs w:val="24"/>
          <w:lang w:val="en-GB"/>
        </w:rPr>
        <w:t>Article 28:</w:t>
      </w:r>
      <w:r w:rsidRPr="00504957">
        <w:rPr>
          <w:rFonts w:ascii="Book Antiqua" w:eastAsia="Times New Roman" w:hAnsi="Book Antiqua" w:cs="Times New Roman"/>
          <w:sz w:val="24"/>
          <w:szCs w:val="24"/>
          <w:lang w:val="en-GB"/>
        </w:rPr>
        <w:t xml:space="preserve"> The right to human dignity</w:t>
      </w:r>
      <w:r w:rsidRPr="00504957">
        <w:rPr>
          <w:rFonts w:ascii="Book Antiqua" w:eastAsia="Times New Roman" w:hAnsi="Book Antiqua" w:cs="Times New Roman"/>
          <w:sz w:val="24"/>
          <w:szCs w:val="24"/>
          <w:vertAlign w:val="superscript"/>
          <w:lang w:val="en-GB"/>
        </w:rPr>
        <w:footnoteReference w:id="14"/>
      </w:r>
      <w:r w:rsidRPr="00504957">
        <w:rPr>
          <w:rFonts w:ascii="Book Antiqua" w:eastAsia="Times New Roman" w:hAnsi="Book Antiqua" w:cs="Times New Roman"/>
          <w:sz w:val="24"/>
          <w:szCs w:val="24"/>
          <w:lang w:val="en-GB"/>
        </w:rPr>
        <w:t xml:space="preserve">: it provides that every person is deemed to have inherent dignity and the right to have the dignity respected and upheld. This right was violated when the client was kept in a dark room without food and water for </w:t>
      </w:r>
      <w:r w:rsidR="00D56077" w:rsidRPr="00504957">
        <w:rPr>
          <w:rFonts w:ascii="Book Antiqua" w:eastAsia="Times New Roman" w:hAnsi="Book Antiqua" w:cs="Times New Roman"/>
          <w:sz w:val="24"/>
          <w:szCs w:val="24"/>
          <w:lang w:val="en-GB"/>
        </w:rPr>
        <w:t>forty-eight</w:t>
      </w:r>
      <w:r w:rsidRPr="00504957">
        <w:rPr>
          <w:rFonts w:ascii="Book Antiqua" w:eastAsia="Times New Roman" w:hAnsi="Book Antiqua" w:cs="Times New Roman"/>
          <w:sz w:val="24"/>
          <w:szCs w:val="24"/>
          <w:lang w:val="en-GB"/>
        </w:rPr>
        <w:t xml:space="preserve"> hours on allegations that she had stolen some money. </w:t>
      </w:r>
    </w:p>
    <w:p w:rsidR="00504957" w:rsidRPr="00504957" w:rsidRDefault="00504957" w:rsidP="00504957">
      <w:pPr>
        <w:numPr>
          <w:ilvl w:val="0"/>
          <w:numId w:val="6"/>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b/>
          <w:sz w:val="24"/>
          <w:szCs w:val="24"/>
          <w:lang w:val="en-GB"/>
        </w:rPr>
        <w:t>Article 29</w:t>
      </w:r>
      <w:r w:rsidRPr="00504957">
        <w:rPr>
          <w:rFonts w:ascii="Book Antiqua" w:eastAsia="Times New Roman" w:hAnsi="Book Antiqua" w:cs="Times New Roman"/>
          <w:b/>
          <w:sz w:val="24"/>
          <w:szCs w:val="24"/>
          <w:vertAlign w:val="superscript"/>
          <w:lang w:val="en-GB"/>
        </w:rPr>
        <w:footnoteReference w:id="15"/>
      </w:r>
      <w:r w:rsidRPr="00504957">
        <w:rPr>
          <w:rFonts w:ascii="Book Antiqua" w:eastAsia="Times New Roman" w:hAnsi="Book Antiqua" w:cs="Times New Roman"/>
          <w:sz w:val="24"/>
          <w:szCs w:val="24"/>
          <w:lang w:val="en-GB"/>
        </w:rPr>
        <w:t xml:space="preserve"> states the ways in which a person’s right to freedom and security can be infringed;</w:t>
      </w:r>
    </w:p>
    <w:p w:rsidR="00504957" w:rsidRPr="00504957" w:rsidRDefault="00504957" w:rsidP="00504957">
      <w:pPr>
        <w:numPr>
          <w:ilvl w:val="0"/>
          <w:numId w:val="5"/>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When someone is deprived of freedom arbitrarily or without a just cause</w:t>
      </w:r>
    </w:p>
    <w:p w:rsidR="00504957" w:rsidRPr="00504957" w:rsidRDefault="00504957" w:rsidP="00504957">
      <w:pPr>
        <w:numPr>
          <w:ilvl w:val="0"/>
          <w:numId w:val="5"/>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When one is subjected to torture in any manner whether physical or psychological </w:t>
      </w:r>
    </w:p>
    <w:p w:rsidR="00504957" w:rsidRPr="00504957" w:rsidRDefault="00504957" w:rsidP="00504957">
      <w:pPr>
        <w:numPr>
          <w:ilvl w:val="0"/>
          <w:numId w:val="5"/>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When one is treated </w:t>
      </w:r>
      <w:r w:rsidR="00D56077" w:rsidRPr="00504957">
        <w:rPr>
          <w:rFonts w:ascii="Book Antiqua" w:eastAsia="Times New Roman" w:hAnsi="Book Antiqua" w:cs="Times New Roman"/>
          <w:sz w:val="24"/>
          <w:szCs w:val="24"/>
          <w:lang w:val="en-GB"/>
        </w:rPr>
        <w:t>in a</w:t>
      </w:r>
      <w:r w:rsidRPr="00504957">
        <w:rPr>
          <w:rFonts w:ascii="Book Antiqua" w:eastAsia="Times New Roman" w:hAnsi="Book Antiqua" w:cs="Times New Roman"/>
          <w:sz w:val="24"/>
          <w:szCs w:val="24"/>
          <w:lang w:val="en-GB"/>
        </w:rPr>
        <w:t xml:space="preserve"> cruel, degrading and inhuman manner</w:t>
      </w:r>
    </w:p>
    <w:p w:rsidR="00504957" w:rsidRPr="00504957" w:rsidRDefault="00504957" w:rsidP="00504957">
      <w:pPr>
        <w:numPr>
          <w:ilvl w:val="0"/>
          <w:numId w:val="5"/>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When one is detained without trial</w:t>
      </w:r>
    </w:p>
    <w:p w:rsidR="00504957" w:rsidRPr="00504957" w:rsidRDefault="00504957" w:rsidP="00504957">
      <w:pPr>
        <w:numPr>
          <w:ilvl w:val="0"/>
          <w:numId w:val="5"/>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When one is subjected to any form of violence</w:t>
      </w:r>
    </w:p>
    <w:p w:rsidR="00504957" w:rsidRPr="00504957" w:rsidRDefault="00504957" w:rsidP="00504957">
      <w:pPr>
        <w:numPr>
          <w:ilvl w:val="0"/>
          <w:numId w:val="4"/>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b/>
          <w:sz w:val="24"/>
          <w:szCs w:val="24"/>
          <w:lang w:val="en-GB"/>
        </w:rPr>
        <w:t>Article 41</w:t>
      </w:r>
      <w:r w:rsidRPr="00504957">
        <w:rPr>
          <w:rFonts w:ascii="Book Antiqua" w:eastAsia="Times New Roman" w:hAnsi="Book Antiqua" w:cs="Times New Roman"/>
          <w:sz w:val="24"/>
          <w:szCs w:val="24"/>
          <w:lang w:val="en-GB"/>
        </w:rPr>
        <w:t>, the right to fair labour practices</w:t>
      </w:r>
      <w:r w:rsidRPr="00504957">
        <w:rPr>
          <w:rFonts w:ascii="Book Antiqua" w:eastAsia="Times New Roman" w:hAnsi="Book Antiqua" w:cs="Times New Roman"/>
          <w:sz w:val="24"/>
          <w:szCs w:val="24"/>
          <w:vertAlign w:val="superscript"/>
          <w:lang w:val="en-GB"/>
        </w:rPr>
        <w:footnoteReference w:id="16"/>
      </w:r>
      <w:r w:rsidRPr="00504957">
        <w:rPr>
          <w:rFonts w:ascii="Book Antiqua" w:eastAsia="Times New Roman" w:hAnsi="Book Antiqua" w:cs="Times New Roman"/>
          <w:sz w:val="24"/>
          <w:szCs w:val="24"/>
          <w:lang w:val="en-GB"/>
        </w:rPr>
        <w:t>: provides for fair labour practices which include fair remuneration and reasonable working conditions. The client was deprived the right to fair labour practices as she was subjected to work for long hours without pay.</w:t>
      </w:r>
    </w:p>
    <w:p w:rsidR="00504957" w:rsidRPr="00504957" w:rsidRDefault="00504957" w:rsidP="00504957">
      <w:pPr>
        <w:numPr>
          <w:ilvl w:val="0"/>
          <w:numId w:val="4"/>
        </w:num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b/>
          <w:sz w:val="24"/>
          <w:szCs w:val="24"/>
          <w:lang w:val="en-GB"/>
        </w:rPr>
        <w:lastRenderedPageBreak/>
        <w:t>Article 47</w:t>
      </w:r>
      <w:r w:rsidRPr="00504957">
        <w:rPr>
          <w:rFonts w:ascii="Book Antiqua" w:eastAsia="Times New Roman" w:hAnsi="Book Antiqua" w:cs="Times New Roman"/>
          <w:sz w:val="24"/>
          <w:szCs w:val="24"/>
          <w:lang w:val="en-GB"/>
        </w:rPr>
        <w:t>, right to fair administrative practices</w:t>
      </w:r>
      <w:r w:rsidRPr="00504957">
        <w:rPr>
          <w:rFonts w:ascii="Book Antiqua" w:eastAsia="Times New Roman" w:hAnsi="Book Antiqua" w:cs="Times New Roman"/>
          <w:sz w:val="24"/>
          <w:szCs w:val="24"/>
          <w:vertAlign w:val="superscript"/>
          <w:lang w:val="en-GB"/>
        </w:rPr>
        <w:footnoteReference w:id="17"/>
      </w:r>
      <w:r w:rsidRPr="00504957">
        <w:rPr>
          <w:rFonts w:ascii="Book Antiqua" w:eastAsia="Times New Roman" w:hAnsi="Book Antiqua" w:cs="Times New Roman"/>
          <w:sz w:val="24"/>
          <w:szCs w:val="24"/>
          <w:lang w:val="en-GB"/>
        </w:rPr>
        <w:t xml:space="preserve">: It articulates </w:t>
      </w:r>
      <w:r w:rsidR="00D56077" w:rsidRPr="00504957">
        <w:rPr>
          <w:rFonts w:ascii="Book Antiqua" w:eastAsia="Times New Roman" w:hAnsi="Book Antiqua" w:cs="Times New Roman"/>
          <w:sz w:val="24"/>
          <w:szCs w:val="24"/>
          <w:lang w:val="en-GB"/>
        </w:rPr>
        <w:t>that every</w:t>
      </w:r>
      <w:r w:rsidRPr="00504957">
        <w:rPr>
          <w:rFonts w:ascii="Book Antiqua" w:eastAsia="Times New Roman" w:hAnsi="Book Antiqua" w:cs="Times New Roman"/>
          <w:sz w:val="24"/>
          <w:szCs w:val="24"/>
          <w:lang w:val="en-GB"/>
        </w:rPr>
        <w:t xml:space="preserve"> person has a right to administrative action should be expeditious, efficient, lawful and procedurally fair. If administrative actions breach a fundamental right is likely to affect the person, then the person should be given reasons for the action. The client’s job was terminated without any due process which means there was no clear procedure following her termination.</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As the </w:t>
      </w:r>
      <w:r w:rsidR="00D56077" w:rsidRPr="00504957">
        <w:rPr>
          <w:rFonts w:ascii="Book Antiqua" w:eastAsia="Times New Roman" w:hAnsi="Book Antiqua" w:cs="Times New Roman"/>
          <w:sz w:val="24"/>
          <w:szCs w:val="24"/>
          <w:lang w:val="en-GB"/>
        </w:rPr>
        <w:t>clients’</w:t>
      </w:r>
      <w:r w:rsidRPr="00504957">
        <w:rPr>
          <w:rFonts w:ascii="Book Antiqua" w:eastAsia="Times New Roman" w:hAnsi="Book Antiqua" w:cs="Times New Roman"/>
          <w:sz w:val="24"/>
          <w:szCs w:val="24"/>
          <w:lang w:val="en-GB"/>
        </w:rPr>
        <w:t xml:space="preserve"> constitutional rights have been infringed, under the constitution all constitutional matters can only be filed under the High Court, The Employment and Labour Relations Court (ELRC) and the Environment and Land Court, which both have equal status to the High Court</w:t>
      </w:r>
      <w:r w:rsidRPr="00504957">
        <w:rPr>
          <w:rFonts w:ascii="Book Antiqua" w:eastAsia="Times New Roman" w:hAnsi="Book Antiqua" w:cs="Times New Roman"/>
          <w:sz w:val="24"/>
          <w:szCs w:val="24"/>
          <w:vertAlign w:val="superscript"/>
          <w:lang w:val="en-GB"/>
        </w:rPr>
        <w:footnoteReference w:id="18"/>
      </w:r>
      <w:r w:rsidRPr="00504957">
        <w:rPr>
          <w:rFonts w:ascii="Book Antiqua" w:eastAsia="Times New Roman" w:hAnsi="Book Antiqua" w:cs="Times New Roman"/>
          <w:sz w:val="24"/>
          <w:szCs w:val="24"/>
          <w:lang w:val="en-GB"/>
        </w:rPr>
        <w:t>. As this is a case on unfair termination and employment dispute, the Employment and Labour Relations Court Act provides that the court shall have exclusive, original and appellate jurisdiction to hear and determine all disputes relating to employment and labour relation including those arising out of the employment between an employer and an employee</w:t>
      </w:r>
      <w:r w:rsidRPr="00504957">
        <w:rPr>
          <w:rFonts w:ascii="Book Antiqua" w:eastAsia="Times New Roman" w:hAnsi="Book Antiqua" w:cs="Times New Roman"/>
          <w:sz w:val="24"/>
          <w:szCs w:val="24"/>
          <w:vertAlign w:val="superscript"/>
          <w:lang w:val="en-GB"/>
        </w:rPr>
        <w:footnoteReference w:id="19"/>
      </w:r>
      <w:r w:rsidRPr="00504957">
        <w:rPr>
          <w:rFonts w:ascii="Book Antiqua" w:eastAsia="Times New Roman" w:hAnsi="Book Antiqua" w:cs="Times New Roman"/>
          <w:sz w:val="24"/>
          <w:szCs w:val="24"/>
          <w:lang w:val="en-GB"/>
        </w:rPr>
        <w:t>.</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In addition, </w:t>
      </w:r>
      <w:r w:rsidRPr="00504957">
        <w:rPr>
          <w:rFonts w:ascii="Book Antiqua" w:eastAsia="Times New Roman" w:hAnsi="Book Antiqua" w:cs="Times New Roman"/>
          <w:b/>
          <w:sz w:val="24"/>
          <w:szCs w:val="24"/>
          <w:lang w:val="en-GB"/>
        </w:rPr>
        <w:t>Article 165(5)</w:t>
      </w:r>
      <w:r w:rsidRPr="00504957">
        <w:rPr>
          <w:rFonts w:ascii="Book Antiqua" w:eastAsia="Times New Roman" w:hAnsi="Book Antiqua" w:cs="Times New Roman"/>
          <w:b/>
          <w:sz w:val="24"/>
          <w:szCs w:val="24"/>
          <w:vertAlign w:val="superscript"/>
          <w:lang w:val="en-GB"/>
        </w:rPr>
        <w:footnoteReference w:id="20"/>
      </w:r>
      <w:r w:rsidRPr="00504957">
        <w:rPr>
          <w:rFonts w:ascii="Book Antiqua" w:eastAsia="Times New Roman" w:hAnsi="Book Antiqua" w:cs="Times New Roman"/>
          <w:sz w:val="24"/>
          <w:szCs w:val="24"/>
          <w:lang w:val="en-GB"/>
        </w:rPr>
        <w:t xml:space="preserve"> stipulates that the high court shall not have jurisdiction over the courts established in </w:t>
      </w:r>
      <w:r w:rsidRPr="00504957">
        <w:rPr>
          <w:rFonts w:ascii="Book Antiqua" w:eastAsia="Times New Roman" w:hAnsi="Book Antiqua" w:cs="Times New Roman"/>
          <w:b/>
          <w:sz w:val="24"/>
          <w:szCs w:val="24"/>
          <w:lang w:val="en-GB"/>
        </w:rPr>
        <w:t>Article 162(2)</w:t>
      </w:r>
      <w:r w:rsidRPr="00504957">
        <w:rPr>
          <w:rFonts w:ascii="Book Antiqua" w:eastAsia="Times New Roman" w:hAnsi="Book Antiqua" w:cs="Times New Roman"/>
          <w:b/>
          <w:sz w:val="24"/>
          <w:szCs w:val="24"/>
          <w:vertAlign w:val="superscript"/>
          <w:lang w:val="en-GB"/>
        </w:rPr>
        <w:footnoteReference w:id="21"/>
      </w:r>
      <w:r w:rsidRPr="00504957">
        <w:rPr>
          <w:rFonts w:ascii="Book Antiqua" w:eastAsia="Times New Roman" w:hAnsi="Book Antiqua" w:cs="Times New Roman"/>
          <w:sz w:val="24"/>
          <w:szCs w:val="24"/>
          <w:lang w:val="en-GB"/>
        </w:rPr>
        <w:t xml:space="preserve">. This therefore means that the High Court should not entertain a matter on employment and labour relations even if it has an aspect of a constitutional petition. This is asserted by Justice Majanja in </w:t>
      </w:r>
      <w:r w:rsidRPr="00504957">
        <w:rPr>
          <w:rFonts w:ascii="Book Antiqua" w:eastAsia="Times New Roman" w:hAnsi="Book Antiqua" w:cs="Times New Roman"/>
          <w:b/>
          <w:i/>
          <w:sz w:val="24"/>
          <w:szCs w:val="24"/>
          <w:lang w:val="en-GB"/>
        </w:rPr>
        <w:t>United States International University v The Attorney General and Others</w:t>
      </w:r>
      <w:r w:rsidRPr="00504957">
        <w:rPr>
          <w:rFonts w:ascii="Book Antiqua" w:eastAsia="Times New Roman" w:hAnsi="Book Antiqua" w:cs="Times New Roman"/>
          <w:b/>
          <w:i/>
          <w:sz w:val="24"/>
          <w:szCs w:val="24"/>
          <w:vertAlign w:val="superscript"/>
          <w:lang w:val="en-GB"/>
        </w:rPr>
        <w:footnoteReference w:id="22"/>
      </w:r>
      <w:r w:rsidRPr="00504957">
        <w:rPr>
          <w:rFonts w:ascii="Book Antiqua" w:eastAsia="Times New Roman" w:hAnsi="Book Antiqua" w:cs="Times New Roman"/>
          <w:sz w:val="24"/>
          <w:szCs w:val="24"/>
          <w:lang w:val="en-GB"/>
        </w:rPr>
        <w:t>; where he affirms the independence of the Employment and Labor Relations Court as a coordinate court within our curial system and its independence from the High court’s supervisory mandate. In his words:</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 “</w:t>
      </w:r>
      <w:r w:rsidRPr="00504957">
        <w:rPr>
          <w:rFonts w:ascii="Book Antiqua" w:eastAsia="Times New Roman" w:hAnsi="Book Antiqua" w:cs="Times New Roman"/>
          <w:i/>
          <w:sz w:val="24"/>
          <w:szCs w:val="24"/>
          <w:lang w:val="en-GB"/>
        </w:rPr>
        <w:t>A correspondent court to the High court, that is the industrial court has now been established to deal with employment and labour matters. It follows that all employment and labour relation matters pending in the High Court shall now be heard by the industrial court which is now a court of the status of the High Court. The High Court Therefore lacks jurisdiction to deal with matters of employment and labour whether filed before or after the establishment of the industrial court</w:t>
      </w:r>
      <w:r w:rsidRPr="00504957">
        <w:rPr>
          <w:rFonts w:ascii="Book Antiqua" w:eastAsia="Times New Roman" w:hAnsi="Book Antiqua" w:cs="Times New Roman"/>
          <w:sz w:val="24"/>
          <w:szCs w:val="24"/>
          <w:lang w:val="en-GB"/>
        </w:rPr>
        <w:t xml:space="preserve">. </w:t>
      </w:r>
      <w:r w:rsidRPr="00504957">
        <w:rPr>
          <w:rFonts w:ascii="Book Antiqua" w:eastAsia="Times New Roman" w:hAnsi="Book Antiqua" w:cs="Times New Roman"/>
          <w:i/>
          <w:sz w:val="24"/>
          <w:szCs w:val="24"/>
          <w:lang w:val="en-GB"/>
        </w:rPr>
        <w:t xml:space="preserve">In any matter falling within the provisions of section 12 of the Industrial Courts and Act, then the industrial court has jurisdiction to enforce it, not only Article 41 </w:t>
      </w:r>
      <w:r w:rsidR="00D56077" w:rsidRPr="00504957">
        <w:rPr>
          <w:rFonts w:ascii="Book Antiqua" w:eastAsia="Times New Roman" w:hAnsi="Book Antiqua" w:cs="Times New Roman"/>
          <w:i/>
          <w:sz w:val="24"/>
          <w:szCs w:val="24"/>
          <w:lang w:val="en-GB"/>
        </w:rPr>
        <w:t>rights but</w:t>
      </w:r>
      <w:r w:rsidRPr="00504957">
        <w:rPr>
          <w:rFonts w:ascii="Book Antiqua" w:eastAsia="Times New Roman" w:hAnsi="Book Antiqua" w:cs="Times New Roman"/>
          <w:i/>
          <w:sz w:val="24"/>
          <w:szCs w:val="24"/>
          <w:lang w:val="en-GB"/>
        </w:rPr>
        <w:t xml:space="preserve"> also fundamental </w:t>
      </w:r>
      <w:r w:rsidRPr="00504957">
        <w:rPr>
          <w:rFonts w:ascii="Book Antiqua" w:eastAsia="Times New Roman" w:hAnsi="Book Antiqua" w:cs="Times New Roman"/>
          <w:i/>
          <w:sz w:val="24"/>
          <w:szCs w:val="24"/>
          <w:lang w:val="en-GB"/>
        </w:rPr>
        <w:lastRenderedPageBreak/>
        <w:t>rights ancillary and incidental to the employment and labour relations including interpretation of the constitution within the matter before it</w:t>
      </w:r>
      <w:r w:rsidR="00D56077" w:rsidRPr="00504957">
        <w:rPr>
          <w:rFonts w:ascii="Book Antiqua" w:eastAsia="Times New Roman" w:hAnsi="Book Antiqua" w:cs="Times New Roman"/>
          <w:i/>
          <w:sz w:val="24"/>
          <w:szCs w:val="24"/>
          <w:lang w:val="en-GB"/>
        </w:rPr>
        <w:t>.</w:t>
      </w:r>
      <w:r w:rsidR="00D56077" w:rsidRPr="00504957">
        <w:rPr>
          <w:rFonts w:ascii="Book Antiqua" w:eastAsia="Times New Roman" w:hAnsi="Book Antiqua" w:cs="Times New Roman"/>
          <w:sz w:val="24"/>
          <w:szCs w:val="24"/>
          <w:lang w:val="en-GB"/>
        </w:rPr>
        <w:t>”</w:t>
      </w:r>
      <w:r w:rsidRPr="00504957">
        <w:rPr>
          <w:rFonts w:ascii="Book Antiqua" w:eastAsia="Times New Roman" w:hAnsi="Book Antiqua" w:cs="Times New Roman"/>
          <w:sz w:val="24"/>
          <w:szCs w:val="24"/>
          <w:lang w:val="en-GB"/>
        </w:rPr>
        <w:t xml:space="preserve"> </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In the case of </w:t>
      </w:r>
      <w:r w:rsidRPr="00504957">
        <w:rPr>
          <w:rFonts w:ascii="Book Antiqua" w:eastAsia="Times New Roman" w:hAnsi="Book Antiqua" w:cs="Times New Roman"/>
          <w:b/>
          <w:i/>
          <w:sz w:val="24"/>
          <w:szCs w:val="24"/>
          <w:lang w:val="en-GB"/>
        </w:rPr>
        <w:t>James Kabugi Macharia v Kenya Development Agency Authority</w:t>
      </w:r>
      <w:r w:rsidRPr="00504957">
        <w:rPr>
          <w:rFonts w:ascii="Book Antiqua" w:eastAsia="Times New Roman" w:hAnsi="Book Antiqua" w:cs="Times New Roman"/>
          <w:sz w:val="24"/>
          <w:szCs w:val="24"/>
          <w:vertAlign w:val="superscript"/>
          <w:lang w:val="en-GB"/>
        </w:rPr>
        <w:footnoteReference w:id="23"/>
      </w:r>
      <w:r w:rsidRPr="00504957">
        <w:rPr>
          <w:rFonts w:ascii="Book Antiqua" w:eastAsia="Times New Roman" w:hAnsi="Book Antiqua" w:cs="Times New Roman"/>
          <w:sz w:val="24"/>
          <w:szCs w:val="24"/>
          <w:lang w:val="en-GB"/>
        </w:rPr>
        <w:t>, it is precisely stated that because parliament has given jurisdiction on employment matters to the industrial court, the High Court therefore has no jurisdiction to entertain employment claims.</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The recent case of </w:t>
      </w:r>
      <w:r w:rsidRPr="00504957">
        <w:rPr>
          <w:rFonts w:ascii="Book Antiqua" w:eastAsia="Times New Roman" w:hAnsi="Book Antiqua" w:cs="Times New Roman"/>
          <w:b/>
          <w:i/>
          <w:sz w:val="24"/>
          <w:szCs w:val="24"/>
          <w:lang w:val="en-GB"/>
        </w:rPr>
        <w:t>Constantine Joseph Advocates LLP v Attorney General</w:t>
      </w:r>
      <w:r w:rsidRPr="00504957">
        <w:rPr>
          <w:rFonts w:ascii="Book Antiqua" w:eastAsia="Times New Roman" w:hAnsi="Book Antiqua" w:cs="Times New Roman"/>
          <w:sz w:val="24"/>
          <w:szCs w:val="24"/>
          <w:vertAlign w:val="superscript"/>
          <w:lang w:val="en-GB"/>
        </w:rPr>
        <w:footnoteReference w:id="24"/>
      </w:r>
      <w:r w:rsidRPr="00504957">
        <w:rPr>
          <w:rFonts w:ascii="Book Antiqua" w:eastAsia="Times New Roman" w:hAnsi="Book Antiqua" w:cs="Times New Roman"/>
          <w:sz w:val="24"/>
          <w:szCs w:val="24"/>
          <w:lang w:val="en-GB"/>
        </w:rPr>
        <w:t xml:space="preserve"> further contributes to the discussion, the case states that section 12(1)(a) of the ELRC Act grants jurisdiction to the Labour Court to hear and determine disputes relating to or arising out of employment between an employer and an employee and that the High Court has no jurisdiction over the Petition in this matter.</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The ELRCs jurisdiction to hear cases on infringement rights on employment matters has been highlighted in several cases. In the case of</w:t>
      </w:r>
      <w:r w:rsidRPr="00504957">
        <w:rPr>
          <w:rFonts w:ascii="Book Antiqua" w:eastAsia="Times New Roman" w:hAnsi="Book Antiqua" w:cs="Times New Roman"/>
          <w:b/>
          <w:sz w:val="24"/>
          <w:szCs w:val="24"/>
          <w:lang w:val="en-GB"/>
        </w:rPr>
        <w:t xml:space="preserve"> </w:t>
      </w:r>
      <w:r w:rsidRPr="00504957">
        <w:rPr>
          <w:rFonts w:ascii="Book Antiqua" w:eastAsia="Times New Roman" w:hAnsi="Book Antiqua" w:cs="Times New Roman"/>
          <w:b/>
          <w:i/>
          <w:sz w:val="24"/>
          <w:szCs w:val="24"/>
          <w:lang w:val="en-GB"/>
        </w:rPr>
        <w:t>Peter Kamau Mwaura &amp; Another v National Bank of Kenya</w:t>
      </w:r>
      <w:r w:rsidRPr="00504957">
        <w:rPr>
          <w:rFonts w:ascii="Book Antiqua" w:eastAsia="Times New Roman" w:hAnsi="Book Antiqua" w:cs="Times New Roman"/>
          <w:sz w:val="24"/>
          <w:szCs w:val="24"/>
          <w:lang w:val="en-GB"/>
        </w:rPr>
        <w:t>,</w:t>
      </w:r>
      <w:r w:rsidRPr="00504957">
        <w:rPr>
          <w:rFonts w:ascii="Book Antiqua" w:eastAsia="Times New Roman" w:hAnsi="Book Antiqua" w:cs="Times New Roman"/>
          <w:sz w:val="24"/>
          <w:szCs w:val="24"/>
          <w:vertAlign w:val="superscript"/>
          <w:lang w:val="en-GB"/>
        </w:rPr>
        <w:footnoteReference w:id="25"/>
      </w:r>
      <w:r w:rsidRPr="00504957">
        <w:rPr>
          <w:rFonts w:ascii="Book Antiqua" w:eastAsia="Times New Roman" w:hAnsi="Book Antiqua" w:cs="Times New Roman"/>
          <w:sz w:val="24"/>
          <w:szCs w:val="24"/>
          <w:lang w:val="en-GB"/>
        </w:rPr>
        <w:t xml:space="preserve"> The ELRC held that an employer has a duty to give notice of termination in accordance with the provisions in the employees' letter of appointment or pay for the notice period in lieu. Further, the court stated that the provisions of Section 45 of the Employment Act on unfair termination must be adhered to and that no employer shall terminate the employment of an employee unfairly.</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In the case of </w:t>
      </w:r>
      <w:r w:rsidRPr="00504957">
        <w:rPr>
          <w:rFonts w:ascii="Book Antiqua" w:eastAsia="Times New Roman" w:hAnsi="Book Antiqua" w:cs="Times New Roman"/>
          <w:b/>
          <w:i/>
          <w:sz w:val="24"/>
          <w:szCs w:val="24"/>
          <w:lang w:val="en-GB"/>
        </w:rPr>
        <w:t>Onesmus Kinyua Magoiya v Prudential Life Assurance Kenya</w:t>
      </w:r>
      <w:r w:rsidRPr="00504957">
        <w:rPr>
          <w:rFonts w:ascii="Book Antiqua" w:eastAsia="Times New Roman" w:hAnsi="Book Antiqua" w:cs="Times New Roman"/>
          <w:sz w:val="24"/>
          <w:szCs w:val="24"/>
          <w:vertAlign w:val="superscript"/>
          <w:lang w:val="en-GB"/>
        </w:rPr>
        <w:footnoteReference w:id="26"/>
      </w:r>
      <w:r w:rsidRPr="00504957">
        <w:rPr>
          <w:rFonts w:ascii="Book Antiqua" w:eastAsia="Times New Roman" w:hAnsi="Book Antiqua" w:cs="Times New Roman"/>
          <w:sz w:val="24"/>
          <w:szCs w:val="24"/>
          <w:vertAlign w:val="superscript"/>
          <w:lang w:val="en-GB"/>
        </w:rPr>
        <w:t xml:space="preserve"> </w:t>
      </w:r>
      <w:r w:rsidRPr="00504957">
        <w:rPr>
          <w:rFonts w:ascii="Book Antiqua" w:eastAsia="Times New Roman" w:hAnsi="Book Antiqua" w:cs="Times New Roman"/>
          <w:sz w:val="24"/>
          <w:szCs w:val="24"/>
          <w:lang w:val="en-GB"/>
        </w:rPr>
        <w:t>The ELRC was of the view that the claimant's rights under Article 27 of the Constitution and Section 5(3) of the Employment Act were infringed upon as he was targeted and discriminated against leading to him being the only employee who was terminated on pretext of redundancy.</w:t>
      </w:r>
    </w:p>
    <w:p w:rsidR="00504957" w:rsidRPr="00504957"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Finally in </w:t>
      </w:r>
      <w:r w:rsidRPr="00504957">
        <w:rPr>
          <w:rFonts w:ascii="Book Antiqua" w:eastAsia="Times New Roman" w:hAnsi="Book Antiqua" w:cs="Times New Roman"/>
          <w:b/>
          <w:i/>
          <w:sz w:val="24"/>
          <w:szCs w:val="24"/>
          <w:lang w:val="en-GB"/>
        </w:rPr>
        <w:t>Kenya County Government Workers Union v County Government of Nyeri &amp; Another</w:t>
      </w:r>
      <w:r w:rsidRPr="00504957">
        <w:rPr>
          <w:rFonts w:ascii="Book Antiqua" w:eastAsia="Times New Roman" w:hAnsi="Book Antiqua" w:cs="Times New Roman"/>
          <w:sz w:val="24"/>
          <w:szCs w:val="24"/>
          <w:vertAlign w:val="superscript"/>
          <w:lang w:val="en-GB"/>
        </w:rPr>
        <w:footnoteReference w:id="27"/>
      </w:r>
      <w:r w:rsidRPr="00504957">
        <w:rPr>
          <w:rFonts w:ascii="Book Antiqua" w:eastAsia="Times New Roman" w:hAnsi="Book Antiqua" w:cs="Times New Roman"/>
          <w:sz w:val="24"/>
          <w:szCs w:val="24"/>
          <w:lang w:val="en-GB"/>
        </w:rPr>
        <w:t xml:space="preserve">, the ELRC was for the opinion that the right to “fair labour practices” encompasses the constitutional and statutory provisions and the established workplace </w:t>
      </w:r>
      <w:r w:rsidRPr="00504957">
        <w:rPr>
          <w:rFonts w:ascii="Book Antiqua" w:eastAsia="Times New Roman" w:hAnsi="Book Antiqua" w:cs="Times New Roman"/>
          <w:sz w:val="24"/>
          <w:szCs w:val="24"/>
          <w:lang w:val="en-GB"/>
        </w:rPr>
        <w:lastRenderedPageBreak/>
        <w:t>conventions or usages that give effect to the elaborations set out in Article 41 or promote and protect fairness at work.</w:t>
      </w:r>
    </w:p>
    <w:p w:rsidR="00504957" w:rsidRPr="00100B69" w:rsidRDefault="00504957" w:rsidP="00504957">
      <w:pPr>
        <w:spacing w:line="276" w:lineRule="auto"/>
        <w:jc w:val="both"/>
        <w:rPr>
          <w:rFonts w:ascii="Book Antiqua" w:eastAsia="Times New Roman" w:hAnsi="Book Antiqua" w:cs="Times New Roman"/>
          <w:sz w:val="24"/>
          <w:szCs w:val="24"/>
          <w:lang w:val="en-GB"/>
        </w:rPr>
      </w:pPr>
      <w:r w:rsidRPr="00504957">
        <w:rPr>
          <w:rFonts w:ascii="Book Antiqua" w:eastAsia="Times New Roman" w:hAnsi="Book Antiqua" w:cs="Times New Roman"/>
          <w:sz w:val="24"/>
          <w:szCs w:val="24"/>
          <w:lang w:val="en-GB"/>
        </w:rPr>
        <w:t xml:space="preserve">Based on all the issues raised above, the Employment and Labour Relations Court is the correct court which is clothed with jurisdiction and where the client can file her case. </w:t>
      </w:r>
    </w:p>
    <w:p w:rsidR="00504957" w:rsidRPr="00100B69" w:rsidRDefault="00504957" w:rsidP="00443C64">
      <w:pPr>
        <w:pStyle w:val="Heading1"/>
        <w:rPr>
          <w:rFonts w:eastAsia="Times New Roman"/>
          <w:lang w:val="en-GB"/>
        </w:rPr>
      </w:pPr>
    </w:p>
    <w:p w:rsidR="00443C64" w:rsidRDefault="00443C64" w:rsidP="00443C64">
      <w:pPr>
        <w:pStyle w:val="Heading1"/>
        <w:rPr>
          <w:rFonts w:eastAsia="Times New Roman"/>
          <w:b/>
          <w:bCs/>
        </w:rPr>
      </w:pPr>
      <w:bookmarkStart w:id="31" w:name="_Toc128375771"/>
      <w:bookmarkStart w:id="32" w:name="_Toc128982909"/>
      <w:r>
        <w:rPr>
          <w:rFonts w:eastAsia="Times New Roman"/>
          <w:b/>
          <w:bCs/>
        </w:rPr>
        <w:t xml:space="preserve">SECTION 4: </w:t>
      </w:r>
      <w:r w:rsidR="00B703CB" w:rsidRPr="00B703CB">
        <w:rPr>
          <w:rFonts w:eastAsia="Times New Roman"/>
          <w:b/>
          <w:bCs/>
        </w:rPr>
        <w:t>Q</w:t>
      </w:r>
      <w:r>
        <w:rPr>
          <w:rFonts w:eastAsia="Times New Roman"/>
          <w:b/>
          <w:bCs/>
        </w:rPr>
        <w:t>UESTION</w:t>
      </w:r>
      <w:r w:rsidR="00B703CB" w:rsidRPr="00B703CB">
        <w:rPr>
          <w:rFonts w:eastAsia="Times New Roman"/>
          <w:b/>
          <w:bCs/>
        </w:rPr>
        <w:t xml:space="preserve"> </w:t>
      </w:r>
      <w:r w:rsidR="00D56077" w:rsidRPr="00B703CB">
        <w:rPr>
          <w:rFonts w:eastAsia="Times New Roman"/>
          <w:b/>
          <w:bCs/>
        </w:rPr>
        <w:t>4</w:t>
      </w:r>
      <w:bookmarkEnd w:id="31"/>
      <w:bookmarkEnd w:id="32"/>
    </w:p>
    <w:p w:rsidR="00B703CB" w:rsidRPr="00B703CB" w:rsidRDefault="00D56077" w:rsidP="00AE7E67">
      <w:pPr>
        <w:pStyle w:val="Heading2"/>
        <w:rPr>
          <w:rFonts w:eastAsia="Times New Roman"/>
        </w:rPr>
      </w:pPr>
      <w:bookmarkStart w:id="33" w:name="_Toc128375772"/>
      <w:bookmarkStart w:id="34" w:name="_Toc128982910"/>
      <w:r w:rsidRPr="00B703CB">
        <w:rPr>
          <w:rFonts w:eastAsia="Times New Roman"/>
        </w:rPr>
        <w:t>The</w:t>
      </w:r>
      <w:r w:rsidR="00B703CB" w:rsidRPr="00B703CB">
        <w:rPr>
          <w:rFonts w:eastAsia="Times New Roman"/>
        </w:rPr>
        <w:t xml:space="preserve"> doctrine of exhaustion may be a complete bar to the jurisdiction of a Court if the exceptions thereto do not apply. Discuss.</w:t>
      </w:r>
      <w:bookmarkEnd w:id="33"/>
      <w:bookmarkEnd w:id="34"/>
      <w:r w:rsidR="00B703CB" w:rsidRPr="00B703CB">
        <w:rPr>
          <w:rFonts w:eastAsia="Times New Roman"/>
        </w:rPr>
        <w:t xml:space="preserve"> </w:t>
      </w:r>
    </w:p>
    <w:p w:rsidR="00F07C1C" w:rsidRPr="00100B69" w:rsidRDefault="00F07C1C" w:rsidP="00F07C1C">
      <w:pPr>
        <w:spacing w:line="276" w:lineRule="auto"/>
        <w:rPr>
          <w:rFonts w:ascii="Book Antiqua" w:eastAsia="Times New Roman" w:hAnsi="Book Antiqua" w:cs="Times New Roman"/>
          <w:sz w:val="24"/>
          <w:szCs w:val="24"/>
        </w:rPr>
      </w:pPr>
    </w:p>
    <w:p w:rsidR="00504957" w:rsidRPr="00100B69" w:rsidRDefault="00504957" w:rsidP="00504957">
      <w:pPr>
        <w:spacing w:line="276" w:lineRule="auto"/>
        <w:jc w:val="both"/>
        <w:rPr>
          <w:rFonts w:ascii="Book Antiqua" w:eastAsia="Times New Roman" w:hAnsi="Book Antiqua" w:cs="Times New Roman"/>
          <w:sz w:val="24"/>
          <w:szCs w:val="24"/>
        </w:rPr>
      </w:pPr>
    </w:p>
    <w:p w:rsidR="00362332" w:rsidRDefault="00F07C1C" w:rsidP="00504957">
      <w:pPr>
        <w:spacing w:line="276" w:lineRule="auto"/>
        <w:jc w:val="both"/>
        <w:rPr>
          <w:rFonts w:ascii="Book Antiqua" w:eastAsia="Times New Roman" w:hAnsi="Book Antiqua" w:cs="Times New Roman"/>
          <w:sz w:val="24"/>
          <w:szCs w:val="24"/>
        </w:rPr>
      </w:pPr>
      <w:r w:rsidRPr="00100B69">
        <w:rPr>
          <w:rFonts w:ascii="Book Antiqua" w:eastAsia="Times New Roman" w:hAnsi="Book Antiqua" w:cs="Times New Roman"/>
          <w:sz w:val="24"/>
          <w:szCs w:val="24"/>
        </w:rPr>
        <w:t>The d</w:t>
      </w:r>
      <w:r w:rsidR="00504957" w:rsidRPr="00504957">
        <w:rPr>
          <w:rFonts w:ascii="Book Antiqua" w:eastAsia="Times New Roman" w:hAnsi="Book Antiqua" w:cs="Times New Roman"/>
          <w:sz w:val="24"/>
          <w:szCs w:val="24"/>
        </w:rPr>
        <w:t>octrine of exhaustion</w:t>
      </w:r>
      <w:r w:rsidR="00362332">
        <w:rPr>
          <w:rFonts w:ascii="Book Antiqua" w:eastAsia="Times New Roman" w:hAnsi="Book Antiqua" w:cs="Times New Roman"/>
          <w:sz w:val="24"/>
          <w:szCs w:val="24"/>
        </w:rPr>
        <w:t xml:space="preserve"> got its </w:t>
      </w:r>
      <w:r w:rsidR="007E2CD1">
        <w:rPr>
          <w:rFonts w:ascii="Book Antiqua" w:eastAsia="Times New Roman" w:hAnsi="Book Antiqua" w:cs="Times New Roman"/>
          <w:sz w:val="24"/>
          <w:szCs w:val="24"/>
        </w:rPr>
        <w:t>foundation</w:t>
      </w:r>
      <w:r w:rsidR="00362332">
        <w:rPr>
          <w:rFonts w:ascii="Book Antiqua" w:eastAsia="Times New Roman" w:hAnsi="Book Antiqua" w:cs="Times New Roman"/>
          <w:sz w:val="24"/>
          <w:szCs w:val="24"/>
        </w:rPr>
        <w:t xml:space="preserve"> from Article 159 (2)(c) of the Constitution</w:t>
      </w:r>
      <w:r w:rsidR="007E2CD1">
        <w:rPr>
          <w:rFonts w:ascii="Book Antiqua" w:eastAsia="Times New Roman" w:hAnsi="Book Antiqua" w:cs="Times New Roman"/>
          <w:sz w:val="24"/>
          <w:szCs w:val="24"/>
        </w:rPr>
        <w:t>, which affirms and promotes the use of alternative conflict/dispute resolution mechanisms</w:t>
      </w:r>
      <w:r w:rsidR="00781DDA">
        <w:rPr>
          <w:rStyle w:val="FootnoteReference"/>
          <w:rFonts w:ascii="Book Antiqua" w:eastAsia="Times New Roman" w:hAnsi="Book Antiqua" w:cs="Times New Roman"/>
          <w:sz w:val="24"/>
          <w:szCs w:val="24"/>
        </w:rPr>
        <w:footnoteReference w:id="28"/>
      </w:r>
      <w:r w:rsidR="007E2CD1">
        <w:rPr>
          <w:rFonts w:ascii="Book Antiqua" w:eastAsia="Times New Roman" w:hAnsi="Book Antiqua" w:cs="Times New Roman"/>
          <w:sz w:val="24"/>
          <w:szCs w:val="24"/>
        </w:rPr>
        <w:t>.</w:t>
      </w:r>
    </w:p>
    <w:p w:rsidR="00504957" w:rsidRPr="00504957" w:rsidRDefault="002C77D6" w:rsidP="00504957">
      <w:pPr>
        <w:spacing w:line="276" w:lineRule="auto"/>
        <w:jc w:val="both"/>
        <w:rPr>
          <w:rFonts w:ascii="Book Antiqua" w:eastAsia="Times New Roman" w:hAnsi="Book Antiqua" w:cs="Times New Roman"/>
          <w:sz w:val="24"/>
          <w:szCs w:val="24"/>
        </w:rPr>
      </w:pPr>
      <w:r>
        <w:rPr>
          <w:rFonts w:ascii="Book Antiqua" w:eastAsia="Times New Roman" w:hAnsi="Book Antiqua" w:cs="Times New Roman"/>
          <w:sz w:val="24"/>
          <w:szCs w:val="24"/>
        </w:rPr>
        <w:t>The doctrine of exhaustion</w:t>
      </w:r>
      <w:r w:rsidR="00504957" w:rsidRPr="00504957">
        <w:rPr>
          <w:rFonts w:ascii="Book Antiqua" w:eastAsia="Times New Roman" w:hAnsi="Book Antiqua" w:cs="Times New Roman"/>
          <w:sz w:val="24"/>
          <w:szCs w:val="24"/>
        </w:rPr>
        <w:t xml:space="preserve"> ensures the postponement of judicial consideration of matters to ensure that a party is, first of all, diligent in the protection of his own interest within the mechanism in place for resolution outside court</w:t>
      </w:r>
      <w:r>
        <w:rPr>
          <w:rStyle w:val="FootnoteReference"/>
          <w:rFonts w:ascii="Book Antiqua" w:eastAsia="Times New Roman" w:hAnsi="Book Antiqua" w:cs="Times New Roman"/>
          <w:sz w:val="24"/>
          <w:szCs w:val="24"/>
        </w:rPr>
        <w:footnoteReference w:id="29"/>
      </w:r>
      <w:r w:rsidR="00504957" w:rsidRPr="00504957">
        <w:rPr>
          <w:rFonts w:ascii="Book Antiqua" w:eastAsia="Times New Roman" w:hAnsi="Book Antiqua" w:cs="Times New Roman"/>
          <w:sz w:val="24"/>
          <w:szCs w:val="24"/>
        </w:rPr>
        <w:t>.</w:t>
      </w:r>
    </w:p>
    <w:p w:rsidR="00504957" w:rsidRPr="00504957" w:rsidRDefault="00504957" w:rsidP="0050495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 xml:space="preserve">The purpose of doctrine of exhaustion includes: </w:t>
      </w:r>
    </w:p>
    <w:p w:rsidR="00504957" w:rsidRPr="00504957" w:rsidRDefault="00504957" w:rsidP="0050495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(a)To maintain comity between the courts and administrative agencies.</w:t>
      </w:r>
    </w:p>
    <w:p w:rsidR="00504957" w:rsidRPr="00504957" w:rsidRDefault="00504957" w:rsidP="0050495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(b) To ensure the court will not be burdened by cases in which juridical relief is unnecessary.</w:t>
      </w:r>
    </w:p>
    <w:p w:rsidR="00504957" w:rsidRDefault="00504957" w:rsidP="0050495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In the case</w:t>
      </w:r>
      <w:r w:rsidRPr="00504957">
        <w:rPr>
          <w:rFonts w:ascii="Book Antiqua" w:eastAsia="Times New Roman" w:hAnsi="Book Antiqua" w:cs="Times New Roman"/>
          <w:b/>
          <w:i/>
          <w:sz w:val="24"/>
          <w:szCs w:val="24"/>
        </w:rPr>
        <w:t xml:space="preserve"> Geoffrey Muthiga Kabiru &amp; 2 other v Samuel Munga Henry &amp; 1756 others</w:t>
      </w:r>
      <w:r w:rsidRPr="00504957">
        <w:rPr>
          <w:rFonts w:ascii="Book Antiqua" w:eastAsia="Times New Roman" w:hAnsi="Book Antiqua" w:cs="Times New Roman"/>
          <w:sz w:val="24"/>
          <w:szCs w:val="24"/>
          <w:vertAlign w:val="superscript"/>
        </w:rPr>
        <w:footnoteReference w:id="30"/>
      </w:r>
      <w:r w:rsidRPr="00504957">
        <w:rPr>
          <w:rFonts w:ascii="Book Antiqua" w:eastAsia="Times New Roman" w:hAnsi="Book Antiqua" w:cs="Times New Roman"/>
          <w:sz w:val="24"/>
          <w:szCs w:val="24"/>
        </w:rPr>
        <w:t xml:space="preserve"> where the Court of Appeal stated that it is imperative that where a disputes resolution mechanism exists outside courts, the same be exhausted before the jurisdiction of the court is invoked. Courts ought to be the fora last resort and not the first port of call the moment a storm </w:t>
      </w:r>
      <w:proofErr w:type="gramStart"/>
      <w:r w:rsidR="006011E3" w:rsidRPr="00504957">
        <w:rPr>
          <w:rFonts w:ascii="Book Antiqua" w:eastAsia="Times New Roman" w:hAnsi="Book Antiqua" w:cs="Times New Roman"/>
          <w:sz w:val="24"/>
          <w:szCs w:val="24"/>
        </w:rPr>
        <w:t>brew</w:t>
      </w:r>
      <w:r w:rsidR="006011E3">
        <w:rPr>
          <w:rFonts w:ascii="Book Antiqua" w:eastAsia="Times New Roman" w:hAnsi="Book Antiqua" w:cs="Times New Roman"/>
          <w:sz w:val="24"/>
          <w:szCs w:val="24"/>
        </w:rPr>
        <w:t>s</w:t>
      </w:r>
      <w:proofErr w:type="gramEnd"/>
      <w:r w:rsidRPr="00504957">
        <w:rPr>
          <w:rFonts w:ascii="Book Antiqua" w:eastAsia="Times New Roman" w:hAnsi="Book Antiqua" w:cs="Times New Roman"/>
          <w:sz w:val="24"/>
          <w:szCs w:val="24"/>
        </w:rPr>
        <w:t xml:space="preserve">…. the exhaustion doctrine is a sound one and serves the purpose of ensuring that there is a postponement of judicial consideration of a matter to ensure </w:t>
      </w:r>
      <w:r w:rsidRPr="00504957">
        <w:rPr>
          <w:rFonts w:ascii="Book Antiqua" w:eastAsia="Times New Roman" w:hAnsi="Book Antiqua" w:cs="Times New Roman"/>
          <w:sz w:val="24"/>
          <w:szCs w:val="24"/>
        </w:rPr>
        <w:lastRenderedPageBreak/>
        <w:t>that a party is a first of all diligent in the protection of its own interest within the mechanism in resolution outside the court.</w:t>
      </w:r>
      <w:r w:rsidRPr="00504957">
        <w:rPr>
          <w:rFonts w:ascii="Book Antiqua" w:eastAsia="Times New Roman" w:hAnsi="Book Antiqua" w:cs="Times New Roman"/>
          <w:sz w:val="24"/>
          <w:szCs w:val="24"/>
          <w:vertAlign w:val="superscript"/>
        </w:rPr>
        <w:footnoteReference w:id="31"/>
      </w:r>
    </w:p>
    <w:p w:rsidR="00504957" w:rsidRPr="00AE7E67" w:rsidRDefault="00504957" w:rsidP="00AE7E67">
      <w:pPr>
        <w:pStyle w:val="Heading3"/>
        <w:rPr>
          <w:rFonts w:eastAsia="Times New Roman"/>
          <w:b/>
          <w:bCs/>
        </w:rPr>
      </w:pPr>
      <w:bookmarkStart w:id="36" w:name="_Toc128375773"/>
      <w:bookmarkStart w:id="37" w:name="_Toc128982911"/>
      <w:r w:rsidRPr="00AE7E67">
        <w:rPr>
          <w:rFonts w:eastAsia="Times New Roman"/>
          <w:b/>
          <w:bCs/>
        </w:rPr>
        <w:t>Exception to the exhaustion</w:t>
      </w:r>
      <w:bookmarkEnd w:id="36"/>
      <w:bookmarkEnd w:id="37"/>
    </w:p>
    <w:p w:rsidR="00A111D7" w:rsidRPr="00504957" w:rsidRDefault="00504957" w:rsidP="00A111D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The Fair Administration Act provides for the exception to the doctrine of exhaustion under section 9(4) that states that the high court or subordinate courts may in exceptional circumstance where an applicant maybe exempted from the obligation to exhaust any remedy if the courts considers that such exemption to be in the interest of justice.</w:t>
      </w:r>
      <w:r w:rsidRPr="00504957">
        <w:rPr>
          <w:rFonts w:ascii="Book Antiqua" w:eastAsia="Times New Roman" w:hAnsi="Book Antiqua" w:cs="Times New Roman"/>
          <w:sz w:val="24"/>
          <w:szCs w:val="24"/>
          <w:vertAlign w:val="superscript"/>
        </w:rPr>
        <w:footnoteReference w:id="32"/>
      </w:r>
      <w:r w:rsidR="00A111D7" w:rsidRPr="00A111D7">
        <w:rPr>
          <w:rFonts w:ascii="Book Antiqua" w:eastAsia="Times New Roman" w:hAnsi="Book Antiqua" w:cs="Times New Roman"/>
          <w:sz w:val="24"/>
          <w:szCs w:val="24"/>
        </w:rPr>
        <w:t xml:space="preserve"> The Court of Appeal also </w:t>
      </w:r>
      <w:r w:rsidR="00A111D7">
        <w:rPr>
          <w:rFonts w:ascii="Book Antiqua" w:eastAsia="Times New Roman" w:hAnsi="Book Antiqua" w:cs="Times New Roman"/>
          <w:sz w:val="24"/>
          <w:szCs w:val="24"/>
        </w:rPr>
        <w:t>reiterate</w:t>
      </w:r>
      <w:r w:rsidR="00A111D7" w:rsidRPr="00A111D7">
        <w:rPr>
          <w:rFonts w:ascii="Book Antiqua" w:eastAsia="Times New Roman" w:hAnsi="Book Antiqua" w:cs="Times New Roman"/>
          <w:sz w:val="24"/>
          <w:szCs w:val="24"/>
        </w:rPr>
        <w:t xml:space="preserve">d this in the case of </w:t>
      </w:r>
      <w:r w:rsidR="00A111D7" w:rsidRPr="00A111D7">
        <w:rPr>
          <w:rFonts w:ascii="Book Antiqua" w:eastAsia="Times New Roman" w:hAnsi="Book Antiqua" w:cs="Times New Roman"/>
          <w:b/>
          <w:bCs/>
          <w:i/>
          <w:iCs/>
          <w:sz w:val="24"/>
          <w:szCs w:val="24"/>
        </w:rPr>
        <w:t>Shikara Limited Case (supra)</w:t>
      </w:r>
      <w:r w:rsidR="00A111D7">
        <w:rPr>
          <w:rStyle w:val="FootnoteReference"/>
          <w:rFonts w:ascii="Book Antiqua" w:eastAsia="Times New Roman" w:hAnsi="Book Antiqua" w:cs="Times New Roman"/>
          <w:b/>
          <w:bCs/>
          <w:i/>
          <w:iCs/>
          <w:sz w:val="24"/>
          <w:szCs w:val="24"/>
        </w:rPr>
        <w:footnoteReference w:id="33"/>
      </w:r>
    </w:p>
    <w:p w:rsidR="00504957" w:rsidRPr="00504957" w:rsidRDefault="00504957" w:rsidP="00504957">
      <w:pPr>
        <w:spacing w:line="276" w:lineRule="auto"/>
        <w:jc w:val="both"/>
        <w:rPr>
          <w:rFonts w:ascii="Book Antiqua" w:eastAsia="Times New Roman" w:hAnsi="Book Antiqua" w:cs="Times New Roman"/>
          <w:sz w:val="24"/>
          <w:szCs w:val="24"/>
        </w:rPr>
      </w:pPr>
    </w:p>
    <w:p w:rsidR="00504957" w:rsidRPr="00AE7E67" w:rsidRDefault="00504957" w:rsidP="00AE7E67">
      <w:pPr>
        <w:pStyle w:val="Heading3"/>
        <w:rPr>
          <w:rFonts w:eastAsia="Times New Roman"/>
          <w:b/>
          <w:bCs/>
        </w:rPr>
      </w:pPr>
      <w:bookmarkStart w:id="38" w:name="_Toc128375774"/>
      <w:bookmarkStart w:id="39" w:name="_Toc128982912"/>
      <w:r w:rsidRPr="00AE7E67">
        <w:rPr>
          <w:rFonts w:eastAsia="Times New Roman"/>
          <w:b/>
          <w:bCs/>
        </w:rPr>
        <w:t>The following are grounds for exception to the doctrine of exhaustion:</w:t>
      </w:r>
      <w:bookmarkEnd w:id="38"/>
      <w:bookmarkEnd w:id="39"/>
    </w:p>
    <w:p w:rsidR="00504957" w:rsidRPr="00504957" w:rsidRDefault="00504957" w:rsidP="00504957">
      <w:pPr>
        <w:numPr>
          <w:ilvl w:val="0"/>
          <w:numId w:val="7"/>
        </w:num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Where the doctrine would not serve the values enshrined in the constitution or law and allows the suit to proceed before.</w:t>
      </w:r>
    </w:p>
    <w:p w:rsidR="00504957" w:rsidRPr="00504957" w:rsidRDefault="00504957" w:rsidP="00504957">
      <w:pPr>
        <w:numPr>
          <w:ilvl w:val="0"/>
          <w:numId w:val="7"/>
        </w:num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Where a party pleads issues that verge on constitutional interpretation especially where an important constitutional value is at stake.</w:t>
      </w:r>
    </w:p>
    <w:p w:rsidR="00504957" w:rsidRPr="00504957" w:rsidRDefault="00504957" w:rsidP="00504957">
      <w:pPr>
        <w:numPr>
          <w:ilvl w:val="0"/>
          <w:numId w:val="7"/>
        </w:numPr>
        <w:spacing w:line="276" w:lineRule="auto"/>
        <w:jc w:val="both"/>
        <w:rPr>
          <w:rFonts w:ascii="Book Antiqua" w:eastAsia="Times New Roman" w:hAnsi="Book Antiqua" w:cs="Times New Roman"/>
          <w:i/>
          <w:iCs/>
          <w:sz w:val="24"/>
          <w:szCs w:val="24"/>
        </w:rPr>
      </w:pPr>
      <w:r w:rsidRPr="00504957">
        <w:rPr>
          <w:rFonts w:ascii="Book Antiqua" w:eastAsia="Times New Roman" w:hAnsi="Book Antiqua" w:cs="Times New Roman"/>
          <w:sz w:val="24"/>
          <w:szCs w:val="24"/>
        </w:rPr>
        <w:t>Where the statutory provision ousting the court’s jurisdiction must be construed respectively.</w:t>
      </w:r>
      <w:r w:rsidRPr="00504957">
        <w:rPr>
          <w:rFonts w:ascii="Book Antiqua" w:eastAsia="Times New Roman" w:hAnsi="Book Antiqua" w:cs="Times New Roman"/>
          <w:sz w:val="24"/>
          <w:szCs w:val="24"/>
          <w:vertAlign w:val="superscript"/>
        </w:rPr>
        <w:footnoteReference w:id="34"/>
      </w:r>
      <w:r w:rsidRPr="00504957">
        <w:rPr>
          <w:rFonts w:ascii="Book Antiqua" w:eastAsia="Times New Roman" w:hAnsi="Book Antiqua" w:cs="Times New Roman"/>
          <w:sz w:val="24"/>
          <w:szCs w:val="24"/>
        </w:rPr>
        <w:t xml:space="preserve"> </w:t>
      </w:r>
      <w:r w:rsidR="00A111D7">
        <w:rPr>
          <w:rFonts w:ascii="Book Antiqua" w:eastAsia="Times New Roman" w:hAnsi="Book Antiqua" w:cs="Times New Roman"/>
          <w:sz w:val="24"/>
          <w:szCs w:val="24"/>
        </w:rPr>
        <w:t xml:space="preserve">This was also held in the case of </w:t>
      </w:r>
      <w:r w:rsidR="00A111D7" w:rsidRPr="00A111D7">
        <w:rPr>
          <w:rFonts w:ascii="Book Antiqua" w:eastAsia="Times New Roman" w:hAnsi="Book Antiqua" w:cs="Times New Roman"/>
          <w:b/>
          <w:bCs/>
          <w:i/>
          <w:iCs/>
          <w:sz w:val="24"/>
          <w:szCs w:val="24"/>
        </w:rPr>
        <w:t>Republic v Independent Electoral and Boundaries Commission (I.E.B.C.) Ex parte National Super Alliance (NASA) Kenya &amp; 6 others [2017] eKLR</w:t>
      </w:r>
      <w:r w:rsidR="0058275A">
        <w:rPr>
          <w:rFonts w:ascii="Book Antiqua" w:eastAsia="Times New Roman" w:hAnsi="Book Antiqua" w:cs="Times New Roman"/>
          <w:b/>
          <w:bCs/>
          <w:i/>
          <w:iCs/>
          <w:sz w:val="24"/>
          <w:szCs w:val="24"/>
        </w:rPr>
        <w:t>, paragraph 50</w:t>
      </w:r>
      <w:r w:rsidR="00A111D7">
        <w:rPr>
          <w:rStyle w:val="FootnoteReference"/>
          <w:rFonts w:ascii="Book Antiqua" w:eastAsia="Times New Roman" w:hAnsi="Book Antiqua" w:cs="Times New Roman"/>
          <w:b/>
          <w:bCs/>
          <w:i/>
          <w:iCs/>
          <w:sz w:val="24"/>
          <w:szCs w:val="24"/>
        </w:rPr>
        <w:footnoteReference w:id="35"/>
      </w:r>
    </w:p>
    <w:p w:rsidR="00504957" w:rsidRDefault="00504957" w:rsidP="00504957">
      <w:pPr>
        <w:spacing w:line="276" w:lineRule="auto"/>
        <w:jc w:val="both"/>
        <w:rPr>
          <w:rFonts w:ascii="Book Antiqua" w:eastAsia="Times New Roman" w:hAnsi="Book Antiqua" w:cs="Times New Roman"/>
          <w:sz w:val="24"/>
          <w:szCs w:val="24"/>
        </w:rPr>
      </w:pPr>
      <w:r w:rsidRPr="00504957">
        <w:rPr>
          <w:rFonts w:ascii="Book Antiqua" w:eastAsia="Times New Roman" w:hAnsi="Book Antiqua" w:cs="Times New Roman"/>
          <w:sz w:val="24"/>
          <w:szCs w:val="24"/>
        </w:rPr>
        <w:t>In the case of Fleur Investments limited v commissioner of domestic taxes &amp; another</w:t>
      </w:r>
      <w:r w:rsidRPr="00504957">
        <w:rPr>
          <w:rFonts w:ascii="Book Antiqua" w:eastAsia="Times New Roman" w:hAnsi="Book Antiqua" w:cs="Times New Roman"/>
          <w:sz w:val="24"/>
          <w:szCs w:val="24"/>
          <w:vertAlign w:val="superscript"/>
        </w:rPr>
        <w:footnoteReference w:id="36"/>
      </w:r>
      <w:r w:rsidRPr="00504957">
        <w:rPr>
          <w:rFonts w:ascii="Book Antiqua" w:eastAsia="Times New Roman" w:hAnsi="Book Antiqua" w:cs="Times New Roman"/>
          <w:sz w:val="24"/>
          <w:szCs w:val="24"/>
        </w:rPr>
        <w:t xml:space="preserve">, where the court of appeal while determining whether the a litigant can be exempt from the doctrine held that thus, “whereas courts of law are enjoined to defer to specialized tribunal and other alternative dispute resolution statutory bodies created by parliament to resolve certain specific disputes, the court cannot, being bastion of justice, sit back and watch institution ride roughshod on the right of citizens who seeks refuge under the constitution and other legislation for protection. The Court is perfectly in order to intervene where there is a clear abuse of discretion by such bodies where arbitrariness, malice, capriciousness and disrespectful of the Rules of natural justice are manifest. The </w:t>
      </w:r>
      <w:r w:rsidRPr="00504957">
        <w:rPr>
          <w:rFonts w:ascii="Book Antiqua" w:eastAsia="Times New Roman" w:hAnsi="Book Antiqua" w:cs="Times New Roman"/>
          <w:sz w:val="24"/>
          <w:szCs w:val="24"/>
        </w:rPr>
        <w:lastRenderedPageBreak/>
        <w:t>person charged with statutory powers and duties ought to exercise the same reasonably and fair</w:t>
      </w:r>
      <w:r w:rsidR="00A111D7">
        <w:rPr>
          <w:rFonts w:ascii="Book Antiqua" w:eastAsia="Times New Roman" w:hAnsi="Book Antiqua" w:cs="Times New Roman"/>
          <w:sz w:val="24"/>
          <w:szCs w:val="24"/>
        </w:rPr>
        <w:t>.”</w:t>
      </w:r>
      <w:r w:rsidRPr="00504957">
        <w:rPr>
          <w:rFonts w:ascii="Book Antiqua" w:eastAsia="Times New Roman" w:hAnsi="Book Antiqua" w:cs="Times New Roman"/>
          <w:sz w:val="24"/>
          <w:szCs w:val="24"/>
          <w:vertAlign w:val="superscript"/>
        </w:rPr>
        <w:footnoteReference w:id="37"/>
      </w:r>
    </w:p>
    <w:p w:rsidR="00362332" w:rsidRPr="00504957" w:rsidRDefault="00362332" w:rsidP="00504957">
      <w:pPr>
        <w:spacing w:line="276" w:lineRule="auto"/>
        <w:jc w:val="both"/>
        <w:rPr>
          <w:rFonts w:ascii="Book Antiqua" w:eastAsia="Times New Roman" w:hAnsi="Book Antiqua" w:cs="Times New Roman"/>
          <w:sz w:val="24"/>
          <w:szCs w:val="24"/>
        </w:rPr>
      </w:pPr>
    </w:p>
    <w:p w:rsidR="00504957" w:rsidRPr="00504957" w:rsidRDefault="00504957" w:rsidP="00504957">
      <w:pPr>
        <w:spacing w:line="276" w:lineRule="auto"/>
        <w:jc w:val="both"/>
        <w:rPr>
          <w:rFonts w:ascii="Book Antiqua" w:eastAsia="Times New Roman" w:hAnsi="Book Antiqua" w:cs="Times New Roman"/>
          <w:sz w:val="24"/>
          <w:szCs w:val="24"/>
        </w:rPr>
      </w:pPr>
    </w:p>
    <w:p w:rsidR="00504957" w:rsidRPr="00504957" w:rsidRDefault="00504957" w:rsidP="00504957">
      <w:pPr>
        <w:spacing w:line="276" w:lineRule="auto"/>
        <w:jc w:val="both"/>
        <w:rPr>
          <w:rFonts w:ascii="Book Antiqua" w:eastAsia="Times New Roman" w:hAnsi="Book Antiqua" w:cs="Times New Roman"/>
          <w:sz w:val="24"/>
          <w:szCs w:val="24"/>
        </w:rPr>
      </w:pPr>
    </w:p>
    <w:p w:rsidR="00504957" w:rsidRPr="00504957" w:rsidRDefault="00504957" w:rsidP="00504957">
      <w:pPr>
        <w:spacing w:line="276" w:lineRule="auto"/>
        <w:jc w:val="both"/>
        <w:rPr>
          <w:rFonts w:ascii="Book Antiqua" w:eastAsia="Times New Roman" w:hAnsi="Book Antiqua" w:cs="Times New Roman"/>
          <w:sz w:val="24"/>
          <w:szCs w:val="24"/>
          <w:lang w:val="en-GB"/>
        </w:rPr>
      </w:pPr>
    </w:p>
    <w:p w:rsidR="00504957" w:rsidRPr="00504957" w:rsidRDefault="00504957" w:rsidP="00504957">
      <w:pPr>
        <w:spacing w:line="276" w:lineRule="auto"/>
        <w:jc w:val="both"/>
        <w:rPr>
          <w:rFonts w:ascii="Book Antiqua" w:eastAsia="Times New Roman" w:hAnsi="Book Antiqua" w:cs="Times New Roman"/>
          <w:sz w:val="24"/>
          <w:szCs w:val="24"/>
        </w:rPr>
      </w:pPr>
    </w:p>
    <w:p w:rsidR="00504957" w:rsidRPr="00504957" w:rsidRDefault="00504957" w:rsidP="00504957">
      <w:pPr>
        <w:spacing w:line="276" w:lineRule="auto"/>
        <w:jc w:val="both"/>
        <w:rPr>
          <w:rFonts w:ascii="Book Antiqua" w:eastAsia="Times New Roman" w:hAnsi="Book Antiqua" w:cs="Times New Roman"/>
          <w:sz w:val="24"/>
          <w:szCs w:val="24"/>
        </w:rPr>
      </w:pPr>
    </w:p>
    <w:p w:rsidR="00504957" w:rsidRPr="00504957" w:rsidRDefault="00504957" w:rsidP="00504957">
      <w:pPr>
        <w:spacing w:line="276" w:lineRule="auto"/>
        <w:jc w:val="both"/>
        <w:rPr>
          <w:rFonts w:ascii="Book Antiqua" w:eastAsia="Times New Roman" w:hAnsi="Book Antiqua" w:cs="Times New Roman"/>
          <w:vanish/>
          <w:sz w:val="24"/>
          <w:szCs w:val="24"/>
        </w:rPr>
      </w:pPr>
      <w:r w:rsidRPr="00504957">
        <w:rPr>
          <w:rFonts w:ascii="Book Antiqua" w:eastAsia="Times New Roman" w:hAnsi="Book Antiqua" w:cs="Times New Roman"/>
          <w:vanish/>
          <w:sz w:val="24"/>
          <w:szCs w:val="24"/>
        </w:rPr>
        <w:t>Bottom of Form</w:t>
      </w:r>
    </w:p>
    <w:p w:rsidR="00504957" w:rsidRPr="00504957" w:rsidRDefault="00504957" w:rsidP="00504957">
      <w:pPr>
        <w:spacing w:line="276" w:lineRule="auto"/>
        <w:jc w:val="both"/>
        <w:rPr>
          <w:rFonts w:ascii="Book Antiqua" w:eastAsia="Times New Roman" w:hAnsi="Book Antiqua" w:cs="Times New Roman"/>
          <w:sz w:val="24"/>
          <w:szCs w:val="24"/>
        </w:rPr>
      </w:pPr>
    </w:p>
    <w:p w:rsidR="00504957" w:rsidRPr="00100B69" w:rsidRDefault="00504957" w:rsidP="00170E5C">
      <w:pPr>
        <w:spacing w:line="276" w:lineRule="auto"/>
        <w:jc w:val="both"/>
        <w:rPr>
          <w:rFonts w:ascii="Book Antiqua" w:eastAsia="Times New Roman" w:hAnsi="Book Antiqua" w:cs="Times New Roman"/>
          <w:sz w:val="24"/>
          <w:szCs w:val="24"/>
          <w:lang w:val=""/>
        </w:rPr>
      </w:pPr>
    </w:p>
    <w:p w:rsidR="00170E5C" w:rsidRPr="00100B69" w:rsidRDefault="00170E5C"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lang w:val="en-GB"/>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b/>
          <w:bCs/>
          <w:sz w:val="24"/>
          <w:szCs w:val="24"/>
          <w:lang w:val="en-GB"/>
        </w:rPr>
      </w:pPr>
    </w:p>
    <w:p w:rsidR="00B745AF" w:rsidRPr="00100B69" w:rsidRDefault="00B745AF" w:rsidP="00170E5C">
      <w:pPr>
        <w:jc w:val="both"/>
        <w:rPr>
          <w:rFonts w:ascii="Book Antiqua" w:hAnsi="Book Antiqua"/>
          <w:b/>
          <w:bCs/>
          <w:sz w:val="24"/>
          <w:szCs w:val="24"/>
          <w:lang w:val="en-GB"/>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lang w:val="en-GB"/>
        </w:rPr>
      </w:pPr>
    </w:p>
    <w:p w:rsidR="00B745AF" w:rsidRPr="00100B69" w:rsidRDefault="00B745AF" w:rsidP="00170E5C">
      <w:pPr>
        <w:jc w:val="both"/>
        <w:rPr>
          <w:rFonts w:ascii="Book Antiqua" w:hAnsi="Book Antiqua"/>
          <w:sz w:val="24"/>
          <w:szCs w:val="24"/>
        </w:rPr>
      </w:pPr>
    </w:p>
    <w:p w:rsidR="00B745AF" w:rsidRPr="00100B69" w:rsidRDefault="00B745AF" w:rsidP="00170E5C">
      <w:pPr>
        <w:jc w:val="both"/>
        <w:rPr>
          <w:rFonts w:ascii="Book Antiqua" w:hAnsi="Book Antiqua"/>
          <w:sz w:val="24"/>
          <w:szCs w:val="24"/>
        </w:rPr>
      </w:pPr>
    </w:p>
    <w:p w:rsidR="001646F8" w:rsidRPr="00100B69" w:rsidRDefault="001646F8" w:rsidP="00170E5C">
      <w:pPr>
        <w:jc w:val="both"/>
        <w:rPr>
          <w:rFonts w:ascii="Book Antiqua" w:hAnsi="Book Antiqua"/>
          <w:sz w:val="24"/>
          <w:szCs w:val="24"/>
        </w:rPr>
      </w:pPr>
    </w:p>
    <w:sectPr w:rsidR="001646F8" w:rsidRPr="00100B69" w:rsidSect="006B57EC">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522B" w:rsidRDefault="00F5522B" w:rsidP="00B745AF">
      <w:pPr>
        <w:spacing w:after="0" w:line="240" w:lineRule="auto"/>
      </w:pPr>
      <w:r>
        <w:separator/>
      </w:r>
    </w:p>
  </w:endnote>
  <w:endnote w:type="continuationSeparator" w:id="0">
    <w:p w:rsidR="00F5522B" w:rsidRDefault="00F5522B" w:rsidP="00B74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7802218"/>
      <w:docPartObj>
        <w:docPartGallery w:val="Page Numbers (Bottom of Page)"/>
        <w:docPartUnique/>
      </w:docPartObj>
    </w:sdtPr>
    <w:sdtEndPr>
      <w:rPr>
        <w:noProof/>
      </w:rPr>
    </w:sdtEndPr>
    <w:sdtContent>
      <w:p w:rsidR="006B57EC" w:rsidRDefault="006B57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B57EC" w:rsidRDefault="006B5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522B" w:rsidRDefault="00F5522B" w:rsidP="00B745AF">
      <w:pPr>
        <w:spacing w:after="0" w:line="240" w:lineRule="auto"/>
      </w:pPr>
      <w:r>
        <w:separator/>
      </w:r>
    </w:p>
  </w:footnote>
  <w:footnote w:type="continuationSeparator" w:id="0">
    <w:p w:rsidR="00F5522B" w:rsidRDefault="00F5522B" w:rsidP="00B745AF">
      <w:pPr>
        <w:spacing w:after="0" w:line="240" w:lineRule="auto"/>
      </w:pPr>
      <w:r>
        <w:continuationSeparator/>
      </w:r>
    </w:p>
  </w:footnote>
  <w:footnote w:id="1">
    <w:p w:rsidR="00CA7AD7" w:rsidRPr="00366D29" w:rsidRDefault="00CA7AD7">
      <w:pPr>
        <w:pStyle w:val="FootnoteText"/>
      </w:pPr>
      <w:r w:rsidRPr="00366D29">
        <w:rPr>
          <w:rStyle w:val="FootnoteReference"/>
        </w:rPr>
        <w:footnoteRef/>
      </w:r>
      <w:r w:rsidRPr="00366D29">
        <w:t xml:space="preserve"> </w:t>
      </w:r>
      <w:r w:rsidR="00366D29" w:rsidRPr="00366D29">
        <w:rPr>
          <w:i/>
          <w:iCs/>
        </w:rPr>
        <w:t>Samuel Kamau Macharia &amp; Another vs. Kenya Commercial Bank Limited &amp; others (2012) eKLR</w:t>
      </w:r>
    </w:p>
  </w:footnote>
  <w:footnote w:id="2">
    <w:p w:rsidR="00B745AF" w:rsidRDefault="00B745AF" w:rsidP="00B745AF">
      <w:pPr>
        <w:pStyle w:val="FootnoteText"/>
      </w:pPr>
      <w:r>
        <w:rPr>
          <w:rStyle w:val="FootnoteReference"/>
        </w:rPr>
        <w:footnoteRef/>
      </w:r>
      <w:r>
        <w:fldChar w:fldCharType="begin"/>
      </w:r>
      <w:r w:rsidR="008978ED">
        <w:instrText xml:space="preserve"> ADDIN ZOTERO_ITEM CSL_CITATION {"citationID":"luytRtsM","properties":{"formattedCitation":"\\uc0\\u8216{}Cap. 21\\uc0\\u8217{}, accessed 26 February 2023, http://kenyalaw.org:8181/exist/kenyalex/actview.xql?actid=cap.%2021.","plainCitation":"‘Cap. 21’, accessed 26 February 2023, http://kenyalaw.org:8181/exist/kenyalex/actview.xql?actid=cap.%2021.","noteIndex":2},"citationItems":[{"id":45,"uris":["http://zotero.org/users/local/frRUH8LE/items/93XBGRKX"],"itemData":{"id":45,"type":"webpage","title":"cap. 21","URL":"http://kenyalaw.org:8181/exist/kenyalex/actview.xql?actid=cap.%2021","accessed":{"date-parts":[["2023",2,26]]}}}],"schema":"https://github.com/citation-style-language/schema/raw/master/csl-citation.json"} </w:instrText>
      </w:r>
      <w:r>
        <w:fldChar w:fldCharType="separate"/>
      </w:r>
      <w:r w:rsidRPr="00634FB0">
        <w:rPr>
          <w:rFonts w:ascii="Calibri" w:hAnsi="Calibri" w:cs="Calibri"/>
          <w:szCs w:val="24"/>
        </w:rPr>
        <w:t>‘Cap. 21’, accessed 26 February 2023, http://kenyalaw.org:8181/exist/kenyalex/actview.xql?actid=cap.%2021.</w:t>
      </w:r>
      <w:r>
        <w:fldChar w:fldCharType="end"/>
      </w:r>
    </w:p>
  </w:footnote>
  <w:footnote w:id="3">
    <w:p w:rsidR="00B745AF" w:rsidRDefault="00B745AF" w:rsidP="00B745AF">
      <w:pPr>
        <w:pStyle w:val="FootnoteText"/>
      </w:pPr>
      <w:r>
        <w:rPr>
          <w:rStyle w:val="FootnoteReference"/>
        </w:rPr>
        <w:footnoteRef/>
      </w:r>
      <w:r>
        <w:t xml:space="preserve"> </w:t>
      </w:r>
      <w:r w:rsidRPr="005A445B">
        <w:t xml:space="preserve">Equity Bank Limited v Bruce Mutie Mutuku t/a Diani Tour </w:t>
      </w:r>
      <w:proofErr w:type="gramStart"/>
      <w:r w:rsidRPr="005A445B">
        <w:t>Travel(</w:t>
      </w:r>
      <w:proofErr w:type="gramEnd"/>
      <w:r w:rsidRPr="005A445B">
        <w:t>2016</w:t>
      </w:r>
      <w:r>
        <w:t>)</w:t>
      </w:r>
    </w:p>
  </w:footnote>
  <w:footnote w:id="4">
    <w:p w:rsidR="008E0204" w:rsidRPr="0035170E" w:rsidRDefault="008E0204" w:rsidP="008E0204">
      <w:pPr>
        <w:pStyle w:val="FootnoteText"/>
      </w:pPr>
      <w:r>
        <w:rPr>
          <w:rStyle w:val="FootnoteReference"/>
        </w:rPr>
        <w:footnoteRef/>
      </w:r>
      <w:r>
        <w:t xml:space="preserve"> Constitution of Kenya, 2010 </w:t>
      </w:r>
    </w:p>
  </w:footnote>
  <w:footnote w:id="5">
    <w:p w:rsidR="008E0204" w:rsidRPr="005818F9" w:rsidRDefault="008E0204" w:rsidP="008E0204">
      <w:pPr>
        <w:pStyle w:val="FootnoteText"/>
      </w:pPr>
      <w:r>
        <w:rPr>
          <w:rStyle w:val="FootnoteReference"/>
        </w:rPr>
        <w:footnoteRef/>
      </w:r>
      <w:r>
        <w:t xml:space="preserve"> Judges and Magistrates Vetting Board &amp; 2 Others vs The Centre for Human Rights Democracy &amp; 11 Others (2014) eKLR</w:t>
      </w:r>
    </w:p>
  </w:footnote>
  <w:footnote w:id="6">
    <w:p w:rsidR="00B745AF" w:rsidRDefault="00B745AF" w:rsidP="00B745AF">
      <w:pPr>
        <w:pStyle w:val="FootnoteText"/>
      </w:pPr>
      <w:r>
        <w:rPr>
          <w:rStyle w:val="FootnoteReference"/>
        </w:rPr>
        <w:footnoteRef/>
      </w:r>
      <w:r>
        <w:t xml:space="preserve"> </w:t>
      </w:r>
      <w:r>
        <w:fldChar w:fldCharType="begin"/>
      </w:r>
      <w:r w:rsidR="008978ED">
        <w:instrText xml:space="preserve"> ADDIN ZOTERO_ITEM CSL_CITATION {"citationID":"isGhDGBR","properties":{"formattedCitation":"\\uc0\\u8216{}Civil Application 191 of 2011 - Kenya Law\\uc0\\u8217{}, accessed 26 February 2023, http://kenyalaw.org/caselaw/cases/view/129605.","plainCitation":"‘Civil Application 191 of 2011 - Kenya Law’, accessed 26 February 2023, http://kenyalaw.org/caselaw/cases/view/129605.","noteIndex":6},"citationItems":[{"id":36,"uris":["http://zotero.org/users/local/frRUH8LE/items/97KRF9ZV"],"itemData":{"id":36,"type":"webpage","title":"Civil Application 191 of 2011 - Kenya Law","URL":"http://kenyalaw.org/caselaw/cases/view/129605","accessed":{"date-parts":[["2023",2,26]]}}}],"schema":"https://github.com/citation-style-language/schema/raw/master/csl-citation.json"} </w:instrText>
      </w:r>
      <w:r>
        <w:fldChar w:fldCharType="separate"/>
      </w:r>
      <w:r w:rsidRPr="00D11E49">
        <w:rPr>
          <w:rFonts w:ascii="Calibri" w:hAnsi="Calibri" w:cs="Calibri"/>
          <w:szCs w:val="24"/>
        </w:rPr>
        <w:t>‘Civil Application 191 of 2011 - Kenya Law’, accessed 26 February 2023, http://kenyalaw.org/caselaw/cases/view/129605.</w:t>
      </w:r>
      <w:r>
        <w:fldChar w:fldCharType="end"/>
      </w:r>
    </w:p>
  </w:footnote>
  <w:footnote w:id="7">
    <w:p w:rsidR="008978ED" w:rsidRDefault="008978ED">
      <w:pPr>
        <w:pStyle w:val="FootnoteText"/>
      </w:pPr>
      <w:r>
        <w:rPr>
          <w:rStyle w:val="FootnoteReference"/>
        </w:rPr>
        <w:footnoteRef/>
      </w:r>
      <w:r>
        <w:t xml:space="preserve"> </w:t>
      </w:r>
      <w:r>
        <w:fldChar w:fldCharType="begin"/>
      </w:r>
      <w:r>
        <w:instrText xml:space="preserve"> ADDIN ZOTERO_ITEM CSL_CITATION {"citationID":"8pkIcpvz","properties":{"formattedCitation":"\\uc0\\u8216{}Civil Application 49 of 2019 - Kenya Law\\uc0\\u8217{}, accessed 6 March 2023, http://kenyalaw.org/caselaw/cases/view/234025/.","plainCitation":"‘Civil Application 49 of 2019 - Kenya Law’, accessed 6 March 2023, http://kenyalaw.org/caselaw/cases/view/234025/.","noteIndex":7},"citationItems":[{"id":62,"uris":["http://zotero.org/users/local/frRUH8LE/items/BENJGXQU"],"itemData":{"id":62,"type":"webpage","title":"Civil Application 49 of 2019 - Kenya Law","URL":"http://kenyalaw.org/caselaw/cases/view/234025/","accessed":{"date-parts":[["2023",3,6]]}}}],"schema":"https://github.com/citation-style-language/schema/raw/master/csl-citation.json"} </w:instrText>
      </w:r>
      <w:r>
        <w:fldChar w:fldCharType="separate"/>
      </w:r>
      <w:r w:rsidRPr="008978ED">
        <w:rPr>
          <w:rFonts w:ascii="Calibri" w:hAnsi="Calibri" w:cs="Calibri"/>
          <w:szCs w:val="24"/>
        </w:rPr>
        <w:t>‘Civil Application 49 of 2019 - Kenya Law’, accessed 6 March 2023, http://kenyalaw.org/caselaw/cases/view/234025/.</w:t>
      </w:r>
      <w:r>
        <w:fldChar w:fldCharType="end"/>
      </w:r>
    </w:p>
  </w:footnote>
  <w:footnote w:id="8">
    <w:p w:rsidR="00B745AF" w:rsidRDefault="00B745AF" w:rsidP="00B745AF">
      <w:pPr>
        <w:pStyle w:val="FootnoteText"/>
      </w:pPr>
      <w:r>
        <w:rPr>
          <w:rStyle w:val="FootnoteReference"/>
        </w:rPr>
        <w:footnoteRef/>
      </w:r>
      <w:r>
        <w:t xml:space="preserve"> Criminal Case No. 683 of 2020</w:t>
      </w:r>
    </w:p>
  </w:footnote>
  <w:footnote w:id="9">
    <w:p w:rsidR="0014517A" w:rsidRDefault="0014517A">
      <w:pPr>
        <w:pStyle w:val="FootnoteText"/>
      </w:pPr>
      <w:r>
        <w:rPr>
          <w:rStyle w:val="FootnoteReference"/>
        </w:rPr>
        <w:footnoteRef/>
      </w:r>
      <w:r>
        <w:t xml:space="preserve"> </w:t>
      </w:r>
      <w:r>
        <w:fldChar w:fldCharType="begin"/>
      </w:r>
      <w:r w:rsidR="008978ED">
        <w:instrText xml:space="preserve"> ADDIN ZOTERO_ITEM CSL_CITATION {"citationID":"VVXZqbQr","properties":{"formattedCitation":"\\uc0\\u8216{}Civil Appeal 113 of 2011 - Kenya Law\\uc0\\u8217{}, accessed 26 February 2023, http://kenyalaw.org/caselaw/cases/view/83002/.","plainCitation":"‘Civil Appeal 113 of 2011 - Kenya Law’, accessed 26 February 2023, http://kenyalaw.org/caselaw/cases/view/83002/.","noteIndex":9},"citationItems":[{"id":41,"uris":["http://zotero.org/users/local/frRUH8LE/items/CXYUPQRI"],"itemData":{"id":41,"type":"webpage","title":"Civil Appeal 113 of 2011 - Kenya Law","URL":"http://kenyalaw.org/caselaw/cases/view/83002/","accessed":{"date-parts":[["2023",2,26]]}}}],"schema":"https://github.com/citation-style-language/schema/raw/master/csl-citation.json"} </w:instrText>
      </w:r>
      <w:r>
        <w:fldChar w:fldCharType="separate"/>
      </w:r>
      <w:r w:rsidRPr="0014517A">
        <w:rPr>
          <w:rFonts w:ascii="Calibri" w:hAnsi="Calibri" w:cs="Calibri"/>
          <w:szCs w:val="24"/>
        </w:rPr>
        <w:t>‘Civil Appeal 113 of 2011 - Kenya Law’, accessed 26 February 2023, http://kenyalaw.org/caselaw/cases/view/83002/.</w:t>
      </w:r>
      <w:r>
        <w:fldChar w:fldCharType="end"/>
      </w:r>
    </w:p>
  </w:footnote>
  <w:footnote w:id="10">
    <w:p w:rsidR="00C65A0C" w:rsidRDefault="00C65A0C">
      <w:pPr>
        <w:pStyle w:val="FootnoteText"/>
      </w:pPr>
      <w:r>
        <w:rPr>
          <w:rStyle w:val="FootnoteReference"/>
        </w:rPr>
        <w:footnoteRef/>
      </w:r>
      <w:r>
        <w:t xml:space="preserve"> Constitution of Kenya 2010, Article 164</w:t>
      </w:r>
    </w:p>
  </w:footnote>
  <w:footnote w:id="11">
    <w:p w:rsidR="00170E5C" w:rsidRPr="000F5E52" w:rsidRDefault="00170E5C" w:rsidP="00170E5C">
      <w:pPr>
        <w:pStyle w:val="FootnoteText"/>
      </w:pPr>
      <w:r>
        <w:rPr>
          <w:rStyle w:val="FootnoteReference"/>
        </w:rPr>
        <w:footnoteRef/>
      </w:r>
      <w:r>
        <w:t xml:space="preserve"> Constitution of Kenya, 2010 Article 163(6) </w:t>
      </w:r>
    </w:p>
  </w:footnote>
  <w:footnote w:id="12">
    <w:p w:rsidR="00504957" w:rsidRDefault="00504957" w:rsidP="00504957">
      <w:pPr>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Article 162, Constitution of Kenya 2010.</w:t>
      </w:r>
    </w:p>
  </w:footnote>
  <w:footnote w:id="13">
    <w:p w:rsidR="00504957" w:rsidRDefault="00504957" w:rsidP="00504957">
      <w:pPr>
        <w:spacing w:line="240" w:lineRule="auto"/>
        <w:rPr>
          <w:sz w:val="20"/>
          <w:szCs w:val="20"/>
        </w:rPr>
      </w:pPr>
      <w:r>
        <w:rPr>
          <w:vertAlign w:val="superscript"/>
        </w:rPr>
        <w:footnoteRef/>
      </w:r>
      <w:r>
        <w:rPr>
          <w:sz w:val="20"/>
          <w:szCs w:val="20"/>
        </w:rPr>
        <w:t xml:space="preserve"> </w:t>
      </w:r>
      <w:r>
        <w:rPr>
          <w:rFonts w:ascii="Calibri" w:eastAsia="Calibri" w:hAnsi="Calibri" w:cs="Calibri"/>
          <w:sz w:val="20"/>
          <w:szCs w:val="20"/>
        </w:rPr>
        <w:t>eKLR (1989)</w:t>
      </w:r>
    </w:p>
  </w:footnote>
  <w:footnote w:id="14">
    <w:p w:rsidR="00504957" w:rsidRDefault="00504957" w:rsidP="00504957">
      <w:pPr>
        <w:spacing w:line="240" w:lineRule="auto"/>
        <w:rPr>
          <w:sz w:val="20"/>
          <w:szCs w:val="20"/>
        </w:rPr>
      </w:pPr>
      <w:r>
        <w:rPr>
          <w:vertAlign w:val="superscript"/>
        </w:rPr>
        <w:footnoteRef/>
      </w:r>
      <w:r>
        <w:rPr>
          <w:sz w:val="20"/>
          <w:szCs w:val="20"/>
        </w:rPr>
        <w:t xml:space="preserve"> </w:t>
      </w:r>
      <w:r>
        <w:rPr>
          <w:rFonts w:ascii="Calibri" w:eastAsia="Calibri" w:hAnsi="Calibri" w:cs="Calibri"/>
          <w:sz w:val="18"/>
          <w:szCs w:val="18"/>
        </w:rPr>
        <w:t>Article 28, Constitution of Kenya 2010</w:t>
      </w:r>
    </w:p>
  </w:footnote>
  <w:footnote w:id="15">
    <w:p w:rsidR="00504957" w:rsidRDefault="00504957" w:rsidP="00504957">
      <w:pPr>
        <w:spacing w:line="240" w:lineRule="auto"/>
        <w:rPr>
          <w:sz w:val="20"/>
          <w:szCs w:val="20"/>
        </w:rPr>
      </w:pPr>
      <w:r>
        <w:rPr>
          <w:vertAlign w:val="superscript"/>
        </w:rPr>
        <w:footnoteRef/>
      </w:r>
      <w:r>
        <w:rPr>
          <w:sz w:val="20"/>
          <w:szCs w:val="20"/>
        </w:rPr>
        <w:t xml:space="preserve"> </w:t>
      </w:r>
      <w:r>
        <w:rPr>
          <w:rFonts w:ascii="Calibri" w:eastAsia="Calibri" w:hAnsi="Calibri" w:cs="Calibri"/>
          <w:sz w:val="18"/>
          <w:szCs w:val="18"/>
        </w:rPr>
        <w:t>Article 29, Constitution of Kenya 2010</w:t>
      </w:r>
    </w:p>
  </w:footnote>
  <w:footnote w:id="16">
    <w:p w:rsidR="00504957" w:rsidRDefault="00504957" w:rsidP="00504957">
      <w:pPr>
        <w:spacing w:line="240" w:lineRule="auto"/>
        <w:rPr>
          <w:sz w:val="20"/>
          <w:szCs w:val="20"/>
        </w:rPr>
      </w:pPr>
      <w:r>
        <w:rPr>
          <w:vertAlign w:val="superscript"/>
        </w:rPr>
        <w:footnoteRef/>
      </w:r>
      <w:r>
        <w:rPr>
          <w:sz w:val="20"/>
          <w:szCs w:val="20"/>
        </w:rPr>
        <w:t xml:space="preserve"> </w:t>
      </w:r>
      <w:r>
        <w:rPr>
          <w:rFonts w:ascii="Calibri" w:eastAsia="Calibri" w:hAnsi="Calibri" w:cs="Calibri"/>
          <w:sz w:val="18"/>
          <w:szCs w:val="18"/>
        </w:rPr>
        <w:t>Article 41, Constitution of Kenya 2010</w:t>
      </w:r>
    </w:p>
  </w:footnote>
  <w:footnote w:id="17">
    <w:p w:rsidR="00504957" w:rsidRDefault="00504957" w:rsidP="00504957">
      <w:pPr>
        <w:spacing w:line="240" w:lineRule="auto"/>
        <w:rPr>
          <w:sz w:val="20"/>
          <w:szCs w:val="20"/>
        </w:rPr>
      </w:pPr>
      <w:r>
        <w:rPr>
          <w:vertAlign w:val="superscript"/>
        </w:rPr>
        <w:footnoteRef/>
      </w:r>
      <w:r>
        <w:rPr>
          <w:sz w:val="20"/>
          <w:szCs w:val="20"/>
        </w:rPr>
        <w:t xml:space="preserve"> </w:t>
      </w:r>
      <w:r>
        <w:rPr>
          <w:rFonts w:ascii="Calibri" w:eastAsia="Calibri" w:hAnsi="Calibri" w:cs="Calibri"/>
          <w:sz w:val="18"/>
          <w:szCs w:val="18"/>
        </w:rPr>
        <w:t>Article 47, Constitution of Kenya 2010</w:t>
      </w:r>
    </w:p>
  </w:footnote>
  <w:footnote w:id="18">
    <w:p w:rsidR="00504957" w:rsidRDefault="00504957" w:rsidP="00504957">
      <w:pPr>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Article 162(2)(a), Constitution of Kenya.</w:t>
      </w:r>
    </w:p>
  </w:footnote>
  <w:footnote w:id="19">
    <w:p w:rsidR="00504957" w:rsidRDefault="00504957" w:rsidP="00504957">
      <w:pPr>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Section 12 of the Employment and Labour Relations Court Act.</w:t>
      </w:r>
    </w:p>
  </w:footnote>
  <w:footnote w:id="20">
    <w:p w:rsidR="00504957" w:rsidRDefault="00504957" w:rsidP="00504957">
      <w:pPr>
        <w:spacing w:line="240" w:lineRule="auto"/>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Article 165(5), Constitution of Kenya 2010</w:t>
      </w:r>
    </w:p>
  </w:footnote>
  <w:footnote w:id="21">
    <w:p w:rsidR="00504957" w:rsidRDefault="00504957" w:rsidP="00504957">
      <w:pPr>
        <w:spacing w:line="240" w:lineRule="auto"/>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Article 162(2), Constitution of Kenya 2010</w:t>
      </w:r>
    </w:p>
  </w:footnote>
  <w:footnote w:id="22">
    <w:p w:rsidR="00504957" w:rsidRDefault="00504957" w:rsidP="00504957">
      <w:pPr>
        <w:spacing w:line="240" w:lineRule="auto"/>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eKLR (2012)</w:t>
      </w:r>
    </w:p>
  </w:footnote>
  <w:footnote w:id="23">
    <w:p w:rsidR="00504957" w:rsidRDefault="00504957" w:rsidP="00504957">
      <w:pPr>
        <w:spacing w:line="240" w:lineRule="auto"/>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eKLR (2011)</w:t>
      </w:r>
    </w:p>
  </w:footnote>
  <w:footnote w:id="24">
    <w:p w:rsidR="00504957" w:rsidRDefault="00504957" w:rsidP="00504957">
      <w:pPr>
        <w:spacing w:line="240" w:lineRule="auto"/>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eKLR [2022]  </w:t>
      </w:r>
    </w:p>
  </w:footnote>
  <w:footnote w:id="25">
    <w:p w:rsidR="00504957" w:rsidRDefault="00504957" w:rsidP="00504957">
      <w:pPr>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2020, eKLR.</w:t>
      </w:r>
    </w:p>
  </w:footnote>
  <w:footnote w:id="26">
    <w:p w:rsidR="00504957" w:rsidRDefault="00504957" w:rsidP="00504957">
      <w:pPr>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w:t>
      </w:r>
      <w:proofErr w:type="gramStart"/>
      <w:r>
        <w:rPr>
          <w:rFonts w:ascii="Calibri" w:eastAsia="Calibri" w:hAnsi="Calibri" w:cs="Calibri"/>
          <w:sz w:val="18"/>
          <w:szCs w:val="18"/>
        </w:rPr>
        <w:t>2022,eKLR</w:t>
      </w:r>
      <w:proofErr w:type="gramEnd"/>
      <w:r>
        <w:rPr>
          <w:rFonts w:ascii="Calibri" w:eastAsia="Calibri" w:hAnsi="Calibri" w:cs="Calibri"/>
          <w:sz w:val="18"/>
          <w:szCs w:val="18"/>
        </w:rPr>
        <w:t>.</w:t>
      </w:r>
    </w:p>
  </w:footnote>
  <w:footnote w:id="27">
    <w:p w:rsidR="00504957" w:rsidRDefault="00504957" w:rsidP="00504957">
      <w:pPr>
        <w:spacing w:after="200"/>
        <w:rPr>
          <w:rFonts w:ascii="Calibri" w:eastAsia="Calibri" w:hAnsi="Calibri" w:cs="Calibri"/>
          <w:sz w:val="18"/>
          <w:szCs w:val="18"/>
        </w:rPr>
      </w:pPr>
      <w:r>
        <w:rPr>
          <w:vertAlign w:val="superscript"/>
        </w:rPr>
        <w:footnoteRef/>
      </w:r>
      <w:r>
        <w:rPr>
          <w:rFonts w:ascii="Calibri" w:eastAsia="Calibri" w:hAnsi="Calibri" w:cs="Calibri"/>
          <w:sz w:val="18"/>
          <w:szCs w:val="18"/>
        </w:rPr>
        <w:t xml:space="preserve"> </w:t>
      </w:r>
      <w:proofErr w:type="gramStart"/>
      <w:r>
        <w:rPr>
          <w:rFonts w:ascii="Calibri" w:eastAsia="Calibri" w:hAnsi="Calibri" w:cs="Calibri"/>
          <w:sz w:val="18"/>
          <w:szCs w:val="18"/>
        </w:rPr>
        <w:t>2015,eKLR</w:t>
      </w:r>
      <w:proofErr w:type="gramEnd"/>
      <w:r>
        <w:rPr>
          <w:rFonts w:ascii="Calibri" w:eastAsia="Calibri" w:hAnsi="Calibri" w:cs="Calibri"/>
          <w:sz w:val="18"/>
          <w:szCs w:val="18"/>
        </w:rPr>
        <w:t xml:space="preserve">. </w:t>
      </w:r>
    </w:p>
  </w:footnote>
  <w:footnote w:id="28">
    <w:p w:rsidR="00781DDA" w:rsidRDefault="00781DDA">
      <w:pPr>
        <w:pStyle w:val="FootnoteText"/>
      </w:pPr>
      <w:r>
        <w:rPr>
          <w:rStyle w:val="FootnoteReference"/>
        </w:rPr>
        <w:footnoteRef/>
      </w:r>
      <w:r>
        <w:t xml:space="preserve"> </w:t>
      </w:r>
      <w:r>
        <w:fldChar w:fldCharType="begin"/>
      </w:r>
      <w:r w:rsidR="008978ED">
        <w:instrText xml:space="preserve"> ADDIN ZOTERO_ITEM CSL_CITATION {"citationID":"W06iavMy","properties":{"formattedCitation":"\\uc0\\u8216{}Judicial Review 378 of 2017 - Kenya Law\\uc0\\u8217{}, accessed 27 February 2023, http://kenyalaw.org/caselaw/cases/view/138205/.","plainCitation":"‘Judicial Review 378 of 2017 - Kenya Law’, accessed 27 February 2023, http://kenyalaw.org/caselaw/cases/view/138205/.","noteIndex":28},"citationItems":[{"id":58,"uris":["http://zotero.org/users/local/frRUH8LE/items/NS7V9KEM"],"itemData":{"id":58,"type":"webpage","title":"Judicial Review 378 of 2017 - Kenya Law","URL":"http://kenyalaw.org/caselaw/cases/view/138205/","accessed":{"date-parts":[["2023",2,27]]}}}],"schema":"https://github.com/citation-style-language/schema/raw/master/csl-citation.json"} </w:instrText>
      </w:r>
      <w:r>
        <w:fldChar w:fldCharType="separate"/>
      </w:r>
      <w:r w:rsidRPr="00781DDA">
        <w:rPr>
          <w:rFonts w:ascii="Calibri" w:hAnsi="Calibri" w:cs="Calibri"/>
          <w:szCs w:val="24"/>
        </w:rPr>
        <w:t>‘Judicial Review 378 of 2017 - Kenya Law’, accessed 27 February 2023, http://kenyalaw.org/caselaw/cases/view/138205/.</w:t>
      </w:r>
      <w:r>
        <w:fldChar w:fldCharType="end"/>
      </w:r>
    </w:p>
  </w:footnote>
  <w:footnote w:id="29">
    <w:p w:rsidR="002C77D6" w:rsidRDefault="002C77D6">
      <w:pPr>
        <w:pStyle w:val="FootnoteText"/>
      </w:pPr>
      <w:r>
        <w:rPr>
          <w:rStyle w:val="FootnoteReference"/>
        </w:rPr>
        <w:footnoteRef/>
      </w:r>
      <w:r>
        <w:t xml:space="preserve"> </w:t>
      </w:r>
      <w:r>
        <w:rPr>
          <w:rFonts w:ascii="Times New Roman" w:hAnsi="Times New Roman" w:cs="Times New Roman"/>
          <w:sz w:val="24"/>
          <w:szCs w:val="24"/>
        </w:rPr>
        <w:t xml:space="preserve">Geoffrey Muthiga Kabiru &amp; 2 other v Samuel Munga Henry &amp; 1756 </w:t>
      </w:r>
      <w:r w:rsidR="00D56077">
        <w:rPr>
          <w:rFonts w:ascii="Times New Roman" w:hAnsi="Times New Roman" w:cs="Times New Roman"/>
          <w:sz w:val="24"/>
          <w:szCs w:val="24"/>
        </w:rPr>
        <w:t>others (</w:t>
      </w:r>
      <w:r>
        <w:rPr>
          <w:rFonts w:ascii="Times New Roman" w:hAnsi="Times New Roman" w:cs="Times New Roman"/>
          <w:sz w:val="24"/>
          <w:szCs w:val="24"/>
        </w:rPr>
        <w:t>2015)</w:t>
      </w:r>
    </w:p>
  </w:footnote>
  <w:footnote w:id="30">
    <w:p w:rsidR="00504957" w:rsidRDefault="00504957" w:rsidP="00504957">
      <w:pPr>
        <w:pStyle w:val="FootnoteText"/>
      </w:pPr>
      <w:bookmarkStart w:id="35" w:name="_Hlk128373523"/>
      <w:r>
        <w:rPr>
          <w:rStyle w:val="FootnoteReference"/>
        </w:rPr>
        <w:footnoteRef/>
      </w:r>
      <w:r>
        <w:t xml:space="preserve"> </w:t>
      </w:r>
      <w:r>
        <w:rPr>
          <w:rFonts w:ascii="Times New Roman" w:hAnsi="Times New Roman" w:cs="Times New Roman"/>
          <w:sz w:val="24"/>
          <w:szCs w:val="24"/>
        </w:rPr>
        <w:t xml:space="preserve">Geoffrey Muthiga Kabiru &amp; 2 other v Samuel Munga Henry &amp; 1756 </w:t>
      </w:r>
      <w:r w:rsidR="00D56077">
        <w:rPr>
          <w:rFonts w:ascii="Times New Roman" w:hAnsi="Times New Roman" w:cs="Times New Roman"/>
          <w:sz w:val="24"/>
          <w:szCs w:val="24"/>
        </w:rPr>
        <w:t>others (</w:t>
      </w:r>
      <w:r>
        <w:rPr>
          <w:rFonts w:ascii="Times New Roman" w:hAnsi="Times New Roman" w:cs="Times New Roman"/>
          <w:sz w:val="24"/>
          <w:szCs w:val="24"/>
        </w:rPr>
        <w:t>2015)</w:t>
      </w:r>
    </w:p>
    <w:bookmarkEnd w:id="35"/>
  </w:footnote>
  <w:footnote w:id="31">
    <w:p w:rsidR="00504957" w:rsidRDefault="00504957" w:rsidP="00504957">
      <w:pPr>
        <w:pStyle w:val="FootnoteText"/>
      </w:pPr>
      <w:r>
        <w:rPr>
          <w:rStyle w:val="FootnoteReference"/>
        </w:rPr>
        <w:footnoteRef/>
      </w:r>
      <w:r>
        <w:t xml:space="preserve"> </w:t>
      </w:r>
      <w:r>
        <w:rPr>
          <w:rFonts w:ascii="Times New Roman" w:hAnsi="Times New Roman" w:cs="Times New Roman"/>
          <w:sz w:val="24"/>
          <w:szCs w:val="24"/>
        </w:rPr>
        <w:t xml:space="preserve">Geoffrey Muthiga Kabiru &amp; 2 other v Samuel Munga Henry &amp; 1756 </w:t>
      </w:r>
      <w:r w:rsidR="00D56077">
        <w:rPr>
          <w:rFonts w:ascii="Times New Roman" w:hAnsi="Times New Roman" w:cs="Times New Roman"/>
          <w:sz w:val="24"/>
          <w:szCs w:val="24"/>
        </w:rPr>
        <w:t>others (</w:t>
      </w:r>
      <w:r>
        <w:rPr>
          <w:rFonts w:ascii="Times New Roman" w:hAnsi="Times New Roman" w:cs="Times New Roman"/>
          <w:sz w:val="24"/>
          <w:szCs w:val="24"/>
        </w:rPr>
        <w:t>2015)</w:t>
      </w:r>
    </w:p>
  </w:footnote>
  <w:footnote w:id="32">
    <w:p w:rsidR="00504957" w:rsidRPr="00AF5B0A" w:rsidRDefault="00504957" w:rsidP="00504957">
      <w:pPr>
        <w:pStyle w:val="FootnoteText"/>
        <w:rPr>
          <w:rFonts w:ascii="Times New Roman" w:hAnsi="Times New Roman" w:cs="Times New Roman"/>
          <w:sz w:val="24"/>
          <w:szCs w:val="24"/>
        </w:rPr>
      </w:pPr>
      <w:r w:rsidRPr="00AF5B0A">
        <w:rPr>
          <w:rStyle w:val="FootnoteReference"/>
          <w:rFonts w:ascii="Times New Roman" w:hAnsi="Times New Roman" w:cs="Times New Roman"/>
          <w:sz w:val="24"/>
          <w:szCs w:val="24"/>
        </w:rPr>
        <w:footnoteRef/>
      </w:r>
      <w:r w:rsidRPr="00AF5B0A">
        <w:rPr>
          <w:rFonts w:ascii="Times New Roman" w:hAnsi="Times New Roman" w:cs="Times New Roman"/>
          <w:sz w:val="24"/>
          <w:szCs w:val="24"/>
        </w:rPr>
        <w:t xml:space="preserve"> The Fair Administration Action Act 2015 sec 9(4)</w:t>
      </w:r>
    </w:p>
  </w:footnote>
  <w:footnote w:id="33">
    <w:p w:rsidR="00A111D7" w:rsidRDefault="00A111D7">
      <w:pPr>
        <w:pStyle w:val="FootnoteText"/>
      </w:pPr>
      <w:r>
        <w:rPr>
          <w:rStyle w:val="FootnoteReference"/>
        </w:rPr>
        <w:footnoteRef/>
      </w:r>
      <w:r>
        <w:t xml:space="preserve"> </w:t>
      </w:r>
      <w:r>
        <w:fldChar w:fldCharType="begin"/>
      </w:r>
      <w:r w:rsidR="008978ED">
        <w:instrText xml:space="preserve"> ADDIN ZOTERO_ITEM CSL_CITATION {"citationID":"6T1RxtQb","properties":{"formattedCitation":"\\uc0\\u8216{}Judicial Review 378 of 2017 - Kenya Law\\uc0\\u8217{}.","plainCitation":"‘Judicial Review 378 of 2017 - Kenya Law’.","noteIndex":33},"citationItems":[{"id":58,"uris":["http://zotero.org/users/local/frRUH8LE/items/NS7V9KEM"],"itemData":{"id":58,"type":"webpage","title":"Judicial Review 378 of 2017 - Kenya Law","URL":"http://kenyalaw.org/caselaw/cases/view/138205/","accessed":{"date-parts":[["2023",2,27]]}}}],"schema":"https://github.com/citation-style-language/schema/raw/master/csl-citation.json"} </w:instrText>
      </w:r>
      <w:r>
        <w:fldChar w:fldCharType="separate"/>
      </w:r>
      <w:r w:rsidR="00781DDA" w:rsidRPr="00781DDA">
        <w:rPr>
          <w:rFonts w:ascii="Calibri" w:hAnsi="Calibri" w:cs="Calibri"/>
          <w:szCs w:val="24"/>
        </w:rPr>
        <w:t>‘Judicial Review 378 of 2017 - Kenya Law’.</w:t>
      </w:r>
      <w:r>
        <w:fldChar w:fldCharType="end"/>
      </w:r>
    </w:p>
  </w:footnote>
  <w:footnote w:id="34">
    <w:p w:rsidR="00504957" w:rsidRDefault="00504957" w:rsidP="00504957">
      <w:pPr>
        <w:pStyle w:val="FootnoteText"/>
      </w:pPr>
      <w:r>
        <w:rPr>
          <w:rStyle w:val="FootnoteReference"/>
        </w:rPr>
        <w:footnoteRef/>
      </w:r>
      <w:r>
        <w:t xml:space="preserve"> </w:t>
      </w:r>
      <w:r w:rsidRPr="00403DF0">
        <w:rPr>
          <w:rFonts w:ascii="Times New Roman" w:hAnsi="Times New Roman" w:cs="Times New Roman"/>
          <w:sz w:val="24"/>
          <w:szCs w:val="24"/>
        </w:rPr>
        <w:t xml:space="preserve">Night Rose Cosmetics 1972 ltd v Nairobi County Government &amp; 2 </w:t>
      </w:r>
      <w:r w:rsidR="00D56077" w:rsidRPr="00403DF0">
        <w:rPr>
          <w:rFonts w:ascii="Times New Roman" w:hAnsi="Times New Roman" w:cs="Times New Roman"/>
          <w:sz w:val="24"/>
          <w:szCs w:val="24"/>
        </w:rPr>
        <w:t>others (</w:t>
      </w:r>
      <w:proofErr w:type="gramStart"/>
      <w:r w:rsidRPr="00403DF0">
        <w:rPr>
          <w:rFonts w:ascii="Times New Roman" w:hAnsi="Times New Roman" w:cs="Times New Roman"/>
          <w:sz w:val="24"/>
          <w:szCs w:val="24"/>
        </w:rPr>
        <w:t>2018)eKLR</w:t>
      </w:r>
      <w:proofErr w:type="gramEnd"/>
    </w:p>
  </w:footnote>
  <w:footnote w:id="35">
    <w:p w:rsidR="00A111D7" w:rsidRDefault="00A111D7">
      <w:pPr>
        <w:pStyle w:val="FootnoteText"/>
      </w:pPr>
      <w:r>
        <w:rPr>
          <w:rStyle w:val="FootnoteReference"/>
        </w:rPr>
        <w:footnoteRef/>
      </w:r>
      <w:r>
        <w:t xml:space="preserve"> </w:t>
      </w:r>
      <w:r>
        <w:fldChar w:fldCharType="begin"/>
      </w:r>
      <w:r w:rsidR="008978ED">
        <w:instrText xml:space="preserve"> ADDIN ZOTERO_ITEM CSL_CITATION {"citationID":"dGGn2z0Q","properties":{"formattedCitation":"\\uc0\\u8216{}Judicial Review 378 of 2017 - Kenya Law\\uc0\\u8217{}.","plainCitation":"‘Judicial Review 378 of 2017 - Kenya Law’.","noteIndex":35},"citationItems":[{"id":58,"uris":["http://zotero.org/users/local/frRUH8LE/items/NS7V9KEM"],"itemData":{"id":58,"type":"webpage","title":"Judicial Review 378 of 2017 - Kenya Law","URL":"http://kenyalaw.org/caselaw/cases/view/138205/","accessed":{"date-parts":[["2023",2,27]]}}}],"schema":"https://github.com/citation-style-language/schema/raw/master/csl-citation.json"} </w:instrText>
      </w:r>
      <w:r>
        <w:fldChar w:fldCharType="separate"/>
      </w:r>
      <w:r w:rsidRPr="00A111D7">
        <w:rPr>
          <w:rFonts w:ascii="Calibri" w:hAnsi="Calibri" w:cs="Calibri"/>
          <w:szCs w:val="24"/>
        </w:rPr>
        <w:t>‘Judicial Review 378 of 2017 - Kenya Law’.</w:t>
      </w:r>
      <w:r>
        <w:fldChar w:fldCharType="end"/>
      </w:r>
    </w:p>
  </w:footnote>
  <w:footnote w:id="36">
    <w:p w:rsidR="00504957" w:rsidRDefault="00504957" w:rsidP="00504957">
      <w:pPr>
        <w:pStyle w:val="FootnoteText"/>
      </w:pPr>
      <w:r w:rsidRPr="00AF5B0A">
        <w:rPr>
          <w:rStyle w:val="FootnoteReference"/>
          <w:rFonts w:ascii="Times New Roman" w:hAnsi="Times New Roman" w:cs="Times New Roman"/>
          <w:sz w:val="24"/>
          <w:szCs w:val="24"/>
        </w:rPr>
        <w:footnoteRef/>
      </w:r>
      <w:r w:rsidRPr="00AF5B0A">
        <w:rPr>
          <w:rFonts w:ascii="Times New Roman" w:hAnsi="Times New Roman" w:cs="Times New Roman"/>
          <w:sz w:val="24"/>
          <w:szCs w:val="24"/>
        </w:rPr>
        <w:t xml:space="preserve"> </w:t>
      </w:r>
      <w:r>
        <w:rPr>
          <w:rFonts w:ascii="Times New Roman" w:hAnsi="Times New Roman" w:cs="Times New Roman"/>
          <w:sz w:val="24"/>
          <w:szCs w:val="24"/>
        </w:rPr>
        <w:t xml:space="preserve"> Fleur Investments limited v commissioner of domestic taxes &amp; </w:t>
      </w:r>
      <w:proofErr w:type="gramStart"/>
      <w:r>
        <w:rPr>
          <w:rFonts w:ascii="Times New Roman" w:hAnsi="Times New Roman" w:cs="Times New Roman"/>
          <w:sz w:val="24"/>
          <w:szCs w:val="24"/>
        </w:rPr>
        <w:t>another ,</w:t>
      </w:r>
      <w:proofErr w:type="gramEnd"/>
    </w:p>
  </w:footnote>
  <w:footnote w:id="37">
    <w:p w:rsidR="00504957" w:rsidRDefault="00504957" w:rsidP="00504957">
      <w:pPr>
        <w:pStyle w:val="FootnoteText"/>
      </w:pPr>
      <w:r>
        <w:rPr>
          <w:rStyle w:val="FootnoteReference"/>
        </w:rPr>
        <w:footnoteRef/>
      </w:r>
      <w:r>
        <w:t xml:space="preserve"> </w:t>
      </w:r>
      <w:r>
        <w:rPr>
          <w:rFonts w:ascii="Times New Roman" w:hAnsi="Times New Roman" w:cs="Times New Roman"/>
          <w:sz w:val="24"/>
          <w:szCs w:val="24"/>
        </w:rPr>
        <w:t xml:space="preserve">Fleur Investments limited v commissioner of domestic taxes &amp; </w:t>
      </w:r>
      <w:proofErr w:type="gramStart"/>
      <w:r>
        <w:rPr>
          <w:rFonts w:ascii="Times New Roman" w:hAnsi="Times New Roman" w:cs="Times New Roman"/>
          <w:sz w:val="24"/>
          <w:szCs w:val="24"/>
        </w:rPr>
        <w:t>another ,</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10E1"/>
    <w:multiLevelType w:val="multilevel"/>
    <w:tmpl w:val="787EF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B27D1"/>
    <w:multiLevelType w:val="hybridMultilevel"/>
    <w:tmpl w:val="768E8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051841"/>
    <w:multiLevelType w:val="hybridMultilevel"/>
    <w:tmpl w:val="DBDAE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6F35F4"/>
    <w:multiLevelType w:val="multilevel"/>
    <w:tmpl w:val="FDD2E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C14E48"/>
    <w:multiLevelType w:val="multilevel"/>
    <w:tmpl w:val="EFF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E83169"/>
    <w:multiLevelType w:val="hybridMultilevel"/>
    <w:tmpl w:val="A796CD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664AE6"/>
    <w:multiLevelType w:val="hybridMultilevel"/>
    <w:tmpl w:val="571C1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E28357E"/>
    <w:multiLevelType w:val="multilevel"/>
    <w:tmpl w:val="A22E64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6A3004"/>
    <w:multiLevelType w:val="hybridMultilevel"/>
    <w:tmpl w:val="9070B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39967109">
    <w:abstractNumId w:val="6"/>
  </w:num>
  <w:num w:numId="2" w16cid:durableId="1861384734">
    <w:abstractNumId w:val="4"/>
  </w:num>
  <w:num w:numId="3" w16cid:durableId="791944800">
    <w:abstractNumId w:val="2"/>
  </w:num>
  <w:num w:numId="4" w16cid:durableId="1022902086">
    <w:abstractNumId w:val="0"/>
  </w:num>
  <w:num w:numId="5" w16cid:durableId="643971923">
    <w:abstractNumId w:val="7"/>
  </w:num>
  <w:num w:numId="6" w16cid:durableId="270405145">
    <w:abstractNumId w:val="3"/>
  </w:num>
  <w:num w:numId="7" w16cid:durableId="1603146376">
    <w:abstractNumId w:val="5"/>
  </w:num>
  <w:num w:numId="8" w16cid:durableId="3989469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8651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AF"/>
    <w:rsid w:val="000006BB"/>
    <w:rsid w:val="00012ACF"/>
    <w:rsid w:val="00020A32"/>
    <w:rsid w:val="000757C5"/>
    <w:rsid w:val="000F354A"/>
    <w:rsid w:val="00100B69"/>
    <w:rsid w:val="00111C25"/>
    <w:rsid w:val="00140239"/>
    <w:rsid w:val="0014517A"/>
    <w:rsid w:val="001646F8"/>
    <w:rsid w:val="00170E5C"/>
    <w:rsid w:val="00173366"/>
    <w:rsid w:val="00193FD4"/>
    <w:rsid w:val="00254C27"/>
    <w:rsid w:val="002A1E33"/>
    <w:rsid w:val="002C77D6"/>
    <w:rsid w:val="00322363"/>
    <w:rsid w:val="00362332"/>
    <w:rsid w:val="00366D29"/>
    <w:rsid w:val="0039118B"/>
    <w:rsid w:val="0039619E"/>
    <w:rsid w:val="003C2EA9"/>
    <w:rsid w:val="00443C64"/>
    <w:rsid w:val="004A03E3"/>
    <w:rsid w:val="00504957"/>
    <w:rsid w:val="00520583"/>
    <w:rsid w:val="005653E6"/>
    <w:rsid w:val="0058275A"/>
    <w:rsid w:val="005E16E1"/>
    <w:rsid w:val="005E6EEB"/>
    <w:rsid w:val="006011E3"/>
    <w:rsid w:val="00605378"/>
    <w:rsid w:val="00693ED7"/>
    <w:rsid w:val="006B57EC"/>
    <w:rsid w:val="006B6090"/>
    <w:rsid w:val="00716038"/>
    <w:rsid w:val="00731B78"/>
    <w:rsid w:val="00781DDA"/>
    <w:rsid w:val="007E2CD1"/>
    <w:rsid w:val="007E475E"/>
    <w:rsid w:val="008513E3"/>
    <w:rsid w:val="008978ED"/>
    <w:rsid w:val="008C6CD5"/>
    <w:rsid w:val="008E0204"/>
    <w:rsid w:val="00956AEE"/>
    <w:rsid w:val="009754A3"/>
    <w:rsid w:val="00985A7B"/>
    <w:rsid w:val="009B5DFD"/>
    <w:rsid w:val="009E1273"/>
    <w:rsid w:val="009F49A6"/>
    <w:rsid w:val="00A111D7"/>
    <w:rsid w:val="00A202C1"/>
    <w:rsid w:val="00A31E35"/>
    <w:rsid w:val="00AE174D"/>
    <w:rsid w:val="00AE7E67"/>
    <w:rsid w:val="00B66718"/>
    <w:rsid w:val="00B703CB"/>
    <w:rsid w:val="00B745AF"/>
    <w:rsid w:val="00BA50B4"/>
    <w:rsid w:val="00BB51ED"/>
    <w:rsid w:val="00BE692A"/>
    <w:rsid w:val="00C62C40"/>
    <w:rsid w:val="00C65A0C"/>
    <w:rsid w:val="00C772A7"/>
    <w:rsid w:val="00CA7AD7"/>
    <w:rsid w:val="00CD3912"/>
    <w:rsid w:val="00D551C0"/>
    <w:rsid w:val="00D56077"/>
    <w:rsid w:val="00D74ED9"/>
    <w:rsid w:val="00D86FB6"/>
    <w:rsid w:val="00D958E3"/>
    <w:rsid w:val="00E06A76"/>
    <w:rsid w:val="00E63256"/>
    <w:rsid w:val="00F07C1C"/>
    <w:rsid w:val="00F35D30"/>
    <w:rsid w:val="00F5522B"/>
    <w:rsid w:val="00F7317A"/>
    <w:rsid w:val="00F75275"/>
    <w:rsid w:val="00FC7EF5"/>
    <w:rsid w:val="00FD7A6A"/>
    <w:rsid w:val="00FE2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3F9C"/>
  <w15:chartTrackingRefBased/>
  <w15:docId w15:val="{3E0CC9BD-4741-4A4A-9AD8-480EF496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2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3C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3C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52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745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45AF"/>
    <w:rPr>
      <w:sz w:val="20"/>
      <w:szCs w:val="20"/>
    </w:rPr>
  </w:style>
  <w:style w:type="character" w:styleId="FootnoteReference">
    <w:name w:val="footnote reference"/>
    <w:basedOn w:val="DefaultParagraphFont"/>
    <w:uiPriority w:val="99"/>
    <w:semiHidden/>
    <w:unhideWhenUsed/>
    <w:rsid w:val="00B745AF"/>
    <w:rPr>
      <w:vertAlign w:val="superscript"/>
    </w:rPr>
  </w:style>
  <w:style w:type="character" w:styleId="Hyperlink">
    <w:name w:val="Hyperlink"/>
    <w:basedOn w:val="DefaultParagraphFont"/>
    <w:uiPriority w:val="99"/>
    <w:unhideWhenUsed/>
    <w:rsid w:val="00B745AF"/>
    <w:rPr>
      <w:color w:val="0563C1" w:themeColor="hyperlink"/>
      <w:u w:val="single"/>
    </w:rPr>
  </w:style>
  <w:style w:type="character" w:styleId="UnresolvedMention">
    <w:name w:val="Unresolved Mention"/>
    <w:basedOn w:val="DefaultParagraphFont"/>
    <w:uiPriority w:val="99"/>
    <w:semiHidden/>
    <w:unhideWhenUsed/>
    <w:rsid w:val="00B745AF"/>
    <w:rPr>
      <w:color w:val="605E5C"/>
      <w:shd w:val="clear" w:color="auto" w:fill="E1DFDD"/>
    </w:rPr>
  </w:style>
  <w:style w:type="paragraph" w:styleId="ListParagraph">
    <w:name w:val="List Paragraph"/>
    <w:basedOn w:val="Normal"/>
    <w:uiPriority w:val="34"/>
    <w:qFormat/>
    <w:rsid w:val="000757C5"/>
    <w:pPr>
      <w:ind w:left="720"/>
      <w:contextualSpacing/>
    </w:pPr>
  </w:style>
  <w:style w:type="character" w:customStyle="1" w:styleId="Heading1Char">
    <w:name w:val="Heading 1 Char"/>
    <w:basedOn w:val="DefaultParagraphFont"/>
    <w:link w:val="Heading1"/>
    <w:uiPriority w:val="9"/>
    <w:rsid w:val="00C772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3C6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43C6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5275"/>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9754A3"/>
    <w:pPr>
      <w:outlineLvl w:val="9"/>
    </w:pPr>
  </w:style>
  <w:style w:type="paragraph" w:styleId="TOC1">
    <w:name w:val="toc 1"/>
    <w:basedOn w:val="Normal"/>
    <w:next w:val="Normal"/>
    <w:autoRedefine/>
    <w:uiPriority w:val="39"/>
    <w:unhideWhenUsed/>
    <w:rsid w:val="009754A3"/>
    <w:pPr>
      <w:spacing w:after="100"/>
    </w:pPr>
  </w:style>
  <w:style w:type="paragraph" w:styleId="TOC2">
    <w:name w:val="toc 2"/>
    <w:basedOn w:val="Normal"/>
    <w:next w:val="Normal"/>
    <w:autoRedefine/>
    <w:uiPriority w:val="39"/>
    <w:unhideWhenUsed/>
    <w:rsid w:val="009754A3"/>
    <w:pPr>
      <w:spacing w:after="100"/>
      <w:ind w:left="220"/>
    </w:pPr>
  </w:style>
  <w:style w:type="paragraph" w:styleId="TOC3">
    <w:name w:val="toc 3"/>
    <w:basedOn w:val="Normal"/>
    <w:next w:val="Normal"/>
    <w:autoRedefine/>
    <w:uiPriority w:val="39"/>
    <w:unhideWhenUsed/>
    <w:rsid w:val="009754A3"/>
    <w:pPr>
      <w:spacing w:after="100"/>
      <w:ind w:left="440"/>
    </w:pPr>
  </w:style>
  <w:style w:type="paragraph" w:styleId="Header">
    <w:name w:val="header"/>
    <w:basedOn w:val="Normal"/>
    <w:link w:val="HeaderChar"/>
    <w:uiPriority w:val="99"/>
    <w:unhideWhenUsed/>
    <w:rsid w:val="006B5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7EC"/>
  </w:style>
  <w:style w:type="paragraph" w:styleId="Footer">
    <w:name w:val="footer"/>
    <w:basedOn w:val="Normal"/>
    <w:link w:val="FooterChar"/>
    <w:uiPriority w:val="99"/>
    <w:unhideWhenUsed/>
    <w:rsid w:val="006B5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7EC"/>
  </w:style>
  <w:style w:type="paragraph" w:styleId="NoSpacing">
    <w:name w:val="No Spacing"/>
    <w:link w:val="NoSpacingChar"/>
    <w:uiPriority w:val="1"/>
    <w:qFormat/>
    <w:rsid w:val="006B57EC"/>
    <w:pPr>
      <w:spacing w:after="0" w:line="240" w:lineRule="auto"/>
    </w:pPr>
    <w:rPr>
      <w:rFonts w:eastAsiaTheme="minorEastAsia"/>
    </w:rPr>
  </w:style>
  <w:style w:type="character" w:customStyle="1" w:styleId="NoSpacingChar">
    <w:name w:val="No Spacing Char"/>
    <w:basedOn w:val="DefaultParagraphFont"/>
    <w:link w:val="NoSpacing"/>
    <w:uiPriority w:val="1"/>
    <w:rsid w:val="006B57EC"/>
    <w:rPr>
      <w:rFonts w:eastAsiaTheme="minorEastAsia"/>
    </w:rPr>
  </w:style>
  <w:style w:type="paragraph" w:styleId="NormalWeb">
    <w:name w:val="Normal (Web)"/>
    <w:basedOn w:val="Normal"/>
    <w:uiPriority w:val="99"/>
    <w:semiHidden/>
    <w:unhideWhenUsed/>
    <w:rsid w:val="00F35D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677178">
      <w:bodyDiv w:val="1"/>
      <w:marLeft w:val="0"/>
      <w:marRight w:val="0"/>
      <w:marTop w:val="0"/>
      <w:marBottom w:val="0"/>
      <w:divBdr>
        <w:top w:val="none" w:sz="0" w:space="0" w:color="auto"/>
        <w:left w:val="none" w:sz="0" w:space="0" w:color="auto"/>
        <w:bottom w:val="none" w:sz="0" w:space="0" w:color="auto"/>
        <w:right w:val="none" w:sz="0" w:space="0" w:color="auto"/>
      </w:divBdr>
    </w:div>
    <w:div w:id="571163081">
      <w:bodyDiv w:val="1"/>
      <w:marLeft w:val="0"/>
      <w:marRight w:val="0"/>
      <w:marTop w:val="0"/>
      <w:marBottom w:val="0"/>
      <w:divBdr>
        <w:top w:val="none" w:sz="0" w:space="0" w:color="auto"/>
        <w:left w:val="none" w:sz="0" w:space="0" w:color="auto"/>
        <w:bottom w:val="none" w:sz="0" w:space="0" w:color="auto"/>
        <w:right w:val="none" w:sz="0" w:space="0" w:color="auto"/>
      </w:divBdr>
    </w:div>
    <w:div w:id="698900112">
      <w:bodyDiv w:val="1"/>
      <w:marLeft w:val="0"/>
      <w:marRight w:val="0"/>
      <w:marTop w:val="0"/>
      <w:marBottom w:val="0"/>
      <w:divBdr>
        <w:top w:val="none" w:sz="0" w:space="0" w:color="auto"/>
        <w:left w:val="none" w:sz="0" w:space="0" w:color="auto"/>
        <w:bottom w:val="none" w:sz="0" w:space="0" w:color="auto"/>
        <w:right w:val="none" w:sz="0" w:space="0" w:color="auto"/>
      </w:divBdr>
      <w:divsChild>
        <w:div w:id="1616015205">
          <w:marLeft w:val="0"/>
          <w:marRight w:val="0"/>
          <w:marTop w:val="0"/>
          <w:marBottom w:val="0"/>
          <w:divBdr>
            <w:top w:val="none" w:sz="0" w:space="0" w:color="auto"/>
            <w:left w:val="none" w:sz="0" w:space="0" w:color="auto"/>
            <w:bottom w:val="none" w:sz="0" w:space="0" w:color="auto"/>
            <w:right w:val="none" w:sz="0" w:space="0" w:color="auto"/>
          </w:divBdr>
          <w:divsChild>
            <w:div w:id="239948254">
              <w:marLeft w:val="0"/>
              <w:marRight w:val="0"/>
              <w:marTop w:val="0"/>
              <w:marBottom w:val="0"/>
              <w:divBdr>
                <w:top w:val="none" w:sz="0" w:space="0" w:color="auto"/>
                <w:left w:val="none" w:sz="0" w:space="0" w:color="auto"/>
                <w:bottom w:val="none" w:sz="0" w:space="0" w:color="auto"/>
                <w:right w:val="none" w:sz="0" w:space="0" w:color="auto"/>
              </w:divBdr>
            </w:div>
          </w:divsChild>
        </w:div>
        <w:div w:id="1449397178">
          <w:marLeft w:val="450"/>
          <w:marRight w:val="0"/>
          <w:marTop w:val="150"/>
          <w:marBottom w:val="150"/>
          <w:divBdr>
            <w:top w:val="none" w:sz="0" w:space="0" w:color="auto"/>
            <w:left w:val="none" w:sz="0" w:space="0" w:color="auto"/>
            <w:bottom w:val="none" w:sz="0" w:space="0" w:color="auto"/>
            <w:right w:val="none" w:sz="0" w:space="0" w:color="auto"/>
          </w:divBdr>
          <w:divsChild>
            <w:div w:id="698362403">
              <w:marLeft w:val="0"/>
              <w:marRight w:val="0"/>
              <w:marTop w:val="0"/>
              <w:marBottom w:val="0"/>
              <w:divBdr>
                <w:top w:val="none" w:sz="0" w:space="0" w:color="auto"/>
                <w:left w:val="none" w:sz="0" w:space="0" w:color="auto"/>
                <w:bottom w:val="none" w:sz="0" w:space="0" w:color="auto"/>
                <w:right w:val="none" w:sz="0" w:space="0" w:color="auto"/>
              </w:divBdr>
            </w:div>
          </w:divsChild>
        </w:div>
        <w:div w:id="1554193243">
          <w:marLeft w:val="0"/>
          <w:marRight w:val="0"/>
          <w:marTop w:val="0"/>
          <w:marBottom w:val="0"/>
          <w:divBdr>
            <w:top w:val="none" w:sz="0" w:space="0" w:color="auto"/>
            <w:left w:val="none" w:sz="0" w:space="0" w:color="auto"/>
            <w:bottom w:val="none" w:sz="0" w:space="0" w:color="auto"/>
            <w:right w:val="none" w:sz="0" w:space="0" w:color="auto"/>
          </w:divBdr>
        </w:div>
      </w:divsChild>
    </w:div>
    <w:div w:id="1321084937">
      <w:bodyDiv w:val="1"/>
      <w:marLeft w:val="0"/>
      <w:marRight w:val="0"/>
      <w:marTop w:val="0"/>
      <w:marBottom w:val="0"/>
      <w:divBdr>
        <w:top w:val="none" w:sz="0" w:space="0" w:color="auto"/>
        <w:left w:val="none" w:sz="0" w:space="0" w:color="auto"/>
        <w:bottom w:val="none" w:sz="0" w:space="0" w:color="auto"/>
        <w:right w:val="none" w:sz="0" w:space="0" w:color="auto"/>
      </w:divBdr>
      <w:divsChild>
        <w:div w:id="58673448">
          <w:marLeft w:val="0"/>
          <w:marRight w:val="0"/>
          <w:marTop w:val="0"/>
          <w:marBottom w:val="0"/>
          <w:divBdr>
            <w:top w:val="none" w:sz="0" w:space="0" w:color="auto"/>
            <w:left w:val="none" w:sz="0" w:space="0" w:color="auto"/>
            <w:bottom w:val="none" w:sz="0" w:space="0" w:color="auto"/>
            <w:right w:val="none" w:sz="0" w:space="0" w:color="auto"/>
          </w:divBdr>
          <w:divsChild>
            <w:div w:id="1944727055">
              <w:marLeft w:val="0"/>
              <w:marRight w:val="0"/>
              <w:marTop w:val="0"/>
              <w:marBottom w:val="0"/>
              <w:divBdr>
                <w:top w:val="none" w:sz="0" w:space="0" w:color="auto"/>
                <w:left w:val="none" w:sz="0" w:space="0" w:color="auto"/>
                <w:bottom w:val="none" w:sz="0" w:space="0" w:color="auto"/>
                <w:right w:val="none" w:sz="0" w:space="0" w:color="auto"/>
              </w:divBdr>
            </w:div>
          </w:divsChild>
        </w:div>
        <w:div w:id="1439250349">
          <w:marLeft w:val="450"/>
          <w:marRight w:val="0"/>
          <w:marTop w:val="150"/>
          <w:marBottom w:val="150"/>
          <w:divBdr>
            <w:top w:val="none" w:sz="0" w:space="0" w:color="auto"/>
            <w:left w:val="none" w:sz="0" w:space="0" w:color="auto"/>
            <w:bottom w:val="none" w:sz="0" w:space="0" w:color="auto"/>
            <w:right w:val="none" w:sz="0" w:space="0" w:color="auto"/>
          </w:divBdr>
          <w:divsChild>
            <w:div w:id="691809686">
              <w:marLeft w:val="0"/>
              <w:marRight w:val="0"/>
              <w:marTop w:val="0"/>
              <w:marBottom w:val="0"/>
              <w:divBdr>
                <w:top w:val="none" w:sz="0" w:space="0" w:color="auto"/>
                <w:left w:val="none" w:sz="0" w:space="0" w:color="auto"/>
                <w:bottom w:val="none" w:sz="0" w:space="0" w:color="auto"/>
                <w:right w:val="none" w:sz="0" w:space="0" w:color="auto"/>
              </w:divBdr>
            </w:div>
          </w:divsChild>
        </w:div>
        <w:div w:id="2008090776">
          <w:marLeft w:val="0"/>
          <w:marRight w:val="0"/>
          <w:marTop w:val="0"/>
          <w:marBottom w:val="0"/>
          <w:divBdr>
            <w:top w:val="none" w:sz="0" w:space="0" w:color="auto"/>
            <w:left w:val="none" w:sz="0" w:space="0" w:color="auto"/>
            <w:bottom w:val="none" w:sz="0" w:space="0" w:color="auto"/>
            <w:right w:val="none" w:sz="0" w:space="0" w:color="auto"/>
          </w:divBdr>
        </w:div>
      </w:divsChild>
    </w:div>
    <w:div w:id="1624965633">
      <w:bodyDiv w:val="1"/>
      <w:marLeft w:val="0"/>
      <w:marRight w:val="0"/>
      <w:marTop w:val="0"/>
      <w:marBottom w:val="0"/>
      <w:divBdr>
        <w:top w:val="none" w:sz="0" w:space="0" w:color="auto"/>
        <w:left w:val="none" w:sz="0" w:space="0" w:color="auto"/>
        <w:bottom w:val="none" w:sz="0" w:space="0" w:color="auto"/>
        <w:right w:val="none" w:sz="0" w:space="0" w:color="auto"/>
      </w:divBdr>
    </w:div>
    <w:div w:id="188378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resolver.caselaw.kenyalaw.org/resolver/akn/ke/judgment/keca/2016/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85618-A5FD-476C-AB75-5F88AD78A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6015</Words>
  <Characters>34292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-FIRM 22</vt:lpstr>
    </vt:vector>
  </TitlesOfParts>
  <Company/>
  <LinksUpToDate>false</LinksUpToDate>
  <CharactersWithSpaces>40227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22</dc:title>
  <dc:subject/>
  <dc:creator>Sandra</dc:creator>
  <cp:keywords/>
  <dc:description/>
  <cp:lastModifiedBy>Sandra</cp:lastModifiedBy>
  <cp:revision>2</cp:revision>
  <dcterms:created xsi:type="dcterms:W3CDTF">2023-03-06T05:17:00Z</dcterms:created>
  <dcterms:modified xsi:type="dcterms:W3CDTF">2023-03-06T05:17:00Z</dcterms:modified>
  <cp:category>FIRM 22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id="ipbCUKoL"/&gt;&lt;style id="http://www.zotero.org/styles/chicago-fullnote-bibliography" locale="en-GB" hasBibliography="1" bibliographyStyleHasBeenSet="0"/&gt;&lt;prefs&gt;&lt;pref name="fieldType" value="Field"/&gt;</vt:lpwstr>
  </property>
  <property fmtid="{D5CDD505-2E9C-101B-9397-08002B2CF9AE}" pid="3" name="ZOTERO_PREF_2">
    <vt:lpwstr>&lt;pref name="automaticJournalAbbreviations" value="true"/&gt;&lt;pref name="noteType" value="1"/&gt;&lt;/prefs&gt;&lt;/data&gt;</vt:lpwstr>
  </property>
</Properties>
</file>