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BE2A88" w14:textId="14F663B8" w:rsidR="007278F2" w:rsidRPr="007278F2" w:rsidRDefault="007278F2" w:rsidP="00A420DC">
      <w:pPr>
        <w:spacing w:after="360" w:line="360" w:lineRule="atLeast"/>
        <w:rPr>
          <w:rFonts w:ascii="Times New Roman" w:eastAsia="Times New Roman" w:hAnsi="Times New Roman" w:cs="Times New Roman"/>
          <w:b/>
          <w:bCs/>
          <w:color w:val="1F1F1F"/>
          <w:sz w:val="24"/>
          <w:szCs w:val="24"/>
          <w:lang w:eastAsia="en-GB"/>
          <w14:ligatures w14:val="none"/>
        </w:rPr>
      </w:pPr>
      <w:r w:rsidRPr="007278F2">
        <w:rPr>
          <w:rFonts w:ascii="Times New Roman" w:eastAsia="Times New Roman" w:hAnsi="Times New Roman" w:cs="Times New Roman"/>
          <w:b/>
          <w:bCs/>
          <w:color w:val="1F1F1F"/>
          <w:sz w:val="24"/>
          <w:szCs w:val="24"/>
          <w:lang w:eastAsia="en-GB"/>
          <w14:ligatures w14:val="none"/>
        </w:rPr>
        <w:t xml:space="preserve">The Capital Markets Authority and its Regulations </w:t>
      </w:r>
    </w:p>
    <w:p w14:paraId="7833D237" w14:textId="57C93334" w:rsidR="00A420DC" w:rsidRPr="00A420DC" w:rsidRDefault="00A420DC" w:rsidP="00A420DC">
      <w:pPr>
        <w:spacing w:after="360" w:line="360" w:lineRule="atLeast"/>
        <w:rPr>
          <w:rFonts w:ascii="Times New Roman" w:eastAsia="Times New Roman" w:hAnsi="Times New Roman" w:cs="Times New Roman"/>
          <w:color w:val="1F1F1F"/>
          <w:sz w:val="24"/>
          <w:szCs w:val="24"/>
          <w:lang w:eastAsia="en-GB"/>
          <w14:ligatures w14:val="none"/>
        </w:rPr>
      </w:pPr>
      <w:r w:rsidRPr="00A420DC">
        <w:rPr>
          <w:rFonts w:ascii="Times New Roman" w:eastAsia="Times New Roman" w:hAnsi="Times New Roman" w:cs="Times New Roman"/>
          <w:color w:val="1F1F1F"/>
          <w:sz w:val="24"/>
          <w:szCs w:val="24"/>
          <w:lang w:eastAsia="en-GB"/>
          <w14:ligatures w14:val="none"/>
        </w:rPr>
        <w:t>The Capital Markets Authority (CMA) is the regulatory body for the capital markets in Kenya. It is responsible for regulating the issuance, trading and listing of securities, as well as the provision of investment services. The CMA also regulates mergers and acquisitions (M&amp;A) involving companies listed on the Nairobi Securities Exchange (NSE).</w:t>
      </w:r>
    </w:p>
    <w:p w14:paraId="77146E08" w14:textId="77777777" w:rsidR="00A420DC" w:rsidRPr="00A420DC" w:rsidRDefault="00A420DC" w:rsidP="00A420DC">
      <w:pPr>
        <w:spacing w:before="360" w:after="360" w:line="360" w:lineRule="atLeast"/>
        <w:rPr>
          <w:rFonts w:ascii="Times New Roman" w:eastAsia="Times New Roman" w:hAnsi="Times New Roman" w:cs="Times New Roman"/>
          <w:color w:val="1F1F1F"/>
          <w:sz w:val="24"/>
          <w:szCs w:val="24"/>
          <w:lang w:eastAsia="en-GB"/>
          <w14:ligatures w14:val="none"/>
        </w:rPr>
      </w:pPr>
      <w:r w:rsidRPr="00A420DC">
        <w:rPr>
          <w:rFonts w:ascii="Times New Roman" w:eastAsia="Times New Roman" w:hAnsi="Times New Roman" w:cs="Times New Roman"/>
          <w:color w:val="1F1F1F"/>
          <w:sz w:val="24"/>
          <w:szCs w:val="24"/>
          <w:lang w:eastAsia="en-GB"/>
          <w14:ligatures w14:val="none"/>
        </w:rPr>
        <w:t>The CMA's M&amp;A regulations are designed to protect the interests of investors and to ensure that M&amp;A transactions are conducted in a fair and transparent manner. The regulations cover a wide range of issues, including:</w:t>
      </w:r>
    </w:p>
    <w:p w14:paraId="65CE1207" w14:textId="77777777" w:rsidR="00A420DC" w:rsidRPr="00A420DC" w:rsidRDefault="00A420DC" w:rsidP="00A420DC">
      <w:pPr>
        <w:numPr>
          <w:ilvl w:val="0"/>
          <w:numId w:val="1"/>
        </w:numPr>
        <w:spacing w:after="150" w:line="360" w:lineRule="atLeast"/>
        <w:rPr>
          <w:rFonts w:ascii="Times New Roman" w:eastAsia="Times New Roman" w:hAnsi="Times New Roman" w:cs="Times New Roman"/>
          <w:color w:val="1F1F1F"/>
          <w:sz w:val="24"/>
          <w:szCs w:val="24"/>
          <w:lang w:eastAsia="en-GB"/>
          <w14:ligatures w14:val="none"/>
        </w:rPr>
      </w:pPr>
      <w:r w:rsidRPr="00A420DC">
        <w:rPr>
          <w:rFonts w:ascii="Times New Roman" w:eastAsia="Times New Roman" w:hAnsi="Times New Roman" w:cs="Times New Roman"/>
          <w:color w:val="1F1F1F"/>
          <w:sz w:val="24"/>
          <w:szCs w:val="24"/>
          <w:lang w:eastAsia="en-GB"/>
          <w14:ligatures w14:val="none"/>
        </w:rPr>
        <w:t>The disclosure of information to investors</w:t>
      </w:r>
    </w:p>
    <w:p w14:paraId="2D9690C1" w14:textId="77777777" w:rsidR="00A420DC" w:rsidRPr="00A420DC" w:rsidRDefault="00A420DC" w:rsidP="00A420DC">
      <w:pPr>
        <w:numPr>
          <w:ilvl w:val="0"/>
          <w:numId w:val="1"/>
        </w:numPr>
        <w:spacing w:after="150" w:line="360" w:lineRule="atLeast"/>
        <w:rPr>
          <w:rFonts w:ascii="Times New Roman" w:eastAsia="Times New Roman" w:hAnsi="Times New Roman" w:cs="Times New Roman"/>
          <w:color w:val="1F1F1F"/>
          <w:sz w:val="24"/>
          <w:szCs w:val="24"/>
          <w:lang w:eastAsia="en-GB"/>
          <w14:ligatures w14:val="none"/>
        </w:rPr>
      </w:pPr>
      <w:r w:rsidRPr="00A420DC">
        <w:rPr>
          <w:rFonts w:ascii="Times New Roman" w:eastAsia="Times New Roman" w:hAnsi="Times New Roman" w:cs="Times New Roman"/>
          <w:color w:val="1F1F1F"/>
          <w:sz w:val="24"/>
          <w:szCs w:val="24"/>
          <w:lang w:eastAsia="en-GB"/>
          <w14:ligatures w14:val="none"/>
        </w:rPr>
        <w:t>The approval of M&amp;A transactions by the CMA</w:t>
      </w:r>
    </w:p>
    <w:p w14:paraId="043BF969" w14:textId="77777777" w:rsidR="00A420DC" w:rsidRPr="00A420DC" w:rsidRDefault="00A420DC" w:rsidP="00A420DC">
      <w:pPr>
        <w:numPr>
          <w:ilvl w:val="0"/>
          <w:numId w:val="1"/>
        </w:numPr>
        <w:spacing w:after="150" w:line="360" w:lineRule="atLeast"/>
        <w:rPr>
          <w:rFonts w:ascii="Times New Roman" w:eastAsia="Times New Roman" w:hAnsi="Times New Roman" w:cs="Times New Roman"/>
          <w:color w:val="1F1F1F"/>
          <w:sz w:val="24"/>
          <w:szCs w:val="24"/>
          <w:lang w:eastAsia="en-GB"/>
          <w14:ligatures w14:val="none"/>
        </w:rPr>
      </w:pPr>
      <w:r w:rsidRPr="00A420DC">
        <w:rPr>
          <w:rFonts w:ascii="Times New Roman" w:eastAsia="Times New Roman" w:hAnsi="Times New Roman" w:cs="Times New Roman"/>
          <w:color w:val="1F1F1F"/>
          <w:sz w:val="24"/>
          <w:szCs w:val="24"/>
          <w:lang w:eastAsia="en-GB"/>
          <w14:ligatures w14:val="none"/>
        </w:rPr>
        <w:t>The protection of minority shareholders</w:t>
      </w:r>
    </w:p>
    <w:p w14:paraId="35489646" w14:textId="696848E5" w:rsidR="00DB01B0" w:rsidRPr="007278F2" w:rsidRDefault="00A420DC" w:rsidP="00D90054">
      <w:pPr>
        <w:spacing w:before="360" w:after="360" w:line="360" w:lineRule="atLeast"/>
        <w:rPr>
          <w:rFonts w:ascii="Times New Roman" w:eastAsia="Times New Roman" w:hAnsi="Times New Roman" w:cs="Times New Roman"/>
          <w:color w:val="1F1F1F"/>
          <w:sz w:val="24"/>
          <w:szCs w:val="24"/>
          <w:lang w:eastAsia="en-GB"/>
          <w14:ligatures w14:val="none"/>
        </w:rPr>
      </w:pPr>
      <w:r w:rsidRPr="00A420DC">
        <w:rPr>
          <w:rFonts w:ascii="Times New Roman" w:eastAsia="Times New Roman" w:hAnsi="Times New Roman" w:cs="Times New Roman"/>
          <w:color w:val="1F1F1F"/>
          <w:sz w:val="24"/>
          <w:szCs w:val="24"/>
          <w:lang w:eastAsia="en-GB"/>
          <w14:ligatures w14:val="none"/>
        </w:rPr>
        <w:t>The CMA's M&amp;A regulations apply to all M&amp;A transactions involving companies listed on the NSE. However, the regulations do not apply to M&amp;A transactions involving companies that are not listed on the NSE.</w:t>
      </w:r>
    </w:p>
    <w:p w14:paraId="60C15966" w14:textId="358462B0" w:rsidR="00D90054" w:rsidRPr="007278F2" w:rsidRDefault="00D90054" w:rsidP="00D90054">
      <w:pPr>
        <w:spacing w:before="360" w:after="360" w:line="360" w:lineRule="atLeast"/>
        <w:rPr>
          <w:rFonts w:ascii="Times New Roman" w:eastAsia="Times New Roman" w:hAnsi="Times New Roman" w:cs="Times New Roman"/>
          <w:b/>
          <w:bCs/>
          <w:color w:val="1F1F1F"/>
          <w:sz w:val="24"/>
          <w:szCs w:val="24"/>
          <w:lang w:eastAsia="en-GB"/>
          <w14:ligatures w14:val="none"/>
        </w:rPr>
      </w:pPr>
      <w:r w:rsidRPr="007278F2">
        <w:rPr>
          <w:rFonts w:ascii="Times New Roman" w:eastAsia="Times New Roman" w:hAnsi="Times New Roman" w:cs="Times New Roman"/>
          <w:b/>
          <w:bCs/>
          <w:color w:val="1F1F1F"/>
          <w:sz w:val="24"/>
          <w:szCs w:val="24"/>
          <w:lang w:eastAsia="en-GB"/>
          <w14:ligatures w14:val="none"/>
        </w:rPr>
        <w:t>The Capital Market (Takeover and Mergers) Regulations, 2002</w:t>
      </w:r>
    </w:p>
    <w:p w14:paraId="32CAD8CC" w14:textId="00CF7AB9" w:rsidR="00D90054" w:rsidRPr="007278F2" w:rsidRDefault="000F0C85" w:rsidP="00D90054">
      <w:pPr>
        <w:spacing w:before="360" w:after="360" w:line="360" w:lineRule="atLeast"/>
        <w:rPr>
          <w:rFonts w:ascii="Times New Roman" w:hAnsi="Times New Roman" w:cs="Times New Roman"/>
          <w:color w:val="262626"/>
          <w:sz w:val="24"/>
          <w:szCs w:val="24"/>
          <w:shd w:val="clear" w:color="auto" w:fill="FFFFFF"/>
        </w:rPr>
      </w:pPr>
      <w:r w:rsidRPr="007278F2">
        <w:rPr>
          <w:rFonts w:ascii="Times New Roman" w:hAnsi="Times New Roman" w:cs="Times New Roman"/>
          <w:color w:val="262626"/>
          <w:sz w:val="24"/>
          <w:szCs w:val="24"/>
          <w:shd w:val="clear" w:color="auto" w:fill="FFFFFF"/>
        </w:rPr>
        <w:t>The Takeovers and Mergers Regulations apply to transactions affecting listed companies. Importantly, these regulations apply when a person or group of persons intend to acquire at least 25% of the voting rights.</w:t>
      </w:r>
      <w:r w:rsidRPr="007278F2">
        <w:rPr>
          <w:rStyle w:val="FootnoteReference"/>
          <w:rFonts w:ascii="Times New Roman" w:hAnsi="Times New Roman" w:cs="Times New Roman"/>
          <w:color w:val="262626"/>
          <w:sz w:val="24"/>
          <w:szCs w:val="24"/>
          <w:shd w:val="clear" w:color="auto" w:fill="FFFFFF"/>
        </w:rPr>
        <w:footnoteReference w:id="1"/>
      </w:r>
      <w:r w:rsidRPr="007278F2">
        <w:rPr>
          <w:rFonts w:ascii="Times New Roman" w:hAnsi="Times New Roman" w:cs="Times New Roman"/>
          <w:color w:val="262626"/>
          <w:sz w:val="24"/>
          <w:szCs w:val="24"/>
          <w:shd w:val="clear" w:color="auto" w:fill="FFFFFF"/>
        </w:rPr>
        <w:t xml:space="preserve"> However, the Regulations will not apply if the offeror already holds at least 90% of the voting rights by itself or its associates.</w:t>
      </w:r>
    </w:p>
    <w:p w14:paraId="32A3C26E" w14:textId="4701A30F" w:rsidR="000F0C85" w:rsidRPr="007278F2" w:rsidRDefault="001674CE" w:rsidP="00D90054">
      <w:pPr>
        <w:spacing w:before="360" w:after="360" w:line="360" w:lineRule="atLeast"/>
        <w:rPr>
          <w:rFonts w:ascii="Times New Roman" w:hAnsi="Times New Roman" w:cs="Times New Roman"/>
          <w:color w:val="262626"/>
          <w:sz w:val="24"/>
          <w:szCs w:val="24"/>
          <w:shd w:val="clear" w:color="auto" w:fill="FFFFFF"/>
        </w:rPr>
      </w:pPr>
      <w:r w:rsidRPr="007278F2">
        <w:rPr>
          <w:rFonts w:ascii="Times New Roman" w:hAnsi="Times New Roman" w:cs="Times New Roman"/>
          <w:color w:val="262626"/>
          <w:sz w:val="24"/>
          <w:szCs w:val="24"/>
          <w:shd w:val="clear" w:color="auto" w:fill="FFFFFF"/>
        </w:rPr>
        <w:t xml:space="preserve"> A company or a person who intend or acquire effective control in  a listed company is required from the resolution of its board to announce the proposed offer by press notice and serve a notice of the notice in writing of the take-over scheme .</w:t>
      </w:r>
      <w:r w:rsidRPr="007278F2">
        <w:rPr>
          <w:rStyle w:val="FootnoteReference"/>
          <w:rFonts w:ascii="Times New Roman" w:hAnsi="Times New Roman" w:cs="Times New Roman"/>
          <w:color w:val="262626"/>
          <w:sz w:val="24"/>
          <w:szCs w:val="24"/>
          <w:shd w:val="clear" w:color="auto" w:fill="FFFFFF"/>
        </w:rPr>
        <w:footnoteReference w:id="2"/>
      </w:r>
      <w:r w:rsidRPr="007278F2">
        <w:rPr>
          <w:rFonts w:ascii="Times New Roman" w:hAnsi="Times New Roman" w:cs="Times New Roman"/>
          <w:color w:val="262626"/>
          <w:sz w:val="24"/>
          <w:szCs w:val="24"/>
          <w:shd w:val="clear" w:color="auto" w:fill="FFFFFF"/>
        </w:rPr>
        <w:t xml:space="preserve"> The particulars set out under Regulation 4(2) has to accompany such a notice .</w:t>
      </w:r>
    </w:p>
    <w:p w14:paraId="48D8D982" w14:textId="1FAE4875" w:rsidR="00445B26" w:rsidRPr="007278F2" w:rsidRDefault="007960C2" w:rsidP="00D90054">
      <w:pPr>
        <w:spacing w:before="360" w:after="360" w:line="360" w:lineRule="atLeast"/>
        <w:rPr>
          <w:rFonts w:ascii="Times New Roman" w:hAnsi="Times New Roman" w:cs="Times New Roman"/>
          <w:color w:val="262626"/>
          <w:sz w:val="24"/>
          <w:szCs w:val="24"/>
          <w:shd w:val="clear" w:color="auto" w:fill="FFFFFF"/>
        </w:rPr>
      </w:pPr>
      <w:r w:rsidRPr="007278F2">
        <w:rPr>
          <w:rFonts w:ascii="Times New Roman" w:hAnsi="Times New Roman" w:cs="Times New Roman"/>
          <w:color w:val="262626"/>
          <w:sz w:val="24"/>
          <w:szCs w:val="24"/>
          <w:shd w:val="clear" w:color="auto" w:fill="FFFFFF"/>
        </w:rPr>
        <w:t xml:space="preserve">Additionally , a listed company may granted an </w:t>
      </w:r>
      <w:r w:rsidR="00445B26" w:rsidRPr="007278F2">
        <w:rPr>
          <w:rFonts w:ascii="Times New Roman" w:hAnsi="Times New Roman" w:cs="Times New Roman"/>
          <w:color w:val="262626"/>
          <w:sz w:val="24"/>
          <w:szCs w:val="24"/>
          <w:shd w:val="clear" w:color="auto" w:fill="FFFFFF"/>
        </w:rPr>
        <w:t>exemption</w:t>
      </w:r>
      <w:r w:rsidRPr="007278F2">
        <w:rPr>
          <w:rFonts w:ascii="Times New Roman" w:hAnsi="Times New Roman" w:cs="Times New Roman"/>
          <w:color w:val="262626"/>
          <w:sz w:val="24"/>
          <w:szCs w:val="24"/>
          <w:shd w:val="clear" w:color="auto" w:fill="FFFFFF"/>
        </w:rPr>
        <w:t xml:space="preserve"> from complying with </w:t>
      </w:r>
      <w:r w:rsidR="00445B26" w:rsidRPr="007278F2">
        <w:rPr>
          <w:rFonts w:ascii="Times New Roman" w:hAnsi="Times New Roman" w:cs="Times New Roman"/>
          <w:color w:val="262626"/>
          <w:sz w:val="24"/>
          <w:szCs w:val="24"/>
          <w:shd w:val="clear" w:color="auto" w:fill="FFFFFF"/>
        </w:rPr>
        <w:t>Regulation</w:t>
      </w:r>
      <w:r w:rsidRPr="007278F2">
        <w:rPr>
          <w:rFonts w:ascii="Times New Roman" w:hAnsi="Times New Roman" w:cs="Times New Roman"/>
          <w:color w:val="262626"/>
          <w:sz w:val="24"/>
          <w:szCs w:val="24"/>
          <w:shd w:val="clear" w:color="auto" w:fill="FFFFFF"/>
        </w:rPr>
        <w:t xml:space="preserve"> 4 . </w:t>
      </w:r>
      <w:r w:rsidR="00445B26" w:rsidRPr="007278F2">
        <w:rPr>
          <w:rFonts w:ascii="Times New Roman" w:hAnsi="Times New Roman" w:cs="Times New Roman"/>
          <w:color w:val="262626"/>
          <w:sz w:val="24"/>
          <w:szCs w:val="24"/>
          <w:shd w:val="clear" w:color="auto" w:fill="FFFFFF"/>
        </w:rPr>
        <w:t>This is</w:t>
      </w:r>
      <w:r w:rsidRPr="007278F2">
        <w:rPr>
          <w:rFonts w:ascii="Times New Roman" w:hAnsi="Times New Roman" w:cs="Times New Roman"/>
          <w:color w:val="262626"/>
          <w:sz w:val="24"/>
          <w:szCs w:val="24"/>
          <w:shd w:val="clear" w:color="auto" w:fill="FFFFFF"/>
        </w:rPr>
        <w:t xml:space="preserve"> subject to the conditions which are to be imposed by the </w:t>
      </w:r>
      <w:r w:rsidR="00445B26" w:rsidRPr="007278F2">
        <w:rPr>
          <w:rFonts w:ascii="Times New Roman" w:hAnsi="Times New Roman" w:cs="Times New Roman"/>
          <w:color w:val="262626"/>
          <w:sz w:val="24"/>
          <w:szCs w:val="24"/>
          <w:shd w:val="clear" w:color="auto" w:fill="FFFFFF"/>
        </w:rPr>
        <w:t>Authority. The</w:t>
      </w:r>
      <w:r w:rsidRPr="007278F2">
        <w:rPr>
          <w:rFonts w:ascii="Times New Roman" w:hAnsi="Times New Roman" w:cs="Times New Roman"/>
          <w:color w:val="262626"/>
          <w:sz w:val="24"/>
          <w:szCs w:val="24"/>
          <w:shd w:val="clear" w:color="auto" w:fill="FFFFFF"/>
        </w:rPr>
        <w:t xml:space="preserve"> grant of </w:t>
      </w:r>
      <w:r w:rsidR="00445B26" w:rsidRPr="007278F2">
        <w:rPr>
          <w:rFonts w:ascii="Times New Roman" w:hAnsi="Times New Roman" w:cs="Times New Roman"/>
          <w:color w:val="262626"/>
          <w:sz w:val="24"/>
          <w:szCs w:val="24"/>
          <w:shd w:val="clear" w:color="auto" w:fill="FFFFFF"/>
        </w:rPr>
        <w:lastRenderedPageBreak/>
        <w:t>exemption</w:t>
      </w:r>
      <w:r w:rsidRPr="007278F2">
        <w:rPr>
          <w:rFonts w:ascii="Times New Roman" w:hAnsi="Times New Roman" w:cs="Times New Roman"/>
          <w:color w:val="262626"/>
          <w:sz w:val="24"/>
          <w:szCs w:val="24"/>
          <w:shd w:val="clear" w:color="auto" w:fill="FFFFFF"/>
        </w:rPr>
        <w:t xml:space="preserve"> shall serve the wider </w:t>
      </w:r>
      <w:r w:rsidR="00445B26" w:rsidRPr="007278F2">
        <w:rPr>
          <w:rFonts w:ascii="Times New Roman" w:hAnsi="Times New Roman" w:cs="Times New Roman"/>
          <w:color w:val="262626"/>
          <w:sz w:val="24"/>
          <w:szCs w:val="24"/>
          <w:shd w:val="clear" w:color="auto" w:fill="FFFFFF"/>
        </w:rPr>
        <w:t>interests</w:t>
      </w:r>
      <w:r w:rsidRPr="007278F2">
        <w:rPr>
          <w:rFonts w:ascii="Times New Roman" w:hAnsi="Times New Roman" w:cs="Times New Roman"/>
          <w:color w:val="262626"/>
          <w:sz w:val="24"/>
          <w:szCs w:val="24"/>
          <w:shd w:val="clear" w:color="auto" w:fill="FFFFFF"/>
        </w:rPr>
        <w:t xml:space="preserve"> of shareholders and the public . </w:t>
      </w:r>
      <w:r w:rsidR="00445B26" w:rsidRPr="007278F2">
        <w:rPr>
          <w:rFonts w:ascii="Times New Roman" w:hAnsi="Times New Roman" w:cs="Times New Roman"/>
          <w:color w:val="262626"/>
          <w:sz w:val="24"/>
          <w:szCs w:val="24"/>
          <w:shd w:val="clear" w:color="auto" w:fill="FFFFFF"/>
        </w:rPr>
        <w:t>Further,</w:t>
      </w:r>
      <w:r w:rsidRPr="007278F2">
        <w:rPr>
          <w:rFonts w:ascii="Times New Roman" w:hAnsi="Times New Roman" w:cs="Times New Roman"/>
          <w:color w:val="262626"/>
          <w:sz w:val="24"/>
          <w:szCs w:val="24"/>
          <w:shd w:val="clear" w:color="auto" w:fill="FFFFFF"/>
        </w:rPr>
        <w:t xml:space="preserve"> Regulation 12 of the take over </w:t>
      </w:r>
      <w:r w:rsidR="00445B26" w:rsidRPr="007278F2">
        <w:rPr>
          <w:rFonts w:ascii="Times New Roman" w:hAnsi="Times New Roman" w:cs="Times New Roman"/>
          <w:color w:val="262626"/>
          <w:sz w:val="24"/>
          <w:szCs w:val="24"/>
          <w:shd w:val="clear" w:color="auto" w:fill="FFFFFF"/>
        </w:rPr>
        <w:t>regulations,</w:t>
      </w:r>
      <w:r w:rsidRPr="007278F2">
        <w:rPr>
          <w:rFonts w:ascii="Times New Roman" w:hAnsi="Times New Roman" w:cs="Times New Roman"/>
          <w:color w:val="262626"/>
          <w:sz w:val="24"/>
          <w:szCs w:val="24"/>
          <w:shd w:val="clear" w:color="auto" w:fill="FFFFFF"/>
        </w:rPr>
        <w:t xml:space="preserve"> </w:t>
      </w:r>
      <w:r w:rsidR="00445B26" w:rsidRPr="007278F2">
        <w:rPr>
          <w:rFonts w:ascii="Times New Roman" w:hAnsi="Times New Roman" w:cs="Times New Roman"/>
          <w:color w:val="262626"/>
          <w:sz w:val="24"/>
          <w:szCs w:val="24"/>
          <w:shd w:val="clear" w:color="auto" w:fill="FFFFFF"/>
        </w:rPr>
        <w:t xml:space="preserve">elucidates on the offer acquiring to dissenting shareholders. The provision states that where a take-over results in the offeror 90% of the offeree’s voting </w:t>
      </w:r>
      <w:r w:rsidR="00F53445" w:rsidRPr="007278F2">
        <w:rPr>
          <w:rFonts w:ascii="Times New Roman" w:hAnsi="Times New Roman" w:cs="Times New Roman"/>
          <w:color w:val="262626"/>
          <w:sz w:val="24"/>
          <w:szCs w:val="24"/>
          <w:shd w:val="clear" w:color="auto" w:fill="FFFFFF"/>
        </w:rPr>
        <w:t>shares,</w:t>
      </w:r>
      <w:r w:rsidR="00445B26" w:rsidRPr="007278F2">
        <w:rPr>
          <w:rFonts w:ascii="Times New Roman" w:hAnsi="Times New Roman" w:cs="Times New Roman"/>
          <w:color w:val="262626"/>
          <w:sz w:val="24"/>
          <w:szCs w:val="24"/>
          <w:shd w:val="clear" w:color="auto" w:fill="FFFFFF"/>
        </w:rPr>
        <w:t xml:space="preserve"> the </w:t>
      </w:r>
      <w:r w:rsidR="00F53445" w:rsidRPr="007278F2">
        <w:rPr>
          <w:rFonts w:ascii="Times New Roman" w:hAnsi="Times New Roman" w:cs="Times New Roman"/>
          <w:color w:val="262626"/>
          <w:sz w:val="24"/>
          <w:szCs w:val="24"/>
          <w:shd w:val="clear" w:color="auto" w:fill="FFFFFF"/>
        </w:rPr>
        <w:t>offeree offer</w:t>
      </w:r>
      <w:r w:rsidR="00445B26" w:rsidRPr="007278F2">
        <w:rPr>
          <w:rFonts w:ascii="Times New Roman" w:hAnsi="Times New Roman" w:cs="Times New Roman"/>
          <w:color w:val="262626"/>
          <w:sz w:val="24"/>
          <w:szCs w:val="24"/>
          <w:shd w:val="clear" w:color="auto" w:fill="FFFFFF"/>
        </w:rPr>
        <w:t xml:space="preserve"> the remaining </w:t>
      </w:r>
      <w:r w:rsidR="002C427C" w:rsidRPr="007278F2">
        <w:rPr>
          <w:rFonts w:ascii="Times New Roman" w:hAnsi="Times New Roman" w:cs="Times New Roman"/>
          <w:color w:val="262626"/>
          <w:sz w:val="24"/>
          <w:szCs w:val="24"/>
          <w:shd w:val="clear" w:color="auto" w:fill="FFFFFF"/>
        </w:rPr>
        <w:t>shareholders</w:t>
      </w:r>
      <w:r w:rsidR="00445B26" w:rsidRPr="007278F2">
        <w:rPr>
          <w:rFonts w:ascii="Times New Roman" w:hAnsi="Times New Roman" w:cs="Times New Roman"/>
          <w:color w:val="262626"/>
          <w:sz w:val="24"/>
          <w:szCs w:val="24"/>
          <w:shd w:val="clear" w:color="auto" w:fill="FFFFFF"/>
        </w:rPr>
        <w:t xml:space="preserve"> a consideration to the prevailing market price of the voting shares </w:t>
      </w:r>
      <w:r w:rsidR="002C427C" w:rsidRPr="007278F2">
        <w:rPr>
          <w:rFonts w:ascii="Times New Roman" w:hAnsi="Times New Roman" w:cs="Times New Roman"/>
          <w:color w:val="262626"/>
          <w:sz w:val="24"/>
          <w:szCs w:val="24"/>
          <w:shd w:val="clear" w:color="auto" w:fill="FFFFFF"/>
        </w:rPr>
        <w:t>to</w:t>
      </w:r>
      <w:r w:rsidR="00445B26" w:rsidRPr="007278F2">
        <w:rPr>
          <w:rFonts w:ascii="Times New Roman" w:hAnsi="Times New Roman" w:cs="Times New Roman"/>
          <w:color w:val="262626"/>
          <w:sz w:val="24"/>
          <w:szCs w:val="24"/>
          <w:shd w:val="clear" w:color="auto" w:fill="FFFFFF"/>
        </w:rPr>
        <w:t xml:space="preserve"> the price offered to the other shareholders or whichever is higher. T</w:t>
      </w:r>
    </w:p>
    <w:p w14:paraId="47280112" w14:textId="4203AB28" w:rsidR="001674CE" w:rsidRPr="007278F2" w:rsidRDefault="00445B26" w:rsidP="00D90054">
      <w:pPr>
        <w:spacing w:before="360" w:after="360" w:line="360" w:lineRule="atLeast"/>
        <w:rPr>
          <w:rFonts w:ascii="Times New Roman" w:hAnsi="Times New Roman" w:cs="Times New Roman"/>
          <w:color w:val="262626"/>
          <w:sz w:val="24"/>
          <w:szCs w:val="24"/>
          <w:shd w:val="clear" w:color="auto" w:fill="FFFFFF"/>
        </w:rPr>
      </w:pPr>
      <w:r w:rsidRPr="007278F2">
        <w:rPr>
          <w:rFonts w:ascii="Times New Roman" w:hAnsi="Times New Roman" w:cs="Times New Roman"/>
          <w:color w:val="262626"/>
          <w:sz w:val="24"/>
          <w:szCs w:val="24"/>
          <w:shd w:val="clear" w:color="auto" w:fill="FFFFFF"/>
        </w:rPr>
        <w:t xml:space="preserve">In the case of a decision competing take-over </w:t>
      </w:r>
      <w:r w:rsidR="00F53445" w:rsidRPr="007278F2">
        <w:rPr>
          <w:rFonts w:ascii="Times New Roman" w:hAnsi="Times New Roman" w:cs="Times New Roman"/>
          <w:color w:val="262626"/>
          <w:sz w:val="24"/>
          <w:szCs w:val="24"/>
          <w:shd w:val="clear" w:color="auto" w:fill="FFFFFF"/>
        </w:rPr>
        <w:t>offer,</w:t>
      </w:r>
      <w:r w:rsidRPr="007278F2">
        <w:rPr>
          <w:rFonts w:ascii="Times New Roman" w:hAnsi="Times New Roman" w:cs="Times New Roman"/>
          <w:color w:val="262626"/>
          <w:sz w:val="24"/>
          <w:szCs w:val="24"/>
          <w:shd w:val="clear" w:color="auto" w:fill="FFFFFF"/>
        </w:rPr>
        <w:t xml:space="preserve"> the provisions of the Takeover regulations shall apply mutatis mutandis in exception where the notice period to the competing </w:t>
      </w:r>
      <w:r w:rsidR="00F53445" w:rsidRPr="007278F2">
        <w:rPr>
          <w:rFonts w:ascii="Times New Roman" w:hAnsi="Times New Roman" w:cs="Times New Roman"/>
          <w:color w:val="262626"/>
          <w:sz w:val="24"/>
          <w:szCs w:val="24"/>
          <w:shd w:val="clear" w:color="auto" w:fill="FFFFFF"/>
        </w:rPr>
        <w:t>offer.</w:t>
      </w:r>
      <w:r w:rsidRPr="007278F2">
        <w:rPr>
          <w:rStyle w:val="FootnoteReference"/>
          <w:rFonts w:ascii="Times New Roman" w:hAnsi="Times New Roman" w:cs="Times New Roman"/>
          <w:color w:val="262626"/>
          <w:sz w:val="24"/>
          <w:szCs w:val="24"/>
          <w:shd w:val="clear" w:color="auto" w:fill="FFFFFF"/>
        </w:rPr>
        <w:footnoteReference w:id="3"/>
      </w:r>
      <w:r w:rsidR="002C427C" w:rsidRPr="007278F2">
        <w:rPr>
          <w:rFonts w:ascii="Times New Roman" w:hAnsi="Times New Roman" w:cs="Times New Roman"/>
          <w:color w:val="262626"/>
          <w:sz w:val="24"/>
          <w:szCs w:val="24"/>
          <w:shd w:val="clear" w:color="auto" w:fill="FFFFFF"/>
        </w:rPr>
        <w:t>T</w:t>
      </w:r>
      <w:r w:rsidRPr="007278F2">
        <w:rPr>
          <w:rFonts w:ascii="Times New Roman" w:hAnsi="Times New Roman" w:cs="Times New Roman"/>
          <w:color w:val="262626"/>
          <w:sz w:val="24"/>
          <w:szCs w:val="24"/>
          <w:shd w:val="clear" w:color="auto" w:fill="FFFFFF"/>
        </w:rPr>
        <w:t xml:space="preserve">he </w:t>
      </w:r>
      <w:r w:rsidR="002C427C" w:rsidRPr="007278F2">
        <w:rPr>
          <w:rFonts w:ascii="Times New Roman" w:hAnsi="Times New Roman" w:cs="Times New Roman"/>
          <w:color w:val="262626"/>
          <w:sz w:val="24"/>
          <w:szCs w:val="24"/>
          <w:shd w:val="clear" w:color="auto" w:fill="FFFFFF"/>
        </w:rPr>
        <w:t>offeror</w:t>
      </w:r>
      <w:r w:rsidRPr="007278F2">
        <w:rPr>
          <w:rFonts w:ascii="Times New Roman" w:hAnsi="Times New Roman" w:cs="Times New Roman"/>
          <w:color w:val="262626"/>
          <w:sz w:val="24"/>
          <w:szCs w:val="24"/>
          <w:shd w:val="clear" w:color="auto" w:fill="FFFFFF"/>
        </w:rPr>
        <w:t xml:space="preserve"> must therefore </w:t>
      </w:r>
      <w:r w:rsidR="002C427C" w:rsidRPr="007278F2">
        <w:rPr>
          <w:rFonts w:ascii="Times New Roman" w:hAnsi="Times New Roman" w:cs="Times New Roman"/>
          <w:color w:val="262626"/>
          <w:sz w:val="24"/>
          <w:szCs w:val="24"/>
          <w:shd w:val="clear" w:color="auto" w:fill="FFFFFF"/>
        </w:rPr>
        <w:t>keep a take-over offer open acceptances for a period of 30 days from the date the take-over document is served in accordance with Regulation 7(4).</w:t>
      </w:r>
    </w:p>
    <w:p w14:paraId="7E5C0F53" w14:textId="347DAE2A" w:rsidR="002C427C" w:rsidRPr="007278F2" w:rsidRDefault="002C427C" w:rsidP="00D90054">
      <w:pPr>
        <w:spacing w:before="360" w:after="360" w:line="360" w:lineRule="atLeast"/>
        <w:rPr>
          <w:rFonts w:ascii="Times New Roman" w:hAnsi="Times New Roman" w:cs="Times New Roman"/>
          <w:color w:val="262626"/>
          <w:sz w:val="24"/>
          <w:szCs w:val="24"/>
          <w:shd w:val="clear" w:color="auto" w:fill="FFFFFF"/>
        </w:rPr>
      </w:pPr>
      <w:r w:rsidRPr="007278F2">
        <w:rPr>
          <w:rFonts w:ascii="Times New Roman" w:hAnsi="Times New Roman" w:cs="Times New Roman"/>
          <w:color w:val="262626"/>
          <w:sz w:val="24"/>
          <w:szCs w:val="24"/>
          <w:shd w:val="clear" w:color="auto" w:fill="FFFFFF"/>
        </w:rPr>
        <w:t xml:space="preserve">Regulation 17(1) requires that an offeror shall not withdraw a take over without prior written approval of the Authority. companies or </w:t>
      </w:r>
      <w:r w:rsidR="00F53445" w:rsidRPr="007278F2">
        <w:rPr>
          <w:rFonts w:ascii="Times New Roman" w:hAnsi="Times New Roman" w:cs="Times New Roman"/>
          <w:color w:val="262626"/>
          <w:sz w:val="24"/>
          <w:szCs w:val="24"/>
          <w:shd w:val="clear" w:color="auto" w:fill="FFFFFF"/>
        </w:rPr>
        <w:t>entities acting</w:t>
      </w:r>
      <w:r w:rsidRPr="007278F2">
        <w:rPr>
          <w:rFonts w:ascii="Times New Roman" w:hAnsi="Times New Roman" w:cs="Times New Roman"/>
          <w:color w:val="262626"/>
          <w:sz w:val="24"/>
          <w:szCs w:val="24"/>
          <w:shd w:val="clear" w:color="auto" w:fill="FFFFFF"/>
        </w:rPr>
        <w:t xml:space="preserve"> or associated with the offeror shall not within 12 months </w:t>
      </w:r>
      <w:r w:rsidR="00F53445" w:rsidRPr="007278F2">
        <w:rPr>
          <w:rFonts w:ascii="Times New Roman" w:hAnsi="Times New Roman" w:cs="Times New Roman"/>
          <w:color w:val="262626"/>
          <w:sz w:val="24"/>
          <w:szCs w:val="24"/>
          <w:shd w:val="clear" w:color="auto" w:fill="FFFFFF"/>
        </w:rPr>
        <w:t>fail to adhere with the conditions under Sub-regulation 2. The take-over offer shall be deemed close the last day of the offer period.</w:t>
      </w:r>
      <w:r w:rsidR="00F53445" w:rsidRPr="007278F2">
        <w:rPr>
          <w:rStyle w:val="FootnoteReference"/>
          <w:rFonts w:ascii="Times New Roman" w:hAnsi="Times New Roman" w:cs="Times New Roman"/>
          <w:color w:val="262626"/>
          <w:sz w:val="24"/>
          <w:szCs w:val="24"/>
          <w:shd w:val="clear" w:color="auto" w:fill="FFFFFF"/>
        </w:rPr>
        <w:footnoteReference w:id="4"/>
      </w:r>
      <w:r w:rsidR="00F53445" w:rsidRPr="007278F2">
        <w:rPr>
          <w:rFonts w:ascii="Times New Roman" w:hAnsi="Times New Roman" w:cs="Times New Roman"/>
          <w:color w:val="262626"/>
          <w:sz w:val="24"/>
          <w:szCs w:val="24"/>
          <w:shd w:val="clear" w:color="auto" w:fill="FFFFFF"/>
        </w:rPr>
        <w:t xml:space="preserve"> Therefore, the older of voting shares in the offeree may withdraw acceptance out of his own volition at the time before the closing of the offer.</w:t>
      </w:r>
      <w:r w:rsidR="00F53445" w:rsidRPr="007278F2">
        <w:rPr>
          <w:rStyle w:val="FootnoteReference"/>
          <w:rFonts w:ascii="Times New Roman" w:hAnsi="Times New Roman" w:cs="Times New Roman"/>
          <w:color w:val="262626"/>
          <w:sz w:val="24"/>
          <w:szCs w:val="24"/>
          <w:shd w:val="clear" w:color="auto" w:fill="FFFFFF"/>
        </w:rPr>
        <w:footnoteReference w:id="5"/>
      </w:r>
    </w:p>
    <w:p w14:paraId="0308D4B1" w14:textId="0D45C925" w:rsidR="00F53445" w:rsidRPr="007278F2" w:rsidRDefault="00F53445" w:rsidP="00D90054">
      <w:pPr>
        <w:spacing w:before="360" w:after="360" w:line="360" w:lineRule="atLeast"/>
        <w:rPr>
          <w:rFonts w:ascii="Times New Roman" w:hAnsi="Times New Roman" w:cs="Times New Roman"/>
          <w:color w:val="262626"/>
          <w:sz w:val="24"/>
          <w:szCs w:val="24"/>
          <w:shd w:val="clear" w:color="auto" w:fill="FFFFFF"/>
        </w:rPr>
      </w:pPr>
      <w:r w:rsidRPr="007278F2">
        <w:rPr>
          <w:rFonts w:ascii="Times New Roman" w:hAnsi="Times New Roman" w:cs="Times New Roman"/>
          <w:color w:val="262626"/>
          <w:sz w:val="24"/>
          <w:szCs w:val="24"/>
          <w:shd w:val="clear" w:color="auto" w:fill="FFFFFF"/>
        </w:rPr>
        <w:t>Further, where an offeror receives acceptance by offeree shareholders in excess of the total number of shares to which take over relates, the offeror shall undertake prorate acceptance.</w:t>
      </w:r>
      <w:r w:rsidRPr="007278F2">
        <w:rPr>
          <w:rStyle w:val="FootnoteReference"/>
          <w:rFonts w:ascii="Times New Roman" w:hAnsi="Times New Roman" w:cs="Times New Roman"/>
          <w:color w:val="262626"/>
          <w:sz w:val="24"/>
          <w:szCs w:val="24"/>
          <w:shd w:val="clear" w:color="auto" w:fill="FFFFFF"/>
        </w:rPr>
        <w:footnoteReference w:id="6"/>
      </w:r>
      <w:r w:rsidRPr="007278F2">
        <w:rPr>
          <w:rFonts w:ascii="Times New Roman" w:hAnsi="Times New Roman" w:cs="Times New Roman"/>
          <w:color w:val="262626"/>
          <w:sz w:val="24"/>
          <w:szCs w:val="24"/>
          <w:shd w:val="clear" w:color="auto" w:fill="FFFFFF"/>
        </w:rPr>
        <w:t xml:space="preserve"> Pro-rata acceptance means an allocation of acceptance by the offeror in the proportion of the total number of shares accepted by each offeree shareholders in relation to the percentage upon which the offer was conditional.</w:t>
      </w:r>
    </w:p>
    <w:p w14:paraId="49424C16" w14:textId="07B77926" w:rsidR="00F53445" w:rsidRPr="007278F2" w:rsidRDefault="00F53445" w:rsidP="00D90054">
      <w:pPr>
        <w:spacing w:before="360" w:after="360" w:line="360" w:lineRule="atLeast"/>
        <w:rPr>
          <w:rFonts w:ascii="Times New Roman" w:hAnsi="Times New Roman" w:cs="Times New Roman"/>
          <w:color w:val="262626"/>
          <w:sz w:val="24"/>
          <w:szCs w:val="24"/>
          <w:shd w:val="clear" w:color="auto" w:fill="FFFFFF"/>
        </w:rPr>
      </w:pPr>
      <w:r w:rsidRPr="007278F2">
        <w:rPr>
          <w:rFonts w:ascii="Times New Roman" w:hAnsi="Times New Roman" w:cs="Times New Roman"/>
          <w:color w:val="262626"/>
          <w:sz w:val="24"/>
          <w:szCs w:val="24"/>
          <w:shd w:val="clear" w:color="auto" w:fill="FFFFFF"/>
        </w:rPr>
        <w:t xml:space="preserve">Where there has been </w:t>
      </w:r>
      <w:r w:rsidR="00AD5372" w:rsidRPr="007278F2">
        <w:rPr>
          <w:rFonts w:ascii="Times New Roman" w:hAnsi="Times New Roman" w:cs="Times New Roman"/>
          <w:color w:val="262626"/>
          <w:sz w:val="24"/>
          <w:szCs w:val="24"/>
          <w:shd w:val="clear" w:color="auto" w:fill="FFFFFF"/>
        </w:rPr>
        <w:t>acceptance,</w:t>
      </w:r>
      <w:r w:rsidRPr="007278F2">
        <w:rPr>
          <w:rFonts w:ascii="Times New Roman" w:hAnsi="Times New Roman" w:cs="Times New Roman"/>
          <w:color w:val="262626"/>
          <w:sz w:val="24"/>
          <w:szCs w:val="24"/>
          <w:shd w:val="clear" w:color="auto" w:fill="FFFFFF"/>
        </w:rPr>
        <w:t xml:space="preserve"> under regulation </w:t>
      </w:r>
      <w:r w:rsidR="00AD497B" w:rsidRPr="007278F2">
        <w:rPr>
          <w:rFonts w:ascii="Times New Roman" w:hAnsi="Times New Roman" w:cs="Times New Roman"/>
          <w:color w:val="262626"/>
          <w:sz w:val="24"/>
          <w:szCs w:val="24"/>
          <w:shd w:val="clear" w:color="auto" w:fill="FFFFFF"/>
        </w:rPr>
        <w:t>20,</w:t>
      </w:r>
      <w:r w:rsidRPr="007278F2">
        <w:rPr>
          <w:rFonts w:ascii="Times New Roman" w:hAnsi="Times New Roman" w:cs="Times New Roman"/>
          <w:color w:val="262626"/>
          <w:sz w:val="24"/>
          <w:szCs w:val="24"/>
          <w:shd w:val="clear" w:color="auto" w:fill="FFFFFF"/>
        </w:rPr>
        <w:t xml:space="preserve"> an entity or offeror shall inform the authority and security exchanges </w:t>
      </w:r>
      <w:r w:rsidR="00AD5372" w:rsidRPr="007278F2">
        <w:rPr>
          <w:rFonts w:ascii="Times New Roman" w:hAnsi="Times New Roman" w:cs="Times New Roman"/>
          <w:color w:val="262626"/>
          <w:sz w:val="24"/>
          <w:szCs w:val="24"/>
          <w:shd w:val="clear" w:color="auto" w:fill="FFFFFF"/>
        </w:rPr>
        <w:t xml:space="preserve">within 10 days of the closure of the offer. It shall also announce by way of press notice in at least 2 English language dailies of national circulation the total number of voting shares of which the </w:t>
      </w:r>
      <w:r w:rsidR="00AD497B" w:rsidRPr="007278F2">
        <w:rPr>
          <w:rFonts w:ascii="Times New Roman" w:hAnsi="Times New Roman" w:cs="Times New Roman"/>
          <w:color w:val="262626"/>
          <w:sz w:val="24"/>
          <w:szCs w:val="24"/>
          <w:shd w:val="clear" w:color="auto" w:fill="FFFFFF"/>
        </w:rPr>
        <w:t>take-over</w:t>
      </w:r>
      <w:r w:rsidR="00AD5372" w:rsidRPr="007278F2">
        <w:rPr>
          <w:rFonts w:ascii="Times New Roman" w:hAnsi="Times New Roman" w:cs="Times New Roman"/>
          <w:color w:val="262626"/>
          <w:sz w:val="24"/>
          <w:szCs w:val="24"/>
          <w:shd w:val="clear" w:color="auto" w:fill="FFFFFF"/>
        </w:rPr>
        <w:t xml:space="preserve"> offer </w:t>
      </w:r>
      <w:r w:rsidR="00AD497B" w:rsidRPr="007278F2">
        <w:rPr>
          <w:rFonts w:ascii="Times New Roman" w:hAnsi="Times New Roman" w:cs="Times New Roman"/>
          <w:color w:val="262626"/>
          <w:sz w:val="24"/>
          <w:szCs w:val="24"/>
          <w:shd w:val="clear" w:color="auto" w:fill="FFFFFF"/>
        </w:rPr>
        <w:t>relates.</w:t>
      </w:r>
      <w:r w:rsidR="00AD5372" w:rsidRPr="007278F2">
        <w:rPr>
          <w:rStyle w:val="FootnoteReference"/>
          <w:rFonts w:ascii="Times New Roman" w:hAnsi="Times New Roman" w:cs="Times New Roman"/>
          <w:color w:val="262626"/>
          <w:sz w:val="24"/>
          <w:szCs w:val="24"/>
          <w:shd w:val="clear" w:color="auto" w:fill="FFFFFF"/>
        </w:rPr>
        <w:footnoteReference w:id="7"/>
      </w:r>
      <w:r w:rsidR="00AD5372" w:rsidRPr="007278F2">
        <w:rPr>
          <w:rFonts w:ascii="Times New Roman" w:hAnsi="Times New Roman" w:cs="Times New Roman"/>
          <w:color w:val="262626"/>
          <w:sz w:val="24"/>
          <w:szCs w:val="24"/>
          <w:shd w:val="clear" w:color="auto" w:fill="FFFFFF"/>
        </w:rPr>
        <w:t xml:space="preserve"> </w:t>
      </w:r>
      <w:r w:rsidR="00AD497B" w:rsidRPr="007278F2">
        <w:rPr>
          <w:rFonts w:ascii="Times New Roman" w:hAnsi="Times New Roman" w:cs="Times New Roman"/>
          <w:color w:val="262626"/>
          <w:sz w:val="24"/>
          <w:szCs w:val="24"/>
          <w:shd w:val="clear" w:color="auto" w:fill="FFFFFF"/>
        </w:rPr>
        <w:t>Further,</w:t>
      </w:r>
      <w:r w:rsidR="00AD5372" w:rsidRPr="007278F2">
        <w:rPr>
          <w:rFonts w:ascii="Times New Roman" w:hAnsi="Times New Roman" w:cs="Times New Roman"/>
          <w:color w:val="262626"/>
          <w:sz w:val="24"/>
          <w:szCs w:val="24"/>
          <w:shd w:val="clear" w:color="auto" w:fill="FFFFFF"/>
        </w:rPr>
        <w:t xml:space="preserve"> </w:t>
      </w:r>
      <w:r w:rsidR="00AD497B" w:rsidRPr="007278F2">
        <w:rPr>
          <w:rFonts w:ascii="Times New Roman" w:hAnsi="Times New Roman" w:cs="Times New Roman"/>
          <w:color w:val="262626"/>
          <w:sz w:val="24"/>
          <w:szCs w:val="24"/>
          <w:shd w:val="clear" w:color="auto" w:fill="FFFFFF"/>
        </w:rPr>
        <w:t>there</w:t>
      </w:r>
      <w:r w:rsidR="00AD5372" w:rsidRPr="007278F2">
        <w:rPr>
          <w:rFonts w:ascii="Times New Roman" w:hAnsi="Times New Roman" w:cs="Times New Roman"/>
          <w:color w:val="262626"/>
          <w:sz w:val="24"/>
          <w:szCs w:val="24"/>
          <w:shd w:val="clear" w:color="auto" w:fill="FFFFFF"/>
        </w:rPr>
        <w:t xml:space="preserve"> will be an Independent Adviser (</w:t>
      </w:r>
      <w:r w:rsidR="00AD5372" w:rsidRPr="007278F2">
        <w:rPr>
          <w:rStyle w:val="Emphasis"/>
          <w:rFonts w:ascii="Times New Roman" w:hAnsi="Times New Roman" w:cs="Times New Roman"/>
          <w:color w:val="262626"/>
          <w:sz w:val="24"/>
          <w:szCs w:val="24"/>
          <w:bdr w:val="none" w:sz="0" w:space="0" w:color="auto" w:frame="1"/>
          <w:shd w:val="clear" w:color="auto" w:fill="FFFFFF"/>
        </w:rPr>
        <w:t>investment banker or stockbroker licensed by CMA</w:t>
      </w:r>
      <w:r w:rsidR="00AD5372" w:rsidRPr="007278F2">
        <w:rPr>
          <w:rFonts w:ascii="Times New Roman" w:hAnsi="Times New Roman" w:cs="Times New Roman"/>
          <w:color w:val="262626"/>
          <w:sz w:val="24"/>
          <w:szCs w:val="24"/>
          <w:shd w:val="clear" w:color="auto" w:fill="FFFFFF"/>
        </w:rPr>
        <w:t>) appointed by the Board of Directors of the offeree to confirm the pros and cons of the offer. However, in the event of a reverse takeover, the offeror will equally need to appoint an Independent Adviser</w:t>
      </w:r>
      <w:r w:rsidR="00AD497B" w:rsidRPr="007278F2">
        <w:rPr>
          <w:rFonts w:ascii="Times New Roman" w:hAnsi="Times New Roman" w:cs="Times New Roman"/>
          <w:color w:val="262626"/>
          <w:sz w:val="24"/>
          <w:szCs w:val="24"/>
          <w:shd w:val="clear" w:color="auto" w:fill="FFFFFF"/>
        </w:rPr>
        <w:t>.</w:t>
      </w:r>
    </w:p>
    <w:p w14:paraId="1CA4CFDB" w14:textId="77777777" w:rsidR="00AD497B" w:rsidRPr="007278F2" w:rsidRDefault="00AD497B" w:rsidP="00D90054">
      <w:pPr>
        <w:spacing w:before="360" w:after="360" w:line="360" w:lineRule="atLeast"/>
        <w:rPr>
          <w:rFonts w:ascii="Times New Roman" w:hAnsi="Times New Roman" w:cs="Times New Roman"/>
          <w:color w:val="262626"/>
          <w:sz w:val="24"/>
          <w:szCs w:val="24"/>
          <w:shd w:val="clear" w:color="auto" w:fill="FFFFFF"/>
        </w:rPr>
      </w:pPr>
      <w:r w:rsidRPr="007278F2">
        <w:rPr>
          <w:rFonts w:ascii="Times New Roman" w:hAnsi="Times New Roman" w:cs="Times New Roman"/>
          <w:color w:val="262626"/>
          <w:sz w:val="24"/>
          <w:szCs w:val="24"/>
          <w:shd w:val="clear" w:color="auto" w:fill="FFFFFF"/>
        </w:rPr>
        <w:lastRenderedPageBreak/>
        <w:t>The offeror shall not enter into any arrangement or understanding to deal or in make purchases or sales of voting shares of the offeree during when such a take-over offer is reasonably in contemplation by the offeror where the agreement.</w:t>
      </w:r>
      <w:r w:rsidRPr="007278F2">
        <w:rPr>
          <w:rStyle w:val="FootnoteReference"/>
          <w:rFonts w:ascii="Times New Roman" w:hAnsi="Times New Roman" w:cs="Times New Roman"/>
          <w:color w:val="262626"/>
          <w:sz w:val="24"/>
          <w:szCs w:val="24"/>
          <w:shd w:val="clear" w:color="auto" w:fill="FFFFFF"/>
        </w:rPr>
        <w:footnoteReference w:id="8"/>
      </w:r>
    </w:p>
    <w:p w14:paraId="0D6E595F" w14:textId="0F4B79CE" w:rsidR="00AD5372" w:rsidRPr="007278F2" w:rsidRDefault="00AD497B" w:rsidP="00D90054">
      <w:pPr>
        <w:spacing w:before="360" w:after="360" w:line="360" w:lineRule="atLeast"/>
        <w:rPr>
          <w:rFonts w:ascii="Times New Roman" w:hAnsi="Times New Roman" w:cs="Times New Roman"/>
          <w:color w:val="262626"/>
          <w:sz w:val="24"/>
          <w:szCs w:val="24"/>
          <w:shd w:val="clear" w:color="auto" w:fill="FFFFFF"/>
        </w:rPr>
      </w:pPr>
      <w:r w:rsidRPr="007278F2">
        <w:rPr>
          <w:rFonts w:ascii="Times New Roman" w:hAnsi="Times New Roman" w:cs="Times New Roman"/>
          <w:sz w:val="24"/>
          <w:szCs w:val="24"/>
        </w:rPr>
        <w:t>Where a take-over offer is made for the shares of an offeree and the offeree has issued convertible securities, the offeror shall make a take-over offer to purchase the securities and shall make appropriate arrangements to ensure that the interests of holders of convertible securities are safeguarded.</w:t>
      </w:r>
      <w:r w:rsidRPr="007278F2">
        <w:rPr>
          <w:rStyle w:val="FootnoteReference"/>
          <w:rFonts w:ascii="Times New Roman" w:hAnsi="Times New Roman" w:cs="Times New Roman"/>
          <w:sz w:val="24"/>
          <w:szCs w:val="24"/>
        </w:rPr>
        <w:footnoteReference w:id="9"/>
      </w:r>
      <w:r w:rsidRPr="007278F2">
        <w:rPr>
          <w:rFonts w:ascii="Times New Roman" w:hAnsi="Times New Roman" w:cs="Times New Roman"/>
          <w:color w:val="262626"/>
          <w:sz w:val="24"/>
          <w:szCs w:val="24"/>
          <w:shd w:val="clear" w:color="auto" w:fill="FFFFFF"/>
        </w:rPr>
        <w:t xml:space="preserve"> Additionally , Regulation 31 requires that a person ( either natural or juridical </w:t>
      </w:r>
      <w:r w:rsidR="007278F2" w:rsidRPr="007278F2">
        <w:rPr>
          <w:rFonts w:ascii="Times New Roman" w:hAnsi="Times New Roman" w:cs="Times New Roman"/>
          <w:color w:val="262626"/>
          <w:sz w:val="24"/>
          <w:szCs w:val="24"/>
          <w:shd w:val="clear" w:color="auto" w:fill="FFFFFF"/>
        </w:rPr>
        <w:t>person) , in a take over scheme , compulsory acquisition , to submit such information to Authority as it may from time to time require . Further , in the event of a take-over the trading of the security of the offeree shall not be suspended for the purpose of requiring the offeror to disclose such information.</w:t>
      </w:r>
      <w:r w:rsidR="007278F2" w:rsidRPr="007278F2">
        <w:rPr>
          <w:rStyle w:val="FootnoteReference"/>
          <w:rFonts w:ascii="Times New Roman" w:hAnsi="Times New Roman" w:cs="Times New Roman"/>
          <w:color w:val="262626"/>
          <w:sz w:val="24"/>
          <w:szCs w:val="24"/>
          <w:shd w:val="clear" w:color="auto" w:fill="FFFFFF"/>
        </w:rPr>
        <w:footnoteReference w:id="10"/>
      </w:r>
    </w:p>
    <w:p w14:paraId="5D8C9AF1" w14:textId="3B671583" w:rsidR="007278F2" w:rsidRPr="007278F2" w:rsidRDefault="007278F2" w:rsidP="00D90054">
      <w:pPr>
        <w:spacing w:before="360" w:after="360" w:line="360" w:lineRule="atLeast"/>
        <w:rPr>
          <w:rFonts w:ascii="Times New Roman" w:hAnsi="Times New Roman" w:cs="Times New Roman"/>
          <w:b/>
          <w:bCs/>
          <w:color w:val="262626"/>
          <w:sz w:val="24"/>
          <w:szCs w:val="24"/>
          <w:u w:val="single"/>
          <w:shd w:val="clear" w:color="auto" w:fill="FFFFFF"/>
        </w:rPr>
      </w:pPr>
      <w:r w:rsidRPr="007278F2">
        <w:rPr>
          <w:rFonts w:ascii="Times New Roman" w:hAnsi="Times New Roman" w:cs="Times New Roman"/>
          <w:b/>
          <w:bCs/>
          <w:color w:val="262626"/>
          <w:sz w:val="24"/>
          <w:szCs w:val="24"/>
          <w:u w:val="single"/>
          <w:shd w:val="clear" w:color="auto" w:fill="FFFFFF"/>
        </w:rPr>
        <w:t xml:space="preserve">Conclusion </w:t>
      </w:r>
    </w:p>
    <w:p w14:paraId="155AA032" w14:textId="661E3A2A" w:rsidR="007278F2" w:rsidRPr="007278F2" w:rsidRDefault="007278F2" w:rsidP="007278F2">
      <w:pPr>
        <w:shd w:val="clear" w:color="auto" w:fill="FFFFFF"/>
        <w:spacing w:before="150" w:after="150" w:line="240" w:lineRule="auto"/>
        <w:jc w:val="both"/>
        <w:textAlignment w:val="baseline"/>
        <w:rPr>
          <w:rFonts w:ascii="Times New Roman" w:eastAsia="Times New Roman" w:hAnsi="Times New Roman" w:cs="Times New Roman"/>
          <w:color w:val="262626"/>
          <w:sz w:val="24"/>
          <w:szCs w:val="24"/>
          <w:lang w:eastAsia="en-GB"/>
          <w14:ligatures w14:val="none"/>
        </w:rPr>
      </w:pPr>
      <w:r w:rsidRPr="007278F2">
        <w:rPr>
          <w:rFonts w:ascii="Times New Roman" w:eastAsia="Times New Roman" w:hAnsi="Times New Roman" w:cs="Times New Roman"/>
          <w:color w:val="262626"/>
          <w:sz w:val="24"/>
          <w:szCs w:val="24"/>
          <w:lang w:eastAsia="en-GB"/>
          <w14:ligatures w14:val="none"/>
        </w:rPr>
        <w:t>The Companies Act, 2015, as per Part XXIV, provides for an Authority that will address issues pertaining to Takeover. In this case, the Authority is the Capital Markets Authority that is formed pursuant to the Capital Markets Act. The Authority will regulate takeover bids, mergers, any transaction may directly or indirectly affect ownership of control of companies and have the power to impose penalties.</w:t>
      </w:r>
    </w:p>
    <w:p w14:paraId="7CB11F46" w14:textId="77777777" w:rsidR="007278F2" w:rsidRPr="007278F2" w:rsidRDefault="007278F2" w:rsidP="00D90054">
      <w:pPr>
        <w:spacing w:before="360" w:after="360" w:line="360" w:lineRule="atLeast"/>
        <w:rPr>
          <w:rFonts w:ascii="Times New Roman" w:hAnsi="Times New Roman" w:cs="Times New Roman"/>
          <w:b/>
          <w:bCs/>
          <w:color w:val="262626"/>
          <w:sz w:val="24"/>
          <w:szCs w:val="24"/>
          <w:u w:val="single"/>
          <w:shd w:val="clear" w:color="auto" w:fill="FFFFFF"/>
        </w:rPr>
      </w:pPr>
    </w:p>
    <w:sectPr w:rsidR="007278F2" w:rsidRPr="007278F2" w:rsidSect="006E1A2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D2BE18" w14:textId="77777777" w:rsidR="00A33743" w:rsidRDefault="00A33743" w:rsidP="000F0C85">
      <w:pPr>
        <w:spacing w:after="0" w:line="240" w:lineRule="auto"/>
      </w:pPr>
      <w:r>
        <w:separator/>
      </w:r>
    </w:p>
  </w:endnote>
  <w:endnote w:type="continuationSeparator" w:id="0">
    <w:p w14:paraId="19C4553E" w14:textId="77777777" w:rsidR="00A33743" w:rsidRDefault="00A33743" w:rsidP="000F0C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863502" w14:textId="77777777" w:rsidR="00A33743" w:rsidRDefault="00A33743" w:rsidP="000F0C85">
      <w:pPr>
        <w:spacing w:after="0" w:line="240" w:lineRule="auto"/>
      </w:pPr>
      <w:r>
        <w:separator/>
      </w:r>
    </w:p>
  </w:footnote>
  <w:footnote w:type="continuationSeparator" w:id="0">
    <w:p w14:paraId="1B501460" w14:textId="77777777" w:rsidR="00A33743" w:rsidRDefault="00A33743" w:rsidP="000F0C85">
      <w:pPr>
        <w:spacing w:after="0" w:line="240" w:lineRule="auto"/>
      </w:pPr>
      <w:r>
        <w:continuationSeparator/>
      </w:r>
    </w:p>
  </w:footnote>
  <w:footnote w:id="1">
    <w:p w14:paraId="5F65835D" w14:textId="17F3D8C3" w:rsidR="000F0C85" w:rsidRPr="007278F2" w:rsidRDefault="000F0C85">
      <w:pPr>
        <w:pStyle w:val="FootnoteText"/>
        <w:rPr>
          <w:rFonts w:ascii="Times New Roman" w:hAnsi="Times New Roman" w:cs="Times New Roman"/>
          <w:lang w:val="en-US"/>
        </w:rPr>
      </w:pPr>
      <w:r w:rsidRPr="007278F2">
        <w:rPr>
          <w:rStyle w:val="FootnoteReference"/>
          <w:rFonts w:ascii="Times New Roman" w:hAnsi="Times New Roman" w:cs="Times New Roman"/>
        </w:rPr>
        <w:footnoteRef/>
      </w:r>
      <w:r w:rsidRPr="007278F2">
        <w:rPr>
          <w:rFonts w:ascii="Times New Roman" w:hAnsi="Times New Roman" w:cs="Times New Roman"/>
        </w:rPr>
        <w:t xml:space="preserve"> Takeover Regulations, </w:t>
      </w:r>
      <w:r w:rsidRPr="007278F2">
        <w:rPr>
          <w:rFonts w:ascii="Times New Roman" w:hAnsi="Times New Roman" w:cs="Times New Roman"/>
          <w:lang w:val="en-US"/>
        </w:rPr>
        <w:t>Regulation 3.</w:t>
      </w:r>
    </w:p>
  </w:footnote>
  <w:footnote w:id="2">
    <w:p w14:paraId="6645C31C" w14:textId="41837BEF" w:rsidR="001674CE" w:rsidRPr="007278F2" w:rsidRDefault="001674CE">
      <w:pPr>
        <w:pStyle w:val="FootnoteText"/>
        <w:rPr>
          <w:rFonts w:ascii="Times New Roman" w:hAnsi="Times New Roman" w:cs="Times New Roman"/>
          <w:lang w:val="en-US"/>
        </w:rPr>
      </w:pPr>
      <w:r w:rsidRPr="007278F2">
        <w:rPr>
          <w:rStyle w:val="FootnoteReference"/>
          <w:rFonts w:ascii="Times New Roman" w:hAnsi="Times New Roman" w:cs="Times New Roman"/>
        </w:rPr>
        <w:footnoteRef/>
      </w:r>
      <w:r w:rsidRPr="007278F2">
        <w:rPr>
          <w:rFonts w:ascii="Times New Roman" w:hAnsi="Times New Roman" w:cs="Times New Roman"/>
        </w:rPr>
        <w:t xml:space="preserve"> </w:t>
      </w:r>
      <w:r w:rsidRPr="007278F2">
        <w:rPr>
          <w:rFonts w:ascii="Times New Roman" w:hAnsi="Times New Roman" w:cs="Times New Roman"/>
          <w:lang w:val="en-US"/>
        </w:rPr>
        <w:t>Ibid, Regulation 4(1).</w:t>
      </w:r>
    </w:p>
  </w:footnote>
  <w:footnote w:id="3">
    <w:p w14:paraId="7DA4A8C5" w14:textId="430BBF5F" w:rsidR="00445B26" w:rsidRPr="007278F2" w:rsidRDefault="00445B26">
      <w:pPr>
        <w:pStyle w:val="FootnoteText"/>
        <w:rPr>
          <w:rFonts w:ascii="Times New Roman" w:hAnsi="Times New Roman" w:cs="Times New Roman"/>
          <w:lang w:val="en-US"/>
        </w:rPr>
      </w:pPr>
      <w:r w:rsidRPr="007278F2">
        <w:rPr>
          <w:rStyle w:val="FootnoteReference"/>
          <w:rFonts w:ascii="Times New Roman" w:hAnsi="Times New Roman" w:cs="Times New Roman"/>
        </w:rPr>
        <w:footnoteRef/>
      </w:r>
      <w:r w:rsidRPr="007278F2">
        <w:rPr>
          <w:rFonts w:ascii="Times New Roman" w:hAnsi="Times New Roman" w:cs="Times New Roman"/>
        </w:rPr>
        <w:t xml:space="preserve"> </w:t>
      </w:r>
      <w:r w:rsidRPr="007278F2">
        <w:rPr>
          <w:rFonts w:ascii="Times New Roman" w:hAnsi="Times New Roman" w:cs="Times New Roman"/>
          <w:lang w:val="en-US"/>
        </w:rPr>
        <w:t xml:space="preserve">Ibid, </w:t>
      </w:r>
      <w:r w:rsidR="002C427C" w:rsidRPr="007278F2">
        <w:rPr>
          <w:rFonts w:ascii="Times New Roman" w:hAnsi="Times New Roman" w:cs="Times New Roman"/>
          <w:lang w:val="en-US"/>
        </w:rPr>
        <w:t>Regulation</w:t>
      </w:r>
      <w:r w:rsidRPr="007278F2">
        <w:rPr>
          <w:rFonts w:ascii="Times New Roman" w:hAnsi="Times New Roman" w:cs="Times New Roman"/>
          <w:lang w:val="en-US"/>
        </w:rPr>
        <w:t xml:space="preserve"> 13(1)</w:t>
      </w:r>
      <w:r w:rsidR="002C427C" w:rsidRPr="007278F2">
        <w:rPr>
          <w:rFonts w:ascii="Times New Roman" w:hAnsi="Times New Roman" w:cs="Times New Roman"/>
          <w:lang w:val="en-US"/>
        </w:rPr>
        <w:t>.</w:t>
      </w:r>
    </w:p>
  </w:footnote>
  <w:footnote w:id="4">
    <w:p w14:paraId="0EC86CAF" w14:textId="49AFB2B8" w:rsidR="00F53445" w:rsidRPr="007278F2" w:rsidRDefault="00F53445">
      <w:pPr>
        <w:pStyle w:val="FootnoteText"/>
        <w:rPr>
          <w:rFonts w:ascii="Times New Roman" w:hAnsi="Times New Roman" w:cs="Times New Roman"/>
          <w:lang w:val="en-US"/>
        </w:rPr>
      </w:pPr>
      <w:r w:rsidRPr="007278F2">
        <w:rPr>
          <w:rStyle w:val="FootnoteReference"/>
          <w:rFonts w:ascii="Times New Roman" w:hAnsi="Times New Roman" w:cs="Times New Roman"/>
        </w:rPr>
        <w:footnoteRef/>
      </w:r>
      <w:r w:rsidRPr="007278F2">
        <w:rPr>
          <w:rFonts w:ascii="Times New Roman" w:hAnsi="Times New Roman" w:cs="Times New Roman"/>
        </w:rPr>
        <w:t xml:space="preserve"> </w:t>
      </w:r>
      <w:r w:rsidRPr="007278F2">
        <w:rPr>
          <w:rFonts w:ascii="Times New Roman" w:hAnsi="Times New Roman" w:cs="Times New Roman"/>
          <w:lang w:val="en-US"/>
        </w:rPr>
        <w:t>Ibid, Regulation 18(1).</w:t>
      </w:r>
    </w:p>
  </w:footnote>
  <w:footnote w:id="5">
    <w:p w14:paraId="3C0C6100" w14:textId="24007CB4" w:rsidR="00F53445" w:rsidRPr="007278F2" w:rsidRDefault="00F53445">
      <w:pPr>
        <w:pStyle w:val="FootnoteText"/>
        <w:rPr>
          <w:rFonts w:ascii="Times New Roman" w:hAnsi="Times New Roman" w:cs="Times New Roman"/>
          <w:lang w:val="en-US"/>
        </w:rPr>
      </w:pPr>
      <w:r w:rsidRPr="007278F2">
        <w:rPr>
          <w:rStyle w:val="FootnoteReference"/>
          <w:rFonts w:ascii="Times New Roman" w:hAnsi="Times New Roman" w:cs="Times New Roman"/>
        </w:rPr>
        <w:footnoteRef/>
      </w:r>
      <w:r w:rsidRPr="007278F2">
        <w:rPr>
          <w:rFonts w:ascii="Times New Roman" w:hAnsi="Times New Roman" w:cs="Times New Roman"/>
        </w:rPr>
        <w:t xml:space="preserve"> </w:t>
      </w:r>
      <w:r w:rsidRPr="007278F2">
        <w:rPr>
          <w:rFonts w:ascii="Times New Roman" w:hAnsi="Times New Roman" w:cs="Times New Roman"/>
          <w:lang w:val="en-US"/>
        </w:rPr>
        <w:t>Ibid, Regulation 18(2).</w:t>
      </w:r>
    </w:p>
  </w:footnote>
  <w:footnote w:id="6">
    <w:p w14:paraId="4B2D7B73" w14:textId="717992B0" w:rsidR="00F53445" w:rsidRPr="007278F2" w:rsidRDefault="00F53445">
      <w:pPr>
        <w:pStyle w:val="FootnoteText"/>
        <w:rPr>
          <w:rFonts w:ascii="Times New Roman" w:hAnsi="Times New Roman" w:cs="Times New Roman"/>
          <w:lang w:val="en-US"/>
        </w:rPr>
      </w:pPr>
      <w:r w:rsidRPr="007278F2">
        <w:rPr>
          <w:rStyle w:val="FootnoteReference"/>
          <w:rFonts w:ascii="Times New Roman" w:hAnsi="Times New Roman" w:cs="Times New Roman"/>
        </w:rPr>
        <w:footnoteRef/>
      </w:r>
      <w:r w:rsidRPr="007278F2">
        <w:rPr>
          <w:rFonts w:ascii="Times New Roman" w:hAnsi="Times New Roman" w:cs="Times New Roman"/>
        </w:rPr>
        <w:t xml:space="preserve"> </w:t>
      </w:r>
      <w:r w:rsidRPr="007278F2">
        <w:rPr>
          <w:rFonts w:ascii="Times New Roman" w:hAnsi="Times New Roman" w:cs="Times New Roman"/>
          <w:lang w:val="en-US"/>
        </w:rPr>
        <w:t>Ibid, Regulation 19.</w:t>
      </w:r>
    </w:p>
  </w:footnote>
  <w:footnote w:id="7">
    <w:p w14:paraId="357DFB23" w14:textId="62C0B900" w:rsidR="00AD5372" w:rsidRPr="007278F2" w:rsidRDefault="00AD5372">
      <w:pPr>
        <w:pStyle w:val="FootnoteText"/>
        <w:rPr>
          <w:rFonts w:ascii="Times New Roman" w:hAnsi="Times New Roman" w:cs="Times New Roman"/>
          <w:lang w:val="en-US"/>
        </w:rPr>
      </w:pPr>
      <w:r w:rsidRPr="007278F2">
        <w:rPr>
          <w:rStyle w:val="FootnoteReference"/>
          <w:rFonts w:ascii="Times New Roman" w:hAnsi="Times New Roman" w:cs="Times New Roman"/>
        </w:rPr>
        <w:footnoteRef/>
      </w:r>
      <w:r w:rsidRPr="007278F2">
        <w:rPr>
          <w:rFonts w:ascii="Times New Roman" w:hAnsi="Times New Roman" w:cs="Times New Roman"/>
        </w:rPr>
        <w:t xml:space="preserve"> </w:t>
      </w:r>
      <w:r w:rsidRPr="007278F2">
        <w:rPr>
          <w:rFonts w:ascii="Times New Roman" w:hAnsi="Times New Roman" w:cs="Times New Roman"/>
          <w:lang w:val="en-US"/>
        </w:rPr>
        <w:t>Relates to the circumstances states under regulation 20(1</w:t>
      </w:r>
      <w:r w:rsidR="00AD497B" w:rsidRPr="007278F2">
        <w:rPr>
          <w:rFonts w:ascii="Times New Roman" w:hAnsi="Times New Roman" w:cs="Times New Roman"/>
          <w:lang w:val="en-US"/>
        </w:rPr>
        <w:t>) sub regulation</w:t>
      </w:r>
      <w:r w:rsidRPr="007278F2">
        <w:rPr>
          <w:rFonts w:ascii="Times New Roman" w:hAnsi="Times New Roman" w:cs="Times New Roman"/>
          <w:lang w:val="en-US"/>
        </w:rPr>
        <w:t xml:space="preserve"> (a) to </w:t>
      </w:r>
      <w:r w:rsidR="00AD497B" w:rsidRPr="007278F2">
        <w:rPr>
          <w:rFonts w:ascii="Times New Roman" w:hAnsi="Times New Roman" w:cs="Times New Roman"/>
          <w:lang w:val="en-US"/>
        </w:rPr>
        <w:t>(d</w:t>
      </w:r>
      <w:r w:rsidRPr="007278F2">
        <w:rPr>
          <w:rFonts w:ascii="Times New Roman" w:hAnsi="Times New Roman" w:cs="Times New Roman"/>
          <w:lang w:val="en-US"/>
        </w:rPr>
        <w:t>).</w:t>
      </w:r>
    </w:p>
  </w:footnote>
  <w:footnote w:id="8">
    <w:p w14:paraId="07A9EB0B" w14:textId="7A39D20D" w:rsidR="00AD497B" w:rsidRPr="007278F2" w:rsidRDefault="00AD497B">
      <w:pPr>
        <w:pStyle w:val="FootnoteText"/>
        <w:rPr>
          <w:rFonts w:ascii="Times New Roman" w:hAnsi="Times New Roman" w:cs="Times New Roman"/>
          <w:lang w:val="en-US"/>
        </w:rPr>
      </w:pPr>
      <w:r w:rsidRPr="007278F2">
        <w:rPr>
          <w:rStyle w:val="FootnoteReference"/>
          <w:rFonts w:ascii="Times New Roman" w:hAnsi="Times New Roman" w:cs="Times New Roman"/>
        </w:rPr>
        <w:footnoteRef/>
      </w:r>
      <w:r w:rsidRPr="007278F2">
        <w:rPr>
          <w:rFonts w:ascii="Times New Roman" w:hAnsi="Times New Roman" w:cs="Times New Roman"/>
        </w:rPr>
        <w:t xml:space="preserve"> </w:t>
      </w:r>
      <w:r w:rsidRPr="007278F2">
        <w:rPr>
          <w:rFonts w:ascii="Times New Roman" w:hAnsi="Times New Roman" w:cs="Times New Roman"/>
          <w:lang w:val="en-US"/>
        </w:rPr>
        <w:t>Ibid, Regulation 23.</w:t>
      </w:r>
    </w:p>
  </w:footnote>
  <w:footnote w:id="9">
    <w:p w14:paraId="5B4F17BF" w14:textId="33B47274" w:rsidR="00AD497B" w:rsidRPr="007278F2" w:rsidRDefault="00AD497B">
      <w:pPr>
        <w:pStyle w:val="FootnoteText"/>
        <w:rPr>
          <w:rFonts w:ascii="Times New Roman" w:hAnsi="Times New Roman" w:cs="Times New Roman"/>
          <w:lang w:val="en-US"/>
        </w:rPr>
      </w:pPr>
      <w:r w:rsidRPr="007278F2">
        <w:rPr>
          <w:rStyle w:val="FootnoteReference"/>
          <w:rFonts w:ascii="Times New Roman" w:hAnsi="Times New Roman" w:cs="Times New Roman"/>
        </w:rPr>
        <w:footnoteRef/>
      </w:r>
      <w:r w:rsidRPr="007278F2">
        <w:rPr>
          <w:rFonts w:ascii="Times New Roman" w:hAnsi="Times New Roman" w:cs="Times New Roman"/>
        </w:rPr>
        <w:t xml:space="preserve"> </w:t>
      </w:r>
      <w:r w:rsidRPr="007278F2">
        <w:rPr>
          <w:rFonts w:ascii="Times New Roman" w:hAnsi="Times New Roman" w:cs="Times New Roman"/>
          <w:lang w:val="en-US"/>
        </w:rPr>
        <w:t>Ibid, Regulation 24.</w:t>
      </w:r>
    </w:p>
  </w:footnote>
  <w:footnote w:id="10">
    <w:p w14:paraId="3D4C51A4" w14:textId="351F8447" w:rsidR="007278F2" w:rsidRPr="007278F2" w:rsidRDefault="007278F2">
      <w:pPr>
        <w:pStyle w:val="FootnoteText"/>
        <w:rPr>
          <w:rFonts w:ascii="Times New Roman" w:hAnsi="Times New Roman" w:cs="Times New Roman"/>
          <w:lang w:val="en-US"/>
        </w:rPr>
      </w:pPr>
      <w:r w:rsidRPr="007278F2">
        <w:rPr>
          <w:rStyle w:val="FootnoteReference"/>
          <w:rFonts w:ascii="Times New Roman" w:hAnsi="Times New Roman" w:cs="Times New Roman"/>
        </w:rPr>
        <w:footnoteRef/>
      </w:r>
      <w:r w:rsidRPr="007278F2">
        <w:rPr>
          <w:rFonts w:ascii="Times New Roman" w:hAnsi="Times New Roman" w:cs="Times New Roman"/>
        </w:rPr>
        <w:t xml:space="preserve"> </w:t>
      </w:r>
      <w:r w:rsidRPr="007278F2">
        <w:rPr>
          <w:rFonts w:ascii="Times New Roman" w:hAnsi="Times New Roman" w:cs="Times New Roman"/>
          <w:lang w:val="en-US"/>
        </w:rPr>
        <w:t xml:space="preserve">Ibid ,  First Schedule lists all the information required to be included in the </w:t>
      </w:r>
      <w:proofErr w:type="spellStart"/>
      <w:r w:rsidRPr="007278F2">
        <w:rPr>
          <w:rFonts w:ascii="Times New Roman" w:hAnsi="Times New Roman" w:cs="Times New Roman"/>
          <w:lang w:val="en-US"/>
        </w:rPr>
        <w:t>Offerror’s</w:t>
      </w:r>
      <w:proofErr w:type="spellEnd"/>
      <w:r w:rsidRPr="007278F2">
        <w:rPr>
          <w:rFonts w:ascii="Times New Roman" w:hAnsi="Times New Roman" w:cs="Times New Roman"/>
          <w:lang w:val="en-US"/>
        </w:rPr>
        <w:t xml:space="preserve"> statement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0719A5"/>
    <w:multiLevelType w:val="multilevel"/>
    <w:tmpl w:val="0276C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4B5749"/>
    <w:multiLevelType w:val="multilevel"/>
    <w:tmpl w:val="AD562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1839621">
    <w:abstractNumId w:val="1"/>
  </w:num>
  <w:num w:numId="2" w16cid:durableId="2463075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20DC"/>
    <w:rsid w:val="000F0C85"/>
    <w:rsid w:val="001674CE"/>
    <w:rsid w:val="002C427C"/>
    <w:rsid w:val="00445B26"/>
    <w:rsid w:val="00567D15"/>
    <w:rsid w:val="006E1A27"/>
    <w:rsid w:val="007278F2"/>
    <w:rsid w:val="007960C2"/>
    <w:rsid w:val="00A33743"/>
    <w:rsid w:val="00A420DC"/>
    <w:rsid w:val="00AB73D3"/>
    <w:rsid w:val="00AD497B"/>
    <w:rsid w:val="00AD5372"/>
    <w:rsid w:val="00D90054"/>
    <w:rsid w:val="00DB01B0"/>
    <w:rsid w:val="00F5344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9CA7BE"/>
  <w15:chartTrackingRefBased/>
  <w15:docId w15:val="{2345CE04-EFCF-4986-A19F-84CCAB228D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420DC"/>
    <w:pPr>
      <w:spacing w:before="100" w:beforeAutospacing="1" w:after="100" w:afterAutospacing="1" w:line="240" w:lineRule="auto"/>
    </w:pPr>
    <w:rPr>
      <w:rFonts w:ascii="Times New Roman" w:eastAsia="Times New Roman" w:hAnsi="Times New Roman" w:cs="Times New Roman"/>
      <w:sz w:val="24"/>
      <w:szCs w:val="24"/>
      <w:lang w:eastAsia="en-GB"/>
      <w14:ligatures w14:val="none"/>
    </w:rPr>
  </w:style>
  <w:style w:type="character" w:styleId="Strong">
    <w:name w:val="Strong"/>
    <w:basedOn w:val="DefaultParagraphFont"/>
    <w:uiPriority w:val="22"/>
    <w:qFormat/>
    <w:rsid w:val="00A420DC"/>
    <w:rPr>
      <w:b/>
      <w:bCs/>
    </w:rPr>
  </w:style>
  <w:style w:type="paragraph" w:styleId="FootnoteText">
    <w:name w:val="footnote text"/>
    <w:basedOn w:val="Normal"/>
    <w:link w:val="FootnoteTextChar"/>
    <w:uiPriority w:val="99"/>
    <w:semiHidden/>
    <w:unhideWhenUsed/>
    <w:rsid w:val="000F0C85"/>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F0C85"/>
    <w:rPr>
      <w:sz w:val="20"/>
      <w:szCs w:val="20"/>
    </w:rPr>
  </w:style>
  <w:style w:type="character" w:styleId="FootnoteReference">
    <w:name w:val="footnote reference"/>
    <w:basedOn w:val="DefaultParagraphFont"/>
    <w:uiPriority w:val="99"/>
    <w:semiHidden/>
    <w:unhideWhenUsed/>
    <w:rsid w:val="000F0C85"/>
    <w:rPr>
      <w:vertAlign w:val="superscript"/>
    </w:rPr>
  </w:style>
  <w:style w:type="character" w:styleId="Emphasis">
    <w:name w:val="Emphasis"/>
    <w:basedOn w:val="DefaultParagraphFont"/>
    <w:uiPriority w:val="20"/>
    <w:qFormat/>
    <w:rsid w:val="00AD537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3503782">
      <w:bodyDiv w:val="1"/>
      <w:marLeft w:val="0"/>
      <w:marRight w:val="0"/>
      <w:marTop w:val="0"/>
      <w:marBottom w:val="0"/>
      <w:divBdr>
        <w:top w:val="none" w:sz="0" w:space="0" w:color="auto"/>
        <w:left w:val="none" w:sz="0" w:space="0" w:color="auto"/>
        <w:bottom w:val="none" w:sz="0" w:space="0" w:color="auto"/>
        <w:right w:val="none" w:sz="0" w:space="0" w:color="auto"/>
      </w:divBdr>
    </w:div>
    <w:div w:id="1499156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 /><Relationship Id="rId3" Type="http://schemas.openxmlformats.org/officeDocument/2006/relationships/settings" Target="settings.xml" /><Relationship Id="rId7" Type="http://schemas.openxmlformats.org/officeDocument/2006/relationships/fontTable" Target="fontTable.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837</Words>
  <Characters>4774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Kipkoech Caleb</dc:creator>
  <cp:keywords/>
  <dc:description/>
  <cp:lastModifiedBy>Caleb Kipkoech</cp:lastModifiedBy>
  <cp:revision>2</cp:revision>
  <dcterms:created xsi:type="dcterms:W3CDTF">2023-05-29T13:07:00Z</dcterms:created>
  <dcterms:modified xsi:type="dcterms:W3CDTF">2023-05-29T13:07:00Z</dcterms:modified>
</cp:coreProperties>
</file>