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651" w:rsidRPr="00EE1C78" w:rsidRDefault="00EE1C78"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TAKEOVERS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Definitions</w:t>
      </w:r>
    </w:p>
    <w:p w:rsidR="00EE1C78"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w:t>
      </w:r>
      <w:r w:rsidR="00EE1C78" w:rsidRPr="00EE1C78">
        <w:rPr>
          <w:rFonts w:ascii="Times New Roman" w:hAnsi="Times New Roman" w:cs="Times New Roman"/>
          <w:sz w:val="24"/>
          <w:szCs w:val="24"/>
        </w:rPr>
        <w:t xml:space="preserve"> is </w:t>
      </w:r>
      <w:r w:rsidRPr="00EE1C78">
        <w:rPr>
          <w:rFonts w:ascii="Times New Roman" w:hAnsi="Times New Roman" w:cs="Times New Roman"/>
          <w:sz w:val="24"/>
          <w:szCs w:val="24"/>
        </w:rPr>
        <w:t>defined by the company’s Act</w:t>
      </w:r>
      <w:r w:rsidRPr="00EE1C78">
        <w:rPr>
          <w:rStyle w:val="FootnoteReference"/>
          <w:rFonts w:ascii="Times New Roman" w:hAnsi="Times New Roman" w:cs="Times New Roman"/>
          <w:sz w:val="24"/>
          <w:szCs w:val="24"/>
        </w:rPr>
        <w:footnoteReference w:id="2"/>
      </w:r>
      <w:r w:rsidRPr="00EE1C78">
        <w:rPr>
          <w:rFonts w:ascii="Times New Roman" w:hAnsi="Times New Roman" w:cs="Times New Roman"/>
          <w:sz w:val="24"/>
          <w:szCs w:val="24"/>
        </w:rPr>
        <w:t xml:space="preserve"> </w:t>
      </w:r>
      <w:r w:rsidR="00EE1C78" w:rsidRPr="00EE1C78">
        <w:rPr>
          <w:rFonts w:ascii="Times New Roman" w:hAnsi="Times New Roman" w:cs="Times New Roman"/>
          <w:sz w:val="24"/>
          <w:szCs w:val="24"/>
        </w:rPr>
        <w:t>as an offer to acquire</w:t>
      </w:r>
      <w:r w:rsidRPr="00EE1C78">
        <w:rPr>
          <w:rFonts w:ascii="Times New Roman" w:hAnsi="Times New Roman" w:cs="Times New Roman"/>
          <w:sz w:val="24"/>
          <w:szCs w:val="24"/>
        </w:rPr>
        <w:t xml:space="preserve"> shares in a company.</w:t>
      </w:r>
      <w:r w:rsidR="00EE1C78" w:rsidRPr="00EE1C78">
        <w:rPr>
          <w:rFonts w:ascii="Times New Roman" w:hAnsi="Times New Roman" w:cs="Times New Roman"/>
          <w:sz w:val="24"/>
          <w:szCs w:val="24"/>
        </w:rPr>
        <w:t xml:space="preserve"> </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According to the </w:t>
      </w:r>
      <w:r w:rsidRPr="00EE1C78">
        <w:rPr>
          <w:rFonts w:ascii="Times New Roman" w:hAnsi="Times New Roman" w:cs="Times New Roman"/>
          <w:i/>
          <w:sz w:val="24"/>
          <w:szCs w:val="24"/>
        </w:rPr>
        <w:t>black’s law dictionary</w:t>
      </w:r>
      <w:r w:rsidRPr="00EE1C78">
        <w:rPr>
          <w:rFonts w:ascii="Times New Roman" w:hAnsi="Times New Roman" w:cs="Times New Roman"/>
          <w:sz w:val="24"/>
          <w:szCs w:val="24"/>
        </w:rPr>
        <w:t xml:space="preserve">, a </w:t>
      </w:r>
      <w:r w:rsidRPr="00EE1C78">
        <w:rPr>
          <w:rFonts w:ascii="Times New Roman" w:hAnsi="Times New Roman" w:cs="Times New Roman"/>
          <w:b/>
          <w:sz w:val="24"/>
          <w:szCs w:val="24"/>
        </w:rPr>
        <w:t>take over</w:t>
      </w:r>
      <w:r w:rsidRPr="00EE1C78">
        <w:rPr>
          <w:rFonts w:ascii="Times New Roman" w:hAnsi="Times New Roman" w:cs="Times New Roman"/>
          <w:sz w:val="24"/>
          <w:szCs w:val="24"/>
        </w:rPr>
        <w:t>takes place when a company buys another to improve profits, client access and assets. It can be friendly or hostile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Also defined under the Takeover and merges regulations 2002 as general offer to acquire all voting shares in the offer</w:t>
      </w:r>
      <w:r w:rsidR="00EE1C78" w:rsidRPr="00EE1C78">
        <w:rPr>
          <w:rFonts w:ascii="Times New Roman" w:hAnsi="Times New Roman" w:cs="Times New Roman"/>
          <w:sz w:val="24"/>
          <w:szCs w:val="24"/>
        </w:rPr>
        <w:t>ee/t</w:t>
      </w:r>
      <w:r w:rsidRPr="00EE1C78">
        <w:rPr>
          <w:rFonts w:ascii="Times New Roman" w:hAnsi="Times New Roman" w:cs="Times New Roman"/>
          <w:sz w:val="24"/>
          <w:szCs w:val="24"/>
        </w:rPr>
        <w:t>arget Company.</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Target/ Offeree Company.</w:t>
      </w:r>
      <w:r w:rsidRPr="00EE1C78">
        <w:rPr>
          <w:rFonts w:ascii="Times New Roman" w:hAnsi="Times New Roman" w:cs="Times New Roman"/>
          <w:sz w:val="24"/>
          <w:szCs w:val="24"/>
        </w:rPr>
        <w:t xml:space="preserve"> This is a company whose shares are subject to takeover offer. In relation to a takeover scheme or a takeover offer means a listed company on a securities exchange with shares to which the scheme or offer relates.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Takeover bids</w:t>
      </w:r>
      <w:r w:rsidRPr="00EE1C78">
        <w:rPr>
          <w:rFonts w:ascii="Times New Roman" w:hAnsi="Times New Roman" w:cs="Times New Roman"/>
          <w:sz w:val="24"/>
          <w:szCs w:val="24"/>
        </w:rPr>
        <w:t xml:space="preserve"> consists of an offer from an acquirer i.e. Company A to the shareholders of Company B (Target company) to acquire their shares for a consideration. The consideration may be in monetary form or securities of the offeror or both.</w:t>
      </w:r>
      <w:r w:rsidRPr="00EE1C78">
        <w:rPr>
          <w:rStyle w:val="FootnoteReference"/>
          <w:rFonts w:ascii="Times New Roman" w:hAnsi="Times New Roman" w:cs="Times New Roman"/>
          <w:sz w:val="24"/>
          <w:szCs w:val="24"/>
        </w:rPr>
        <w:footnoteReference w:id="3"/>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Acquirer/ offeror</w:t>
      </w:r>
      <w:r w:rsidRPr="00EE1C78">
        <w:rPr>
          <w:rFonts w:ascii="Times New Roman" w:hAnsi="Times New Roman" w:cs="Times New Roman"/>
          <w:sz w:val="24"/>
          <w:szCs w:val="24"/>
        </w:rPr>
        <w:t>- Person or company making a takeover offer.</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Offer period</w:t>
      </w:r>
      <w:r w:rsidRPr="00EE1C78">
        <w:rPr>
          <w:rFonts w:ascii="Times New Roman" w:hAnsi="Times New Roman" w:cs="Times New Roman"/>
          <w:sz w:val="24"/>
          <w:szCs w:val="24"/>
        </w:rPr>
        <w:t>- The period from and including the date of the offer and ending with the time the offer can no longer be accepted.</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Mandatory bid</w:t>
      </w:r>
      <w:r w:rsidRPr="00EE1C78">
        <w:rPr>
          <w:rFonts w:ascii="Times New Roman" w:hAnsi="Times New Roman" w:cs="Times New Roman"/>
          <w:sz w:val="24"/>
          <w:szCs w:val="24"/>
        </w:rPr>
        <w:t>- Permits non-controlling shareholders to exit the company at a fair price upon change of control.</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Holder of shares</w:t>
      </w:r>
      <w:r w:rsidRPr="00EE1C78">
        <w:rPr>
          <w:rFonts w:ascii="Times New Roman" w:hAnsi="Times New Roman" w:cs="Times New Roman"/>
          <w:sz w:val="24"/>
          <w:szCs w:val="24"/>
        </w:rPr>
        <w:t>- Debentureholders or person who holds securities of a company that are convertible into shares of the company.</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 xml:space="preserve">Shares- </w:t>
      </w:r>
      <w:r w:rsidRPr="00EE1C78">
        <w:rPr>
          <w:rFonts w:ascii="Times New Roman" w:hAnsi="Times New Roman" w:cs="Times New Roman"/>
          <w:sz w:val="24"/>
          <w:szCs w:val="24"/>
        </w:rPr>
        <w:t>Shares (other than relevant treasury shares) that have been allotted on the date of the offer.</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lastRenderedPageBreak/>
        <w:t>Firm timetable</w:t>
      </w:r>
      <w:r w:rsidRPr="00EE1C78">
        <w:rPr>
          <w:rFonts w:ascii="Times New Roman" w:hAnsi="Times New Roman" w:cs="Times New Roman"/>
          <w:sz w:val="24"/>
          <w:szCs w:val="24"/>
        </w:rPr>
        <w:t>- takeovers are quite disruptive to the company business therefore minimize through firm timetable. Bidder should make a bid or withdraw within relatively short period (‘</w:t>
      </w:r>
      <w:r w:rsidRPr="00EE1C78">
        <w:rPr>
          <w:rFonts w:ascii="Times New Roman" w:hAnsi="Times New Roman" w:cs="Times New Roman"/>
          <w:b/>
          <w:sz w:val="24"/>
          <w:szCs w:val="24"/>
        </w:rPr>
        <w:t>put up’ or ‘shut up’</w:t>
      </w:r>
      <w:r w:rsidRPr="00EE1C78">
        <w:rPr>
          <w:rFonts w:ascii="Times New Roman" w:hAnsi="Times New Roman" w:cs="Times New Roman"/>
          <w:sz w:val="24"/>
          <w:szCs w:val="24"/>
        </w:rPr>
        <w:t>)</w:t>
      </w:r>
    </w:p>
    <w:p w:rsidR="005D790B"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 takeover can also amount where a person acquires the shares or voting rights of a listed company which when merged with the shares the person holds entitle him to have effective control in the listed company.</w:t>
      </w:r>
      <w:r w:rsidRPr="00EE1C78">
        <w:rPr>
          <w:rStyle w:val="FootnoteReference"/>
          <w:rFonts w:ascii="Times New Roman" w:hAnsi="Times New Roman" w:cs="Times New Roman"/>
          <w:sz w:val="24"/>
          <w:szCs w:val="24"/>
        </w:rPr>
        <w:footnoteReference w:id="4"/>
      </w:r>
      <w:r w:rsidRPr="00EE1C78">
        <w:rPr>
          <w:rFonts w:ascii="Times New Roman" w:hAnsi="Times New Roman" w:cs="Times New Roman"/>
          <w:sz w:val="24"/>
          <w:szCs w:val="24"/>
        </w:rPr>
        <w:t xml:space="preserve"> </w:t>
      </w:r>
    </w:p>
    <w:p w:rsidR="005D790B" w:rsidRPr="00EE1C78" w:rsidRDefault="005D790B"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Mergers and Acquisition distinguished from Takeovers</w:t>
      </w:r>
    </w:p>
    <w:p w:rsidR="005D790B" w:rsidRPr="00EE1C78" w:rsidRDefault="005D790B"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Merger</w:t>
      </w:r>
      <w:r w:rsidRPr="00EE1C78">
        <w:rPr>
          <w:rFonts w:ascii="Times New Roman" w:hAnsi="Times New Roman" w:cs="Times New Roman"/>
          <w:sz w:val="24"/>
          <w:szCs w:val="24"/>
        </w:rPr>
        <w:t xml:space="preserve"> - two companies come together and create a new entity. Its mainly a transaction between more or less equal partners. Mergers have a fairer concept of a direct negotiation with the target firms’ management and/or the board of directors and approved by them before going to a shareholder vote. i.e Merger of CFC Bank Group and Stanbic Bank Kenya Ltd</w:t>
      </w:r>
    </w:p>
    <w:p w:rsidR="005D790B" w:rsidRPr="00EE1C78" w:rsidRDefault="005D790B" w:rsidP="00EE1C78">
      <w:pPr>
        <w:autoSpaceDE w:val="0"/>
        <w:autoSpaceDN w:val="0"/>
        <w:adjustRightInd w:val="0"/>
        <w:spacing w:after="0" w:line="360" w:lineRule="auto"/>
        <w:jc w:val="both"/>
        <w:rPr>
          <w:rFonts w:ascii="Times New Roman" w:hAnsi="Times New Roman" w:cs="Times New Roman"/>
          <w:sz w:val="24"/>
          <w:szCs w:val="24"/>
        </w:rPr>
      </w:pPr>
    </w:p>
    <w:p w:rsidR="005D790B" w:rsidRPr="00EE1C78" w:rsidRDefault="005D790B"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b/>
          <w:sz w:val="24"/>
          <w:szCs w:val="24"/>
        </w:rPr>
        <w:t>Acquisition</w:t>
      </w:r>
      <w:r w:rsidRPr="00EE1C78">
        <w:rPr>
          <w:rFonts w:ascii="Times New Roman" w:hAnsi="Times New Roman" w:cs="Times New Roman"/>
          <w:sz w:val="24"/>
          <w:szCs w:val="24"/>
        </w:rPr>
        <w:t xml:space="preserve"> - one company buys another one and manages it consistent with the acquirer’s needs. It is a transaction where a substantially bigger firm takes over a smaller firm. In acquisitions, the offer may be made directly to the target firm shareholders.</w:t>
      </w:r>
    </w:p>
    <w:p w:rsidR="008D1651" w:rsidRDefault="005D790B"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An acquisition occurs when one company takes a controlling ownership interest in another firm, a legal subsidiary of another firm, or selected assets of another firm.</w:t>
      </w:r>
      <w:r w:rsidR="002F0270" w:rsidRPr="00EE1C78">
        <w:rPr>
          <w:rFonts w:ascii="Times New Roman" w:hAnsi="Times New Roman" w:cs="Times New Roman"/>
          <w:sz w:val="24"/>
          <w:szCs w:val="24"/>
        </w:rPr>
        <w:t>i.e in Acquisition of I&amp;M Bank Ltd by City Trust Limited</w:t>
      </w:r>
    </w:p>
    <w:p w:rsidR="00EE1C78" w:rsidRDefault="00EE1C78" w:rsidP="00EE1C78">
      <w:pPr>
        <w:rPr>
          <w:rFonts w:ascii="Times New Roman" w:hAnsi="Times New Roman" w:cs="Times New Roman"/>
          <w:b/>
          <w:sz w:val="24"/>
          <w:szCs w:val="24"/>
          <w:u w:val="single"/>
        </w:rPr>
      </w:pPr>
      <w:r w:rsidRPr="004E73A3">
        <w:rPr>
          <w:rFonts w:ascii="Times New Roman" w:hAnsi="Times New Roman" w:cs="Times New Roman"/>
          <w:b/>
          <w:sz w:val="24"/>
          <w:szCs w:val="24"/>
          <w:u w:val="single"/>
        </w:rPr>
        <w:t xml:space="preserve">Reasons for mergers and acquisition </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To meet increased levels of share capital</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Expand distribution network and market share</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To benefit from best global practices</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Increase economic value of shares</w:t>
      </w:r>
    </w:p>
    <w:p w:rsidR="00EE1C78" w:rsidRPr="00EE1C78" w:rsidRDefault="00EE1C78"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Legal Framework</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Before the enactment of the new Company’s Act 2015, the regulations of takeover was found in other legislations, the main one’s being:</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Capital Markets Act (Lap 485 A) laws of Kenya</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Capital Markets (Take over and Mergers) Regulations, 2002.</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competition Act, No.12 of 2012</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Comesa Competition Rules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CMA Act</w:t>
      </w:r>
    </w:p>
    <w:p w:rsidR="008D1651" w:rsidRPr="00EE1C78" w:rsidRDefault="008D1651" w:rsidP="00EE1C78">
      <w:pPr>
        <w:pStyle w:val="ListParagraph"/>
        <w:numPr>
          <w:ilvl w:val="0"/>
          <w:numId w:val="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Establishes CMA which pre 2015 used to be the principal regulator and supervision of the securities and capital markets in Kenya.</w:t>
      </w:r>
    </w:p>
    <w:p w:rsidR="008D1651" w:rsidRPr="00EE1C78" w:rsidRDefault="008D1651" w:rsidP="00EE1C78">
      <w:pPr>
        <w:pStyle w:val="ListParagraph"/>
        <w:numPr>
          <w:ilvl w:val="0"/>
          <w:numId w:val="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Company’s Act 2015</w:t>
      </w:r>
      <w:r w:rsidRPr="00EE1C78">
        <w:rPr>
          <w:rStyle w:val="FootnoteReference"/>
          <w:rFonts w:ascii="Times New Roman" w:hAnsi="Times New Roman" w:cs="Times New Roman"/>
          <w:sz w:val="24"/>
          <w:szCs w:val="24"/>
        </w:rPr>
        <w:footnoteReference w:id="5"/>
      </w:r>
      <w:r w:rsidRPr="00EE1C78">
        <w:rPr>
          <w:rFonts w:ascii="Times New Roman" w:hAnsi="Times New Roman" w:cs="Times New Roman"/>
          <w:sz w:val="24"/>
          <w:szCs w:val="24"/>
        </w:rPr>
        <w:t xml:space="preserve"> section gives the CMA the mandate to make Takeover Rules for  the regulation of takeover bids, merger transactions and/or any other transactions that directly or indirectly affect the ownership and control of companies. It remains to be seen how these provisions will interact with existing CMA regulations on takeovers.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Capital Markets (Takeovers and Mergers) Regulations 2002</w:t>
      </w:r>
    </w:p>
    <w:p w:rsidR="008D1651" w:rsidRPr="00EE1C78" w:rsidRDefault="008D1651" w:rsidP="00EE1C78">
      <w:pPr>
        <w:pStyle w:val="ListParagraph"/>
        <w:numPr>
          <w:ilvl w:val="0"/>
          <w:numId w:val="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Sets out procedure, takeovers and mergers as well as the obligations of offeror and offeree with regard to takeover offer by way of purchasing shares. </w:t>
      </w:r>
    </w:p>
    <w:p w:rsidR="008D1651" w:rsidRPr="00EE1C78" w:rsidRDefault="008D1651" w:rsidP="00EE1C78">
      <w:pPr>
        <w:pStyle w:val="ListParagraph"/>
        <w:numPr>
          <w:ilvl w:val="0"/>
          <w:numId w:val="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Regulations prohibit making an offer to acquire shares or voting rights which will in turn make a person have exclusive control in the company who following the procedures set in the regulations.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Competition Act No.12 of 2012</w:t>
      </w:r>
    </w:p>
    <w:p w:rsidR="008D1651" w:rsidRPr="00EE1C78" w:rsidRDefault="008D1651" w:rsidP="00EE1C78">
      <w:pPr>
        <w:pStyle w:val="ListParagraph"/>
        <w:numPr>
          <w:ilvl w:val="0"/>
          <w:numId w:val="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Promotes, safeguards competition in the country by ensuring consumers are protected from unfair &amp; misleading market conduct.</w:t>
      </w:r>
    </w:p>
    <w:p w:rsidR="008D1651" w:rsidRPr="00EE1C78" w:rsidRDefault="008D1651" w:rsidP="00EE1C78">
      <w:pPr>
        <w:pStyle w:val="ListParagraph"/>
        <w:numPr>
          <w:ilvl w:val="0"/>
          <w:numId w:val="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main challenge with this Act is that there is no jurisdictional substantive measure to explain which transactions would fall under realm of mergers based on factors such as market share therefore all mergers whether small, intermediate or large are caught by the definition of a merger under the act.</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FEATURES OF A TAKEOVER</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These are provided for, under section 584(2)&amp;(3) of the company’s  Acts which states that an offer to acquire  shares in a company can be termed as a takeover offer after certain conditions have been met. These conditions are:-</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offer should be for acquiring all the shares in a company.</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Where a company has more than one class of shares, the offer should be for acquiring one or more classes of shares other than those held by the offeror at the date of the offer.</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terms of the offer must be the same in relation to all the shares which relate to the offer.</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Where the company has more than one class of shares the terms of the offer must be the same for all the different classes of shares.</w:t>
      </w:r>
    </w:p>
    <w:p w:rsidR="008D1651" w:rsidRPr="00EE1C78" w:rsidRDefault="008D1651" w:rsidP="00EE1C78">
      <w:pPr>
        <w:spacing w:line="360" w:lineRule="auto"/>
        <w:jc w:val="both"/>
        <w:rPr>
          <w:rFonts w:ascii="Times New Roman" w:hAnsi="Times New Roman" w:cs="Times New Roman"/>
          <w:b/>
          <w:sz w:val="24"/>
          <w:szCs w:val="24"/>
          <w:u w:val="single"/>
        </w:rPr>
      </w:pP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General principles in a takeover</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All holders of securities in the offeree company of the same class must be afforded equivalent treatment.</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Holders of securities in the offeree company must have sufficient time and information to enable them to reach a properly informed decision on the bid. </w:t>
      </w:r>
    </w:p>
    <w:p w:rsidR="008D1651" w:rsidRPr="00EE1C78" w:rsidRDefault="008D1651" w:rsidP="00EE1C78">
      <w:pPr>
        <w:pStyle w:val="ListParagraph"/>
        <w:numPr>
          <w:ilvl w:val="0"/>
          <w:numId w:val="19"/>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board of offeree company must give its views on the effects of implementation of the bid on;</w:t>
      </w:r>
    </w:p>
    <w:p w:rsidR="008D1651" w:rsidRPr="00EE1C78" w:rsidRDefault="008D1651" w:rsidP="00EE1C78">
      <w:pPr>
        <w:pStyle w:val="ListParagraph"/>
        <w:numPr>
          <w:ilvl w:val="0"/>
          <w:numId w:val="2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Employment</w:t>
      </w:r>
    </w:p>
    <w:p w:rsidR="008D1651" w:rsidRPr="00EE1C78" w:rsidRDefault="008D1651" w:rsidP="00EE1C78">
      <w:pPr>
        <w:pStyle w:val="ListParagraph"/>
        <w:numPr>
          <w:ilvl w:val="0"/>
          <w:numId w:val="2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Conditions of employment</w:t>
      </w:r>
    </w:p>
    <w:p w:rsidR="008D1651" w:rsidRPr="00EE1C78" w:rsidRDefault="008D1651" w:rsidP="00EE1C78">
      <w:pPr>
        <w:pStyle w:val="ListParagraph"/>
        <w:numPr>
          <w:ilvl w:val="0"/>
          <w:numId w:val="2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Location of company place of business</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 The board of the offeree company must act in the interests of the company as a whole and must not deny the holders of security the opportunity to decide on the merits of the bid.</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False market should not be created, whether in the securities of offeror, offeree or any other company concerned in the bid.</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An offer may announce a bid only if it has ensured that it can meet in full any cash consideration payable and after taking ‘all reasonable steps’ to ensure the implementation of any other type of consideration.</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offeree company should not be hindered in the conduct of its affairs by the bid for longer than is reasonable. The bid shouldn’t distract company activities therefore should be subject to limits.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 xml:space="preserve">SHARES EXCLUDED FROM TAKEOVER </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These are shares that are not included in the takeover offers. They include:</w:t>
      </w:r>
    </w:p>
    <w:p w:rsidR="008D1651" w:rsidRPr="00EE1C78" w:rsidRDefault="008D1651" w:rsidP="00EE1C78">
      <w:pPr>
        <w:pStyle w:val="ListParagraph"/>
        <w:numPr>
          <w:ilvl w:val="0"/>
          <w:numId w:val="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Those shares that the offeror acquired or unconditionally contracted to acquire during the offer period but were not acquired as a result of accepting the offer.</w:t>
      </w:r>
      <w:r w:rsidRPr="00EE1C78">
        <w:rPr>
          <w:rStyle w:val="FootnoteReference"/>
          <w:rFonts w:ascii="Times New Roman" w:hAnsi="Times New Roman" w:cs="Times New Roman"/>
          <w:sz w:val="24"/>
          <w:szCs w:val="24"/>
        </w:rPr>
        <w:footnoteReference w:id="6"/>
      </w:r>
      <w:r w:rsidRPr="00EE1C78">
        <w:rPr>
          <w:rFonts w:ascii="Times New Roman" w:hAnsi="Times New Roman" w:cs="Times New Roman"/>
          <w:sz w:val="24"/>
          <w:szCs w:val="24"/>
        </w:rPr>
        <w:t xml:space="preserve"> </w:t>
      </w:r>
    </w:p>
    <w:p w:rsidR="008D1651" w:rsidRPr="00EE1C78" w:rsidRDefault="008D1651" w:rsidP="00EE1C78">
      <w:pPr>
        <w:pStyle w:val="ListParagraph"/>
        <w:numPr>
          <w:ilvl w:val="0"/>
          <w:numId w:val="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Shares that are held by the associate of the offeror or shares that the associate has contracted to acquire at the date of the offer or subsequently even if the offer extends to those shares.</w:t>
      </w:r>
      <w:r w:rsidRPr="00EE1C78">
        <w:rPr>
          <w:rStyle w:val="FootnoteReference"/>
          <w:rFonts w:ascii="Times New Roman" w:hAnsi="Times New Roman" w:cs="Times New Roman"/>
          <w:sz w:val="24"/>
          <w:szCs w:val="24"/>
        </w:rPr>
        <w:footnoteReference w:id="7"/>
      </w:r>
      <w:r w:rsidRPr="00EE1C78">
        <w:rPr>
          <w:rFonts w:ascii="Times New Roman" w:hAnsi="Times New Roman" w:cs="Times New Roman"/>
          <w:sz w:val="24"/>
          <w:szCs w:val="24"/>
        </w:rPr>
        <w:t xml:space="preserve"> </w:t>
      </w:r>
    </w:p>
    <w:p w:rsidR="008D1651" w:rsidRPr="00EE1C78" w:rsidRDefault="008D1651" w:rsidP="00EE1C78">
      <w:pPr>
        <w:pStyle w:val="ListParagraph"/>
        <w:numPr>
          <w:ilvl w:val="0"/>
          <w:numId w:val="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If a takeover offer is made and during the period beginning with the date of the offer and ending when the offer can no longer be accepted, the offeror does not do so by virtue of acceptance of the offer, those shares are treated as excluded from those for which the offer relates.</w:t>
      </w:r>
      <w:r w:rsidRPr="00EE1C78">
        <w:rPr>
          <w:rStyle w:val="FootnoteReference"/>
          <w:rFonts w:ascii="Times New Roman" w:hAnsi="Times New Roman" w:cs="Times New Roman"/>
          <w:sz w:val="24"/>
          <w:szCs w:val="24"/>
        </w:rPr>
        <w:footnoteReference w:id="8"/>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DEBENTURES AND CONVERTIBLE SECURITIES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Section 590(1)  provides that debentures issued by a company that has voting shares or debentures carrying voting rights that are admitted to training on a regulated market, are treated as shares in the company as long as they confer voting rights. </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Debentures conferring voting rights are thus treated in the same manner as the shares being allotted.</w:t>
      </w:r>
      <w:r w:rsidRPr="00EE1C78">
        <w:rPr>
          <w:rStyle w:val="FootnoteReference"/>
          <w:rFonts w:ascii="Times New Roman" w:hAnsi="Times New Roman" w:cs="Times New Roman"/>
          <w:sz w:val="24"/>
          <w:szCs w:val="24"/>
        </w:rPr>
        <w:footnoteReference w:id="9"/>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Securities of a company are to be treated as shares only if they are convertible or if they confer entitlements to the one holding them to subscribe for such shares. However, securities will not be </w:t>
      </w:r>
      <w:r w:rsidRPr="00EE1C78">
        <w:rPr>
          <w:rFonts w:ascii="Times New Roman" w:hAnsi="Times New Roman" w:cs="Times New Roman"/>
          <w:sz w:val="24"/>
          <w:szCs w:val="24"/>
        </w:rPr>
        <w:lastRenderedPageBreak/>
        <w:t>necessarily treated as shares of the same class into which they are convertible or for which the holder is entitled to subscribe.</w:t>
      </w:r>
      <w:r w:rsidRPr="00EE1C78">
        <w:rPr>
          <w:rStyle w:val="FootnoteReference"/>
          <w:rFonts w:ascii="Times New Roman" w:hAnsi="Times New Roman" w:cs="Times New Roman"/>
          <w:sz w:val="24"/>
          <w:szCs w:val="24"/>
        </w:rPr>
        <w:footnoteReference w:id="10"/>
      </w:r>
      <w:r w:rsidRPr="00EE1C78">
        <w:rPr>
          <w:rFonts w:ascii="Times New Roman" w:hAnsi="Times New Roman" w:cs="Times New Roman"/>
          <w:sz w:val="24"/>
          <w:szCs w:val="24"/>
        </w:rPr>
        <w:t xml:space="preserve"> </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In addition, securities will not be treated as shares under the same class as other securities just because the shares into which they are convertible fall under the same class. This is subject to section 591 (2)(b).</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POWER OF CMA AS PROVIDED UNDER THE COMPANY ACT 2015</w:t>
      </w:r>
      <w:r w:rsidRPr="00EE1C78">
        <w:rPr>
          <w:rFonts w:ascii="Times New Roman" w:hAnsi="Times New Roman" w:cs="Times New Roman"/>
          <w:b/>
          <w:sz w:val="24"/>
          <w:szCs w:val="24"/>
          <w:u w:val="single"/>
        </w:rPr>
        <w:tab/>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Company’s Act 2015 has conferred rights to the Capital Markets Authority to make takeover rules which are aimed at regulating:</w:t>
      </w:r>
    </w:p>
    <w:p w:rsidR="008D1651" w:rsidRPr="00EE1C78" w:rsidRDefault="008D1651" w:rsidP="00EE1C78">
      <w:pPr>
        <w:pStyle w:val="ListParagraph"/>
        <w:numPr>
          <w:ilvl w:val="0"/>
          <w:numId w:val="7"/>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 bids</w:t>
      </w:r>
    </w:p>
    <w:p w:rsidR="008D1651" w:rsidRPr="00EE1C78" w:rsidRDefault="008D1651" w:rsidP="00EE1C78">
      <w:pPr>
        <w:pStyle w:val="ListParagraph"/>
        <w:numPr>
          <w:ilvl w:val="0"/>
          <w:numId w:val="7"/>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Merger transactions</w:t>
      </w:r>
    </w:p>
    <w:p w:rsidR="008D1651" w:rsidRPr="00EE1C78" w:rsidRDefault="008D1651" w:rsidP="00EE1C78">
      <w:pPr>
        <w:pStyle w:val="ListParagraph"/>
        <w:numPr>
          <w:ilvl w:val="0"/>
          <w:numId w:val="7"/>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Transactions not involving takeovers or mergers but which directly or indirectly have an effect of the ownership of control o a company provided that the said transaction is contemplated or expected and further an announcement has been made to deny that such a transaction is intended to take place.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has the power to give rulings on the interpretation, application and effect of the takeover rules.</w:t>
      </w:r>
      <w:r w:rsidRPr="00EE1C78">
        <w:rPr>
          <w:rStyle w:val="FootnoteReference"/>
          <w:rFonts w:ascii="Times New Roman" w:hAnsi="Times New Roman" w:cs="Times New Roman"/>
          <w:sz w:val="24"/>
          <w:szCs w:val="24"/>
        </w:rPr>
        <w:footnoteReference w:id="11"/>
      </w:r>
      <w:r w:rsidRPr="00EE1C78">
        <w:rPr>
          <w:rFonts w:ascii="Times New Roman" w:hAnsi="Times New Roman" w:cs="Times New Roman"/>
          <w:sz w:val="24"/>
          <w:szCs w:val="24"/>
        </w:rPr>
        <w:t xml:space="preserve"> These rulings have a binding effect on the parties that seek them.</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power to give any direction that the Authority deems necessary in order to:</w:t>
      </w:r>
    </w:p>
    <w:p w:rsidR="008D1651" w:rsidRPr="00EE1C78" w:rsidRDefault="008D1651" w:rsidP="00EE1C78">
      <w:pPr>
        <w:pStyle w:val="ListParagraph"/>
        <w:numPr>
          <w:ilvl w:val="0"/>
          <w:numId w:val="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Restrain a person from acting or continuing to act in breach of the rules.</w:t>
      </w:r>
    </w:p>
    <w:p w:rsidR="008D1651" w:rsidRPr="00EE1C78" w:rsidRDefault="008D1651" w:rsidP="00EE1C78">
      <w:pPr>
        <w:pStyle w:val="ListParagraph"/>
        <w:numPr>
          <w:ilvl w:val="0"/>
          <w:numId w:val="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Restrain a person from engaging in a matter that is pending determination on whether that matter or conduct is a breach of the rules.</w:t>
      </w:r>
    </w:p>
    <w:p w:rsidR="008D1651" w:rsidRPr="00EE1C78" w:rsidRDefault="008D1651" w:rsidP="00EE1C78">
      <w:pPr>
        <w:pStyle w:val="ListParagraph"/>
        <w:numPr>
          <w:ilvl w:val="0"/>
          <w:numId w:val="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Secure compliance with the rules.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had the right to require production of documents and information specified or described in the notices and in the form and manner specified, failure to which a person commits an offence</w:t>
      </w:r>
      <w:r w:rsidRPr="00EE1C78">
        <w:rPr>
          <w:rStyle w:val="FootnoteReference"/>
          <w:rFonts w:ascii="Times New Roman" w:hAnsi="Times New Roman" w:cs="Times New Roman"/>
          <w:sz w:val="24"/>
          <w:szCs w:val="24"/>
        </w:rPr>
        <w:footnoteReference w:id="12"/>
      </w:r>
      <w:r w:rsidRPr="00EE1C78">
        <w:rPr>
          <w:rFonts w:ascii="Times New Roman" w:hAnsi="Times New Roman" w:cs="Times New Roman"/>
          <w:sz w:val="24"/>
          <w:szCs w:val="24"/>
        </w:rPr>
        <w:t xml:space="preserve"> and is liable on conviction to a fine not exceeding one million Kenya shillings.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Authority has the power to require documents to be authenticated and information to be verified in a manner it deems reasonable in connection with the performance of its functions.</w:t>
      </w:r>
      <w:r w:rsidRPr="00EE1C78">
        <w:rPr>
          <w:rStyle w:val="FootnoteReference"/>
          <w:rFonts w:ascii="Times New Roman" w:hAnsi="Times New Roman" w:cs="Times New Roman"/>
          <w:sz w:val="24"/>
          <w:szCs w:val="24"/>
        </w:rPr>
        <w:footnoteReference w:id="13"/>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CMA has the discretion of authorizing a person to exercise any of its powers that relate to production, verification and authentification of documents and information.</w:t>
      </w:r>
      <w:r w:rsidRPr="00EE1C78">
        <w:rPr>
          <w:rStyle w:val="FootnoteReference"/>
          <w:rFonts w:ascii="Times New Roman" w:hAnsi="Times New Roman" w:cs="Times New Roman"/>
          <w:sz w:val="24"/>
          <w:szCs w:val="24"/>
        </w:rPr>
        <w:footnoteReference w:id="14"/>
      </w:r>
      <w:r w:rsidRPr="00EE1C78">
        <w:rPr>
          <w:rFonts w:ascii="Times New Roman" w:hAnsi="Times New Roman" w:cs="Times New Roman"/>
          <w:sz w:val="24"/>
          <w:szCs w:val="24"/>
        </w:rPr>
        <w:t xml:space="preserve"> However, a person is not required to produce documents and information which would give rise to legal proceedings in respect of legal professional privilege.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has the power to impose sanctions with regard to breach of takeovers on any person who has either:</w:t>
      </w:r>
    </w:p>
    <w:p w:rsidR="008D1651" w:rsidRPr="00EE1C78" w:rsidRDefault="008D1651" w:rsidP="00EE1C78">
      <w:pPr>
        <w:pStyle w:val="ListParagraph"/>
        <w:numPr>
          <w:ilvl w:val="0"/>
          <w:numId w:val="9"/>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Contravened or failed to comply with the takeover rules</w:t>
      </w:r>
    </w:p>
    <w:p w:rsidR="008D1651" w:rsidRPr="00EE1C78" w:rsidRDefault="008D1651" w:rsidP="00EE1C78">
      <w:pPr>
        <w:pStyle w:val="ListParagraph"/>
        <w:numPr>
          <w:ilvl w:val="0"/>
          <w:numId w:val="9"/>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Failed to comply with the directions issued by the authority.</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It is a requirement that before the sanction is imposed, the Authority must publish a statement of policy stating the imposition of such sanctions, and, if the sanction is a financial penalty, the amount that is imposed.</w:t>
      </w:r>
      <w:r w:rsidRPr="00EE1C78">
        <w:rPr>
          <w:rStyle w:val="FootnoteReference"/>
          <w:rFonts w:ascii="Times New Roman" w:hAnsi="Times New Roman" w:cs="Times New Roman"/>
          <w:sz w:val="24"/>
          <w:szCs w:val="24"/>
        </w:rPr>
        <w:footnoteReference w:id="15"/>
      </w:r>
      <w:r w:rsidRPr="00EE1C78">
        <w:rPr>
          <w:rFonts w:ascii="Times New Roman" w:hAnsi="Times New Roman" w:cs="Times New Roman"/>
          <w:sz w:val="24"/>
          <w:szCs w:val="24"/>
        </w:rPr>
        <w:t xml:space="preserve"> There are however factors to be considered before a sanction is imposed. They include:</w:t>
      </w:r>
    </w:p>
    <w:p w:rsidR="008D1651" w:rsidRPr="00EE1C78" w:rsidRDefault="008D1651" w:rsidP="00EE1C78">
      <w:pPr>
        <w:pStyle w:val="ListParagraph"/>
        <w:numPr>
          <w:ilvl w:val="0"/>
          <w:numId w:val="1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seriousness of the contravention or failure concerned. Is the failure to comply so grievous as to amount to a sanction?</w:t>
      </w:r>
    </w:p>
    <w:p w:rsidR="008D1651" w:rsidRPr="00EE1C78" w:rsidRDefault="008D1651" w:rsidP="00EE1C78">
      <w:pPr>
        <w:pStyle w:val="ListParagraph"/>
        <w:numPr>
          <w:ilvl w:val="0"/>
          <w:numId w:val="1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Extent of the contravention or failure. Was the contravention deliberate, careless, reckless? Could it be avoided? </w:t>
      </w:r>
    </w:p>
    <w:p w:rsidR="008D1651" w:rsidRPr="00EE1C78" w:rsidRDefault="008D1651" w:rsidP="00EE1C78">
      <w:pPr>
        <w:pStyle w:val="ListParagraph"/>
        <w:numPr>
          <w:ilvl w:val="0"/>
          <w:numId w:val="1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person being sanctioned, is it a natural person or a body corporate?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NB:</w:t>
      </w:r>
      <w:r w:rsidRPr="00EE1C78">
        <w:rPr>
          <w:rFonts w:ascii="Times New Roman" w:hAnsi="Times New Roman" w:cs="Times New Roman"/>
          <w:sz w:val="24"/>
          <w:szCs w:val="24"/>
        </w:rPr>
        <w:t xml:space="preserve"> The failure or contravention which would give rise to sanctions should be in regard to a relevant policy statement published and in force at the time of contravention.</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has the power to apply to the court for a restraining order if it forms the opinion that a person has failed or is in contravention or has repeatedly contravened the takeovers rules</w:t>
      </w:r>
      <w:r w:rsidRPr="00EE1C78">
        <w:rPr>
          <w:rStyle w:val="FootnoteReference"/>
          <w:rFonts w:ascii="Times New Roman" w:hAnsi="Times New Roman" w:cs="Times New Roman"/>
          <w:sz w:val="24"/>
          <w:szCs w:val="24"/>
        </w:rPr>
        <w:footnoteReference w:id="16"/>
      </w:r>
      <w:r w:rsidRPr="00EE1C78">
        <w:rPr>
          <w:rFonts w:ascii="Times New Roman" w:hAnsi="Times New Roman" w:cs="Times New Roman"/>
          <w:sz w:val="24"/>
          <w:szCs w:val="24"/>
        </w:rPr>
        <w:t xml:space="preserve"> </w:t>
      </w:r>
      <w:r w:rsidRPr="00EE1C78">
        <w:rPr>
          <w:rFonts w:ascii="Times New Roman" w:hAnsi="Times New Roman" w:cs="Times New Roman"/>
          <w:sz w:val="24"/>
          <w:szCs w:val="24"/>
        </w:rPr>
        <w:lastRenderedPageBreak/>
        <w:t>and if the court is convinced that the respondent has acted as alleged, it may issue a restraining order against the person so that they don’t continue committing or contravening the rules.</w:t>
      </w:r>
      <w:r w:rsidRPr="00EE1C78">
        <w:rPr>
          <w:rStyle w:val="FootnoteReference"/>
          <w:rFonts w:ascii="Times New Roman" w:hAnsi="Times New Roman" w:cs="Times New Roman"/>
          <w:sz w:val="24"/>
          <w:szCs w:val="24"/>
        </w:rPr>
        <w:footnoteReference w:id="17"/>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also has power to apply for an order of compliance from the court if it is of the opinion that a person has failed to comply with the takeover rules.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Finally, the Authority is not liable for damages in connection with the performance of its functions as spelt out in the Act provided they are committed in good faith.</w:t>
      </w:r>
      <w:r w:rsidRPr="00EE1C78">
        <w:rPr>
          <w:rStyle w:val="FootnoteReference"/>
          <w:rFonts w:ascii="Times New Roman" w:hAnsi="Times New Roman" w:cs="Times New Roman"/>
          <w:sz w:val="24"/>
          <w:szCs w:val="24"/>
        </w:rPr>
        <w:footnoteReference w:id="18"/>
      </w:r>
    </w:p>
    <w:p w:rsidR="008D1651" w:rsidRPr="00EE1C78" w:rsidRDefault="008D1651" w:rsidP="00EE1C78">
      <w:pPr>
        <w:spacing w:line="360" w:lineRule="auto"/>
        <w:jc w:val="both"/>
        <w:rPr>
          <w:rFonts w:ascii="Times New Roman" w:hAnsi="Times New Roman" w:cs="Times New Roman"/>
          <w:b/>
          <w:sz w:val="24"/>
          <w:szCs w:val="24"/>
          <w:u w:val="single"/>
        </w:rPr>
      </w:pP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DUTIES OF DIRECTORS OF TARGET COMPANIES DURING TAKEOVERS.</w:t>
      </w:r>
    </w:p>
    <w:p w:rsidR="008D1651" w:rsidRPr="00EE1C78" w:rsidRDefault="008D1651" w:rsidP="00EE1C78">
      <w:pPr>
        <w:pStyle w:val="ListParagraph"/>
        <w:numPr>
          <w:ilvl w:val="0"/>
          <w:numId w:val="1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Duty to circulate all alternate offers</w:t>
      </w:r>
    </w:p>
    <w:p w:rsidR="008D1651" w:rsidRPr="00EE1C78" w:rsidRDefault="008D1651" w:rsidP="00EE1C78">
      <w:pPr>
        <w:pStyle w:val="ListParagraph"/>
        <w:numPr>
          <w:ilvl w:val="0"/>
          <w:numId w:val="1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Duty to convene a meeting of members to approve takeovers.</w:t>
      </w:r>
    </w:p>
    <w:p w:rsidR="008D1651" w:rsidRPr="00EE1C78" w:rsidRDefault="008D1651" w:rsidP="00EE1C78">
      <w:pPr>
        <w:pStyle w:val="ListParagraph"/>
        <w:numPr>
          <w:ilvl w:val="0"/>
          <w:numId w:val="1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Duty not to take any action that could defeat the offer.</w:t>
      </w:r>
    </w:p>
    <w:p w:rsidR="008D1651" w:rsidRPr="00EE1C78" w:rsidRDefault="008D1651" w:rsidP="00EE1C78">
      <w:pPr>
        <w:pStyle w:val="ListParagraph"/>
        <w:numPr>
          <w:ilvl w:val="0"/>
          <w:numId w:val="1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Company should not change its shareholding</w:t>
      </w:r>
    </w:p>
    <w:p w:rsidR="008D1651" w:rsidRPr="00EE1C78" w:rsidRDefault="008D1651" w:rsidP="00EE1C78">
      <w:pPr>
        <w:pStyle w:val="ListParagraph"/>
        <w:numPr>
          <w:ilvl w:val="0"/>
          <w:numId w:val="1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Company not dispose off its assets.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DUTIES OF OFFEROR</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Must disclose his shareholding in target company</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Must state purpose for which the offer is made</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Must make precise offers</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Make offers for legitimate purpose</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RIGHTS OF OFFEROR</w:t>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An offeror whose shareholding is more than 75% of all the voting shares of a company has the power to require  general meeting to be convened by making a request to the directors of the company.</w:t>
      </w:r>
      <w:r w:rsidRPr="00EE1C78">
        <w:rPr>
          <w:rStyle w:val="FootnoteReference"/>
          <w:rFonts w:ascii="Times New Roman" w:hAnsi="Times New Roman" w:cs="Times New Roman"/>
          <w:sz w:val="24"/>
          <w:szCs w:val="24"/>
        </w:rPr>
        <w:footnoteReference w:id="19"/>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Right to buy out minority shareholders. An offeror who holds more than 90% of the voting shares in a company may give notice to holders of less shares that he intends to acquire those shares.</w:t>
      </w:r>
      <w:r w:rsidRPr="00EE1C78">
        <w:rPr>
          <w:rStyle w:val="FootnoteReference"/>
          <w:rFonts w:ascii="Times New Roman" w:hAnsi="Times New Roman" w:cs="Times New Roman"/>
          <w:sz w:val="24"/>
          <w:szCs w:val="24"/>
        </w:rPr>
        <w:footnoteReference w:id="20"/>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Right to give notices to shareholders of the intention to acquire their shares.</w:t>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Right to receive written communication from minority holders on the intention to relinquish their shares o him</w:t>
      </w: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 xml:space="preserve">RIGHTS OF MINORITY SHAREHOLDERS </w:t>
      </w:r>
    </w:p>
    <w:p w:rsidR="008D1651" w:rsidRPr="00EE1C78" w:rsidRDefault="008D1651" w:rsidP="00EE1C78">
      <w:pPr>
        <w:pStyle w:val="ListParagraph"/>
        <w:numPr>
          <w:ilvl w:val="0"/>
          <w:numId w:val="1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Right to be bought out by the offeror. The holder of voting shares to which the offer relates and who has not accepted the offer may require the offeror to acquire those shares.</w:t>
      </w:r>
    </w:p>
    <w:p w:rsidR="008D1651" w:rsidRPr="00EE1C78" w:rsidRDefault="008D1651" w:rsidP="00EE1C78">
      <w:pPr>
        <w:pStyle w:val="ListParagraph"/>
        <w:numPr>
          <w:ilvl w:val="0"/>
          <w:numId w:val="1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For a holder of non voting shares who has not accepted an offer may request the offeror to acquire those shares at any time before end of the offer period.</w:t>
      </w:r>
    </w:p>
    <w:p w:rsidR="008D1651" w:rsidRPr="00EE1C78" w:rsidRDefault="008D1651" w:rsidP="00EE1C78">
      <w:pPr>
        <w:pStyle w:val="ListParagraph"/>
        <w:numPr>
          <w:ilvl w:val="0"/>
          <w:numId w:val="1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If the shares relate to a particular class of shares at any time before the end of the offer period the holder of any of such class of shares to which the offer relates and has not accepted the offer may require the offeror to acquire those shares.</w:t>
      </w: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Impediments to takeover</w:t>
      </w:r>
    </w:p>
    <w:p w:rsidR="008D1651" w:rsidRPr="00EE1C78" w:rsidRDefault="008D1651" w:rsidP="00EE1C78">
      <w:pPr>
        <w:pStyle w:val="ListParagraph"/>
        <w:spacing w:line="360" w:lineRule="auto"/>
        <w:ind w:left="360"/>
        <w:jc w:val="both"/>
        <w:rPr>
          <w:rFonts w:ascii="Times New Roman" w:hAnsi="Times New Roman" w:cs="Times New Roman"/>
          <w:sz w:val="24"/>
          <w:szCs w:val="24"/>
        </w:rPr>
      </w:pPr>
      <w:r w:rsidRPr="00EE1C78">
        <w:rPr>
          <w:rFonts w:ascii="Times New Roman" w:hAnsi="Times New Roman" w:cs="Times New Roman"/>
          <w:sz w:val="24"/>
          <w:szCs w:val="24"/>
        </w:rPr>
        <w:t>As provided under section 606 a company by a special resolution can opt-in if the company has voting shares admitted to trading on  regulated market and no shares conferring special rights in the company are held by;</w:t>
      </w:r>
    </w:p>
    <w:p w:rsidR="008D1651" w:rsidRPr="00EE1C78" w:rsidRDefault="008D1651" w:rsidP="00EE1C78">
      <w:pPr>
        <w:pStyle w:val="ListParagraph"/>
        <w:numPr>
          <w:ilvl w:val="1"/>
          <w:numId w:val="17"/>
        </w:numPr>
        <w:spacing w:line="360" w:lineRule="auto"/>
        <w:ind w:left="720"/>
        <w:jc w:val="both"/>
        <w:rPr>
          <w:rFonts w:ascii="Times New Roman" w:hAnsi="Times New Roman" w:cs="Times New Roman"/>
          <w:sz w:val="24"/>
          <w:szCs w:val="24"/>
        </w:rPr>
      </w:pPr>
      <w:r w:rsidRPr="00EE1C78">
        <w:rPr>
          <w:rFonts w:ascii="Times New Roman" w:hAnsi="Times New Roman" w:cs="Times New Roman"/>
          <w:sz w:val="24"/>
          <w:szCs w:val="24"/>
        </w:rPr>
        <w:t>A cabinet secretary</w:t>
      </w:r>
    </w:p>
    <w:p w:rsidR="008D1651" w:rsidRPr="00EE1C78" w:rsidRDefault="008D1651" w:rsidP="00EE1C78">
      <w:pPr>
        <w:pStyle w:val="ListParagraph"/>
        <w:numPr>
          <w:ilvl w:val="1"/>
          <w:numId w:val="17"/>
        </w:numPr>
        <w:spacing w:line="360" w:lineRule="auto"/>
        <w:ind w:left="720"/>
        <w:jc w:val="both"/>
        <w:rPr>
          <w:rFonts w:ascii="Times New Roman" w:hAnsi="Times New Roman" w:cs="Times New Roman"/>
          <w:sz w:val="24"/>
          <w:szCs w:val="24"/>
        </w:rPr>
      </w:pPr>
      <w:r w:rsidRPr="00EE1C78">
        <w:rPr>
          <w:rFonts w:ascii="Times New Roman" w:hAnsi="Times New Roman" w:cs="Times New Roman"/>
          <w:sz w:val="24"/>
          <w:szCs w:val="24"/>
        </w:rPr>
        <w:t>A nominee or person acting on behalf of a cabinet secretary</w:t>
      </w:r>
    </w:p>
    <w:p w:rsidR="008D1651" w:rsidRPr="00EE1C78" w:rsidRDefault="008D1651" w:rsidP="00EE1C78">
      <w:pPr>
        <w:pStyle w:val="ListParagraph"/>
        <w:numPr>
          <w:ilvl w:val="1"/>
          <w:numId w:val="17"/>
        </w:numPr>
        <w:spacing w:line="360" w:lineRule="auto"/>
        <w:ind w:left="720"/>
        <w:jc w:val="both"/>
        <w:rPr>
          <w:rFonts w:ascii="Times New Roman" w:hAnsi="Times New Roman" w:cs="Times New Roman"/>
          <w:sz w:val="24"/>
          <w:szCs w:val="24"/>
        </w:rPr>
      </w:pPr>
      <w:r w:rsidRPr="00EE1C78">
        <w:rPr>
          <w:rFonts w:ascii="Times New Roman" w:hAnsi="Times New Roman" w:cs="Times New Roman"/>
          <w:sz w:val="24"/>
          <w:szCs w:val="24"/>
        </w:rPr>
        <w:t>A company directly or indirectly controlled by a cabinet secretary.</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It should be noted that date is essential in opting resolutions because it determines the effect of the resolution as seen under section 607.</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company must have met some conditions before opting-in;</w:t>
      </w:r>
    </w:p>
    <w:p w:rsidR="008D1651" w:rsidRPr="00EE1C78" w:rsidRDefault="008D1651" w:rsidP="00EE1C78">
      <w:pPr>
        <w:pStyle w:val="ListParagraph"/>
        <w:numPr>
          <w:ilvl w:val="0"/>
          <w:numId w:val="1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Must have voting shares admitted to trading on a regulated </w:t>
      </w:r>
    </w:p>
    <w:p w:rsidR="008D1651" w:rsidRPr="00EE1C78" w:rsidRDefault="008D1651" w:rsidP="00EE1C78">
      <w:pPr>
        <w:pStyle w:val="ListParagraph"/>
        <w:numPr>
          <w:ilvl w:val="0"/>
          <w:numId w:val="1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No shares conferring special rights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company can revoke an opting-in resolution by an opting-in resolution under section 610 it is a requirement to notify authority within 14 days of the opting-out resolution.</w:t>
      </w:r>
    </w:p>
    <w:p w:rsidR="00292DCF" w:rsidRPr="00EE1C78" w:rsidRDefault="00292DCF"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Enforcement</w:t>
      </w:r>
    </w:p>
    <w:p w:rsidR="00292DCF" w:rsidRPr="00EE1C78" w:rsidRDefault="00292DCF"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If the authority is of the opinion that a person is contravening or about to contravene or repeatedly contravened a provision of takeover rules may apply to the court for restraining order. The court may make an order restraining to the respondent from continuing or committing further contraventions of the provisions. The court may also make a compliance order.</w:t>
      </w:r>
    </w:p>
    <w:p w:rsidR="008D1651" w:rsidRPr="00EE1C78" w:rsidRDefault="00292DCF"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It is clear that the authority can’t seek injunction if it can make the above applications .Illustrated by section 601 of the Act. Similarly under section 603 that failure to comply with takeover rules doesn’t give rise to an action of breach of statutory duty.</w:t>
      </w: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Necessity of the takeover provision in the Act</w:t>
      </w:r>
    </w:p>
    <w:p w:rsidR="008D1651" w:rsidRPr="00EE1C78" w:rsidRDefault="008D1651" w:rsidP="00EE1C78">
      <w:pPr>
        <w:pStyle w:val="ListParagraph"/>
        <w:numPr>
          <w:ilvl w:val="0"/>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provisions have enabled the task of differentiating interest between shareholders and directors</w:t>
      </w:r>
    </w:p>
    <w:p w:rsidR="008D1651" w:rsidRPr="00EE1C78" w:rsidRDefault="008D1651" w:rsidP="00EE1C78">
      <w:pPr>
        <w:pStyle w:val="ListParagraph"/>
        <w:numPr>
          <w:ilvl w:val="1"/>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shareholder are investors. Their interest is put into considerations in that they must accept or be communicated to the takeover offer. The interest of the shareholder involves exercise of their rights to use. Retention or disposal of those shares.Considering the rights offer or acquires as seen under section 589(3) and 589(6).</w:t>
      </w:r>
    </w:p>
    <w:p w:rsidR="008D1651" w:rsidRPr="00EE1C78" w:rsidRDefault="008D1651" w:rsidP="00EE1C78">
      <w:pPr>
        <w:pStyle w:val="ListParagraph"/>
        <w:numPr>
          <w:ilvl w:val="1"/>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Directors have control of the company. The directors have control ,For instance ,an offeror has substantial interest in a body corporate if the directors are accustomed to act in accordance with the offerors directions or instructions under section 589(3)(a)</w:t>
      </w:r>
    </w:p>
    <w:p w:rsidR="008D1651" w:rsidRPr="00EE1C78" w:rsidRDefault="008D1651" w:rsidP="00EE1C78">
      <w:pPr>
        <w:pStyle w:val="ListParagraph"/>
        <w:numPr>
          <w:ilvl w:val="0"/>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Ensure equality of treatment of shareholders and debenture holders.</w:t>
      </w:r>
    </w:p>
    <w:p w:rsidR="008D1651" w:rsidRPr="00EE1C78" w:rsidRDefault="008D1651" w:rsidP="00EE1C78">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As seen under provision of section 590 debenture holders are treated equally to shareholders as long as the debentures can confer voting rights. This applies to a company that has voting shares, or debentures carrying voting rights, that are admitted to trading on a regulated market.</w:t>
      </w:r>
    </w:p>
    <w:p w:rsidR="008D1651" w:rsidRPr="00EE1C78" w:rsidRDefault="008D1651" w:rsidP="00EE1C78">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 bids must be approved by resolution of members equalizing majority and minority shareholders.</w:t>
      </w:r>
    </w:p>
    <w:p w:rsidR="008D1651" w:rsidRPr="00EE1C78" w:rsidRDefault="008D1651" w:rsidP="00EE1C78">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Members are given their rights to exercise their preemption rights</w:t>
      </w:r>
    </w:p>
    <w:p w:rsidR="008D1651" w:rsidRPr="00EE1C78" w:rsidRDefault="008D1651" w:rsidP="00EE1C78">
      <w:pPr>
        <w:pStyle w:val="ListParagraph"/>
        <w:numPr>
          <w:ilvl w:val="0"/>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Quest to minimize the interruption of business of a company </w:t>
      </w:r>
    </w:p>
    <w:p w:rsidR="008F13A4" w:rsidRDefault="008D1651" w:rsidP="008F13A4">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Takeovers are carried out within a very strict and limited timeliness .If a takeover has failed a cooling off period.</w:t>
      </w:r>
    </w:p>
    <w:p w:rsidR="00E308BE" w:rsidRDefault="00E308BE" w:rsidP="00E308BE">
      <w:pPr>
        <w:pStyle w:val="ListParagraph"/>
        <w:numPr>
          <w:ilvl w:val="0"/>
          <w:numId w:val="16"/>
        </w:numPr>
      </w:pPr>
      <w:r>
        <w:t xml:space="preserve">CREATED EFFICIENCY </w:t>
      </w:r>
    </w:p>
    <w:p w:rsidR="00E308BE" w:rsidRDefault="00E308BE" w:rsidP="00E308BE">
      <w:pPr>
        <w:pStyle w:val="ListParagraph"/>
      </w:pPr>
      <w:r>
        <w:t>The Act has denoted the importance of setting a specified date to mark the end of the take-over period. It does not leave it open, and this creation of tome-lines results into efficiency since th parties involved work within a given deadline.</w:t>
      </w:r>
    </w:p>
    <w:p w:rsidR="00E308BE" w:rsidRDefault="00E308BE" w:rsidP="00E308BE">
      <w:pPr>
        <w:pStyle w:val="ListParagraph"/>
      </w:pPr>
    </w:p>
    <w:p w:rsidR="00E308BE" w:rsidRDefault="00E308BE" w:rsidP="00E308BE">
      <w:pPr>
        <w:pStyle w:val="ListParagraph"/>
        <w:numPr>
          <w:ilvl w:val="0"/>
          <w:numId w:val="16"/>
        </w:numPr>
      </w:pPr>
      <w:r>
        <w:t>PREVENTED UNFAIR DEALING</w:t>
      </w:r>
    </w:p>
    <w:p w:rsidR="00E308BE" w:rsidRDefault="00E308BE" w:rsidP="00E308BE">
      <w:pPr>
        <w:pStyle w:val="ListParagraph"/>
      </w:pPr>
      <w:r>
        <w:t>The Companies Act gives Authority to the Capital Markets Authority  to make rules that will ensure there is no unfair dealing in take-over deals. By excluding shares that are subject to a contract entered into by deed or for no consideration and those that were of consideration that is of negligible value, the Act stops the offeror from taking up shares he has not paid  for, and in so doing prevent unfair dealing</w:t>
      </w:r>
      <w:r>
        <w:rPr>
          <w:rStyle w:val="FootnoteReference"/>
        </w:rPr>
        <w:footnoteReference w:id="21"/>
      </w:r>
      <w:r>
        <w:t>.</w:t>
      </w:r>
    </w:p>
    <w:p w:rsidR="00E308BE" w:rsidRDefault="00E308BE" w:rsidP="00E308BE">
      <w:pPr>
        <w:pStyle w:val="ListParagraph"/>
      </w:pPr>
    </w:p>
    <w:p w:rsidR="00E308BE" w:rsidRDefault="00E308BE" w:rsidP="00E308BE">
      <w:pPr>
        <w:pStyle w:val="ListParagraph"/>
        <w:numPr>
          <w:ilvl w:val="0"/>
          <w:numId w:val="16"/>
        </w:numPr>
      </w:pPr>
      <w:r>
        <w:t>CREATED A LEGISLATIVE REGIME TO REGULATE TAKE-OVERS</w:t>
      </w:r>
    </w:p>
    <w:p w:rsidR="00E308BE" w:rsidRDefault="00E308BE" w:rsidP="00E308BE">
      <w:pPr>
        <w:pStyle w:val="ListParagraph"/>
      </w:pPr>
      <w:r>
        <w:t>The old Companies Act, Cap 486 did not provide regulations for mergers and acquisitions, apart from the prohibition of a company from giving financial assistance to any person wishing to acquire its shares. The New Act provides for the much needed statutory and procedural frame-work.  This is going to be very instrumental in purchase and sale of public companies in Kenya by filling the gap in the last regime.</w:t>
      </w:r>
    </w:p>
    <w:p w:rsidR="00E308BE" w:rsidRDefault="00E308BE" w:rsidP="00E308BE">
      <w:pPr>
        <w:pStyle w:val="ListParagraph"/>
      </w:pPr>
    </w:p>
    <w:p w:rsidR="00E308BE" w:rsidRPr="00E84CC9" w:rsidRDefault="00E308BE" w:rsidP="00E308BE">
      <w:pPr>
        <w:pStyle w:val="ListParagraph"/>
        <w:rPr>
          <w:b/>
          <w:u w:val="single"/>
        </w:rPr>
      </w:pPr>
      <w:r>
        <w:rPr>
          <w:b/>
          <w:u w:val="single"/>
        </w:rPr>
        <w:t>SOME SHORT-COMINGS</w:t>
      </w:r>
      <w:r w:rsidRPr="00E84CC9">
        <w:rPr>
          <w:b/>
          <w:u w:val="single"/>
        </w:rPr>
        <w:t xml:space="preserve"> OF THE TAKE-OVER PROVISIONS IN THE ACT</w:t>
      </w:r>
    </w:p>
    <w:p w:rsidR="00E308BE" w:rsidRDefault="00E308BE" w:rsidP="00E308BE">
      <w:pPr>
        <w:pStyle w:val="ListParagraph"/>
        <w:numPr>
          <w:ilvl w:val="0"/>
          <w:numId w:val="26"/>
        </w:numPr>
      </w:pPr>
      <w:r>
        <w:t>Highly complex and hard to understand</w:t>
      </w:r>
    </w:p>
    <w:p w:rsidR="00E308BE" w:rsidRDefault="00E308BE" w:rsidP="00E308BE">
      <w:pPr>
        <w:pStyle w:val="ListParagraph"/>
        <w:ind w:left="1080"/>
      </w:pPr>
      <w:r>
        <w:t>The Act has used complex terms in the take-over section, which puts the citizens that are not non-lawyers at a big disadvantage. The law should be construed in the simplest language possible.</w:t>
      </w:r>
    </w:p>
    <w:p w:rsidR="00E308BE" w:rsidRDefault="00E308BE" w:rsidP="00E308BE">
      <w:pPr>
        <w:pStyle w:val="ListParagraph"/>
        <w:ind w:left="1080"/>
      </w:pPr>
    </w:p>
    <w:p w:rsidR="00E308BE" w:rsidRDefault="00E308BE" w:rsidP="00E308BE">
      <w:pPr>
        <w:pStyle w:val="ListParagraph"/>
        <w:numPr>
          <w:ilvl w:val="0"/>
          <w:numId w:val="26"/>
        </w:numPr>
      </w:pPr>
      <w:r>
        <w:t>Power of the CMA to include the interpretation of its own rules</w:t>
      </w:r>
    </w:p>
    <w:p w:rsidR="00E308BE" w:rsidRDefault="00E308BE" w:rsidP="00E308BE">
      <w:pPr>
        <w:pStyle w:val="ListParagraph"/>
        <w:ind w:left="1080"/>
      </w:pPr>
      <w:r>
        <w:t>Section 599 gives the Authority power to impose sanctions on companies that do not comply with its rules. Interestingly, it has the power to give rulings on the interpretation of its rules, and as per Section 594, such rulings in reviews and appeals are of binding effect.  The rule of law demands that a body should not make the law, interpret the law and further apply it. There must be division of these roles to ensure independence and fairness.</w:t>
      </w:r>
    </w:p>
    <w:p w:rsidR="00E308BE" w:rsidRDefault="00E308BE" w:rsidP="00E308BE">
      <w:pPr>
        <w:pStyle w:val="ListParagraph"/>
        <w:ind w:left="1080"/>
      </w:pPr>
      <w:r>
        <w:t xml:space="preserve"> </w:t>
      </w:r>
    </w:p>
    <w:p w:rsidR="00E308BE" w:rsidRDefault="00E308BE" w:rsidP="00E308BE">
      <w:pPr>
        <w:pStyle w:val="ListParagraph"/>
        <w:numPr>
          <w:ilvl w:val="0"/>
          <w:numId w:val="26"/>
        </w:numPr>
      </w:pPr>
      <w:r>
        <w:t>Typo errors</w:t>
      </w:r>
    </w:p>
    <w:p w:rsidR="00E308BE" w:rsidRDefault="00E308BE" w:rsidP="00E308BE">
      <w:pPr>
        <w:pStyle w:val="ListParagraph"/>
        <w:ind w:left="1080"/>
      </w:pPr>
      <w:r>
        <w:lastRenderedPageBreak/>
        <w:t>It is important for the final draft of the Act to have a neat final copy. The explanatory notes for Section in Section 588 and those of Section 587 have been inter-changed and such mistakes need to be done away with.</w:t>
      </w:r>
    </w:p>
    <w:p w:rsidR="008F13A4" w:rsidRPr="00EE1C78" w:rsidRDefault="008F13A4" w:rsidP="008F13A4">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 xml:space="preserve">Institutions which have </w:t>
      </w:r>
      <w:r>
        <w:rPr>
          <w:rFonts w:ascii="Times New Roman" w:hAnsi="Times New Roman" w:cs="Times New Roman"/>
          <w:b/>
          <w:sz w:val="24"/>
          <w:szCs w:val="24"/>
          <w:u w:val="single"/>
        </w:rPr>
        <w:t>been involved in take</w:t>
      </w:r>
      <w:r w:rsidRPr="00EE1C78">
        <w:rPr>
          <w:rFonts w:ascii="Times New Roman" w:hAnsi="Times New Roman" w:cs="Times New Roman"/>
          <w:b/>
          <w:sz w:val="24"/>
          <w:szCs w:val="24"/>
          <w:u w:val="single"/>
        </w:rPr>
        <w:t>overs, mergers and acquisition</w:t>
      </w:r>
    </w:p>
    <w:p w:rsidR="008F13A4" w:rsidRDefault="008F13A4" w:rsidP="008F13A4">
      <w:pPr>
        <w:rPr>
          <w:rFonts w:ascii="Times New Roman" w:hAnsi="Times New Roman" w:cs="Times New Roman"/>
          <w:b/>
          <w:sz w:val="24"/>
          <w:szCs w:val="24"/>
          <w:u w:val="single"/>
        </w:rPr>
      </w:pPr>
      <w:r>
        <w:rPr>
          <w:rFonts w:ascii="Times New Roman" w:hAnsi="Times New Roman" w:cs="Times New Roman"/>
          <w:b/>
          <w:sz w:val="24"/>
          <w:szCs w:val="24"/>
          <w:u w:val="single"/>
        </w:rPr>
        <w:t>MERGER OF CFC BANK GROUP AND STANBIC BANK KENYA LTD</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CFC Stanbic Holdings Ltd became an 80Billion entity created by the merger.</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Stanbic Kenya, owned by South Africa’s Standard Bank acquired a 60% shareholding in the CTC Stanbic Holdings. Standard bank Group sold its Kenyan operations to NSE listed CFC Bank Limited. The merger made CFC Stanbic’s banking operations the 4</w:t>
      </w:r>
      <w:r w:rsidRPr="00DC6646">
        <w:rPr>
          <w:rFonts w:ascii="Times New Roman" w:hAnsi="Times New Roman" w:cs="Times New Roman"/>
          <w:sz w:val="24"/>
          <w:szCs w:val="24"/>
          <w:vertAlign w:val="superscript"/>
        </w:rPr>
        <w:t>th</w:t>
      </w:r>
      <w:r>
        <w:rPr>
          <w:rFonts w:ascii="Times New Roman" w:hAnsi="Times New Roman" w:cs="Times New Roman"/>
          <w:sz w:val="24"/>
          <w:szCs w:val="24"/>
        </w:rPr>
        <w:t xml:space="preserve"> largest in Kenya by assets. </w:t>
      </w:r>
    </w:p>
    <w:p w:rsidR="008F13A4" w:rsidRDefault="008F13A4" w:rsidP="008F13A4">
      <w:pPr>
        <w:rPr>
          <w:rFonts w:ascii="Times New Roman" w:hAnsi="Times New Roman" w:cs="Times New Roman"/>
          <w:b/>
          <w:sz w:val="24"/>
          <w:szCs w:val="24"/>
          <w:u w:val="single"/>
        </w:rPr>
      </w:pPr>
      <w:r w:rsidRPr="00A74B98">
        <w:rPr>
          <w:rFonts w:ascii="Times New Roman" w:hAnsi="Times New Roman" w:cs="Times New Roman"/>
          <w:b/>
          <w:sz w:val="24"/>
          <w:szCs w:val="24"/>
          <w:u w:val="single"/>
        </w:rPr>
        <w:t>I&amp;M MERGER WITH CITY TRUST</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City Trust was set to apply to apply to join the main market of Nairobi bourse following its merger with I&amp;M therefore indirect listing at NSE. Its deal with I&amp;M Bank helped meet the minimum capital threshold required for listing on the main stocks market.</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 xml:space="preserve">City Trust the holding company of I&amp;M in the transaction saw the bank’s shareholders exchange their shares for those of City Trust in what was called </w:t>
      </w:r>
      <w:r w:rsidRPr="00606C1E">
        <w:rPr>
          <w:rFonts w:ascii="Times New Roman" w:hAnsi="Times New Roman" w:cs="Times New Roman"/>
          <w:b/>
          <w:sz w:val="24"/>
          <w:szCs w:val="24"/>
        </w:rPr>
        <w:t>reverse takeover</w:t>
      </w:r>
      <w:r>
        <w:rPr>
          <w:rFonts w:ascii="Times New Roman" w:hAnsi="Times New Roman" w:cs="Times New Roman"/>
          <w:sz w:val="24"/>
          <w:szCs w:val="24"/>
        </w:rPr>
        <w:t>. Reverse takeover is where a private company’s shareholders for those of the public company making non listed company a publicly traded one. Therefore I&amp;M was saved the trouble of going through an IPO process as well as regulatory review and approval scrutiny.</w:t>
      </w:r>
    </w:p>
    <w:p w:rsidR="008F13A4" w:rsidRPr="009B7A29" w:rsidRDefault="008F13A4" w:rsidP="008F13A4">
      <w:pPr>
        <w:rPr>
          <w:rFonts w:ascii="Times New Roman" w:hAnsi="Times New Roman" w:cs="Times New Roman"/>
          <w:sz w:val="24"/>
          <w:szCs w:val="24"/>
        </w:rPr>
      </w:pPr>
      <w:r>
        <w:rPr>
          <w:rFonts w:ascii="Times New Roman" w:hAnsi="Times New Roman" w:cs="Times New Roman"/>
          <w:sz w:val="24"/>
          <w:szCs w:val="24"/>
        </w:rPr>
        <w:t>City Trust had a paid share capital of 28.6M which was below the threshold of 50Million required to list on the main investment segment of NSE. City Trust owned 7.3% of I&amp;M Bank whose dividends have been the primary source of the investment firm’s income.</w:t>
      </w:r>
    </w:p>
    <w:p w:rsidR="007A4430" w:rsidRPr="00EE1C78" w:rsidRDefault="007A4430" w:rsidP="00EE1C78">
      <w:pPr>
        <w:pStyle w:val="ListParagraph"/>
        <w:autoSpaceDE w:val="0"/>
        <w:autoSpaceDN w:val="0"/>
        <w:adjustRightInd w:val="0"/>
        <w:spacing w:after="0"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Takeover bid of Access Kenya by Dimensions Data Group Plc.</w:t>
      </w:r>
    </w:p>
    <w:p w:rsidR="007A4430" w:rsidRPr="00EE1C78" w:rsidRDefault="007A4430"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u w:val="single"/>
        </w:rPr>
        <w:t>“Why CMA stopped AccessKenya from trading</w:t>
      </w:r>
      <w:r w:rsidRPr="00EE1C78">
        <w:rPr>
          <w:rStyle w:val="FootnoteReference"/>
          <w:rFonts w:ascii="Times New Roman" w:hAnsi="Times New Roman" w:cs="Times New Roman"/>
          <w:sz w:val="24"/>
          <w:szCs w:val="24"/>
          <w:u w:val="single"/>
        </w:rPr>
        <w:footnoteReference w:id="22"/>
      </w:r>
      <w:r w:rsidRPr="00EE1C78">
        <w:rPr>
          <w:rFonts w:ascii="Times New Roman" w:hAnsi="Times New Roman" w:cs="Times New Roman"/>
          <w:sz w:val="24"/>
          <w:szCs w:val="24"/>
          <w:u w:val="single"/>
        </w:rPr>
        <w:t>”</w:t>
      </w:r>
      <w:r w:rsidRPr="00EE1C78">
        <w:rPr>
          <w:rFonts w:ascii="Times New Roman" w:hAnsi="Times New Roman" w:cs="Times New Roman"/>
          <w:sz w:val="24"/>
          <w:szCs w:val="24"/>
        </w:rPr>
        <w:t xml:space="preserve">(An article on Business Daily, </w:t>
      </w:r>
      <w:bookmarkStart w:id="0" w:name="_GoBack"/>
      <w:bookmarkEnd w:id="0"/>
      <w:r w:rsidRPr="00EE1C78">
        <w:rPr>
          <w:rFonts w:ascii="Times New Roman" w:hAnsi="Times New Roman" w:cs="Times New Roman"/>
          <w:sz w:val="24"/>
          <w:szCs w:val="24"/>
        </w:rPr>
        <w:t>online)</w:t>
      </w:r>
    </w:p>
    <w:p w:rsidR="007A4430" w:rsidRPr="00EE1C78" w:rsidRDefault="007A4430" w:rsidP="00EE1C78">
      <w:pPr>
        <w:autoSpaceDE w:val="0"/>
        <w:autoSpaceDN w:val="0"/>
        <w:adjustRightInd w:val="0"/>
        <w:spacing w:after="0" w:line="360" w:lineRule="auto"/>
        <w:jc w:val="both"/>
        <w:rPr>
          <w:rFonts w:ascii="Times New Roman" w:hAnsi="Times New Roman" w:cs="Times New Roman"/>
          <w:b/>
          <w:sz w:val="24"/>
          <w:szCs w:val="24"/>
          <w:u w:val="single"/>
        </w:rPr>
      </w:pPr>
      <w:r w:rsidRPr="00EE1C78">
        <w:rPr>
          <w:rFonts w:ascii="Times New Roman" w:hAnsi="Times New Roman" w:cs="Times New Roman"/>
          <w:sz w:val="24"/>
          <w:szCs w:val="24"/>
        </w:rPr>
        <w:t>CMA suspended AccessKenya’s shares at the bourse following a takeover bid by Dimensions Data Group Plc.</w:t>
      </w:r>
    </w:p>
    <w:p w:rsidR="007A4430" w:rsidRPr="00EE1C78" w:rsidRDefault="007A4430"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rPr>
        <w:t>On May 6, 2013, AccessKenya informed the CMA of the service of the Notice of Intention to make a takeover offer from Dimension Data Group Plc. The company’s board of directors also requested the authority to suspend the shares from trading on the basis that significant change in holding of the listed securities could possibly lead to erratic trading.</w:t>
      </w:r>
    </w:p>
    <w:p w:rsidR="008D1651" w:rsidRPr="00EE1C78" w:rsidRDefault="007A4430"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On the same day, the authority directed the NSE to suspend the company’s shares from trading until further notice. The move was guided by Regulation 32 of the Capital Markets(Takeover and mergers) Regulations, 2002 which empowers the CMA to suspend trading of shares for the purpose of  enabling the target company (AccessKenya) to disclose information on the takeover.</w:t>
      </w:r>
    </w:p>
    <w:p w:rsidR="008F13A4" w:rsidRDefault="008F13A4" w:rsidP="00EE1C78">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Others</w:t>
      </w:r>
    </w:p>
    <w:p w:rsidR="008F13A4" w:rsidRPr="00EE1C78" w:rsidRDefault="008F13A4" w:rsidP="008F13A4">
      <w:pPr>
        <w:pStyle w:val="ListParagraph"/>
        <w:numPr>
          <w:ilvl w:val="0"/>
          <w:numId w:val="22"/>
        </w:num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rPr>
        <w:t>Trufoods Limited and Kabazi Canners Limited by Premier Food Industries Limited</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Rea Vipingo by REAT Ltd</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 of Flamingo Holdings Ltd with 11 subsidiaries in Kenya by James Finlay</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Euro 2.3 Billion Acquisition of CFAO Group of companies from PinaultPrintempsRedoute Group by Toyota Tsusho Corporation</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Joint venture between Woolworths and Deacons Kenya Ltd and Deacons Kenya Ltd</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Acquisition of Serena Kampala Hotel by TPS EA</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Acquisition of BP Africa’s business in Kenya by Shell Petroleum Company Ltd</w:t>
      </w:r>
    </w:p>
    <w:p w:rsidR="008F13A4" w:rsidRPr="00EE1C78" w:rsidRDefault="008F13A4" w:rsidP="008F13A4">
      <w:pPr>
        <w:pStyle w:val="ListParagraph"/>
        <w:autoSpaceDE w:val="0"/>
        <w:autoSpaceDN w:val="0"/>
        <w:adjustRightInd w:val="0"/>
        <w:spacing w:after="0" w:line="360" w:lineRule="auto"/>
        <w:jc w:val="both"/>
        <w:rPr>
          <w:rFonts w:ascii="Times New Roman" w:hAnsi="Times New Roman" w:cs="Times New Roman"/>
          <w:b/>
          <w:sz w:val="24"/>
          <w:szCs w:val="24"/>
          <w:u w:val="single"/>
        </w:rPr>
      </w:pPr>
    </w:p>
    <w:p w:rsidR="008D1651" w:rsidRPr="00EE1C78" w:rsidRDefault="008D1651" w:rsidP="00EE1C78">
      <w:pPr>
        <w:pStyle w:val="ListParagraph"/>
        <w:spacing w:line="360" w:lineRule="auto"/>
        <w:ind w:left="0"/>
        <w:jc w:val="both"/>
        <w:rPr>
          <w:rFonts w:ascii="Times New Roman" w:hAnsi="Times New Roman" w:cs="Times New Roman"/>
          <w:b/>
          <w:sz w:val="24"/>
          <w:szCs w:val="24"/>
        </w:rPr>
      </w:pPr>
      <w:r w:rsidRPr="00EE1C78">
        <w:rPr>
          <w:rFonts w:ascii="Times New Roman" w:hAnsi="Times New Roman" w:cs="Times New Roman"/>
          <w:b/>
          <w:sz w:val="24"/>
          <w:szCs w:val="24"/>
        </w:rPr>
        <w:t>Conclusion</w:t>
      </w:r>
    </w:p>
    <w:p w:rsidR="008D1651" w:rsidRPr="00EE1C78" w:rsidRDefault="008D1651" w:rsidP="00EE1C78">
      <w:pPr>
        <w:pStyle w:val="ListParagraph"/>
        <w:spacing w:line="360" w:lineRule="auto"/>
        <w:ind w:left="0"/>
        <w:jc w:val="both"/>
        <w:rPr>
          <w:rFonts w:ascii="Times New Roman" w:hAnsi="Times New Roman" w:cs="Times New Roman"/>
          <w:sz w:val="24"/>
          <w:szCs w:val="24"/>
        </w:rPr>
      </w:pPr>
      <w:r w:rsidRPr="00EE1C78">
        <w:rPr>
          <w:rFonts w:ascii="Times New Roman" w:hAnsi="Times New Roman" w:cs="Times New Roman"/>
          <w:sz w:val="24"/>
          <w:szCs w:val="24"/>
        </w:rPr>
        <w:t xml:space="preserve">Regulation of takeover has not been effected since they are complicated </w:t>
      </w:r>
    </w:p>
    <w:p w:rsidR="008D1651" w:rsidRDefault="008D1651" w:rsidP="00EE1C78">
      <w:pPr>
        <w:pStyle w:val="ListParagraph"/>
        <w:spacing w:line="360" w:lineRule="auto"/>
        <w:jc w:val="both"/>
        <w:rPr>
          <w:rFonts w:ascii="Times New Roman" w:hAnsi="Times New Roman" w:cs="Times New Roman"/>
          <w:sz w:val="24"/>
          <w:szCs w:val="24"/>
        </w:rPr>
      </w:pPr>
    </w:p>
    <w:p w:rsidR="00EE1C78" w:rsidRPr="00EE1C78" w:rsidRDefault="00EE1C78" w:rsidP="00EE1C78">
      <w:pPr>
        <w:pStyle w:val="ListParagraph"/>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ind w:left="360"/>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tabs>
          <w:tab w:val="left" w:pos="1410"/>
        </w:tabs>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b/>
      </w:r>
    </w:p>
    <w:p w:rsidR="003A0FB7" w:rsidRPr="00EE1C78" w:rsidRDefault="003A0FB7" w:rsidP="00EE1C78">
      <w:pPr>
        <w:spacing w:line="360" w:lineRule="auto"/>
        <w:jc w:val="both"/>
        <w:rPr>
          <w:rFonts w:ascii="Times New Roman" w:hAnsi="Times New Roman" w:cs="Times New Roman"/>
          <w:sz w:val="24"/>
          <w:szCs w:val="24"/>
        </w:rPr>
      </w:pPr>
    </w:p>
    <w:sectPr w:rsidR="003A0FB7" w:rsidRPr="00EE1C78" w:rsidSect="00D63A0E">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373E" w:rsidRDefault="00D7373E" w:rsidP="008D1651">
      <w:pPr>
        <w:spacing w:after="0" w:line="240" w:lineRule="auto"/>
      </w:pPr>
      <w:r>
        <w:separator/>
      </w:r>
    </w:p>
  </w:endnote>
  <w:endnote w:type="continuationSeparator" w:id="1">
    <w:p w:rsidR="00D7373E" w:rsidRDefault="00D7373E" w:rsidP="008D165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373E" w:rsidRDefault="00D7373E" w:rsidP="008D1651">
      <w:pPr>
        <w:spacing w:after="0" w:line="240" w:lineRule="auto"/>
      </w:pPr>
      <w:r>
        <w:separator/>
      </w:r>
    </w:p>
  </w:footnote>
  <w:footnote w:type="continuationSeparator" w:id="1">
    <w:p w:rsidR="00D7373E" w:rsidRDefault="00D7373E" w:rsidP="008D1651">
      <w:pPr>
        <w:spacing w:after="0" w:line="240" w:lineRule="auto"/>
      </w:pPr>
      <w:r>
        <w:continuationSeparator/>
      </w:r>
    </w:p>
  </w:footnote>
  <w:footnote w:id="2">
    <w:p w:rsidR="008D1651" w:rsidRDefault="008D1651" w:rsidP="008D1651">
      <w:pPr>
        <w:pStyle w:val="FootnoteText"/>
      </w:pPr>
      <w:r>
        <w:rPr>
          <w:rStyle w:val="FootnoteReference"/>
        </w:rPr>
        <w:footnoteRef/>
      </w:r>
      <w:r>
        <w:t xml:space="preserve"> Section 584 (1)</w:t>
      </w:r>
    </w:p>
  </w:footnote>
  <w:footnote w:id="3">
    <w:p w:rsidR="008D1651" w:rsidRDefault="008D1651" w:rsidP="008D1651">
      <w:pPr>
        <w:pStyle w:val="FootnoteText"/>
      </w:pPr>
      <w:r>
        <w:rPr>
          <w:rStyle w:val="FootnoteReference"/>
        </w:rPr>
        <w:footnoteRef/>
      </w:r>
      <w:r>
        <w:t xml:space="preserve"> Gower and Davies. Principles of company law. 9</w:t>
      </w:r>
      <w:r w:rsidRPr="00665961">
        <w:rPr>
          <w:vertAlign w:val="superscript"/>
        </w:rPr>
        <w:t>th</w:t>
      </w:r>
      <w:r>
        <w:t xml:space="preserve"> Edition.</w:t>
      </w:r>
    </w:p>
  </w:footnote>
  <w:footnote w:id="4">
    <w:p w:rsidR="008D1651" w:rsidRDefault="008D1651" w:rsidP="008D1651">
      <w:pPr>
        <w:pStyle w:val="FootnoteText"/>
      </w:pPr>
      <w:r>
        <w:rPr>
          <w:rStyle w:val="FootnoteReference"/>
        </w:rPr>
        <w:footnoteRef/>
      </w:r>
      <w:r>
        <w:t xml:space="preserve"> Ashwini Bhandari and Sean Omondi. Kenya takeover guides. Daly &amp; Figgis. Accessed on 13/4/2016.</w:t>
      </w:r>
    </w:p>
  </w:footnote>
  <w:footnote w:id="5">
    <w:p w:rsidR="008D1651" w:rsidRDefault="008D1651" w:rsidP="008D1651">
      <w:pPr>
        <w:pStyle w:val="FootnoteText"/>
      </w:pPr>
      <w:r>
        <w:rPr>
          <w:rStyle w:val="FootnoteReference"/>
        </w:rPr>
        <w:footnoteRef/>
      </w:r>
      <w:r>
        <w:t xml:space="preserve"> Section 592(a)</w:t>
      </w:r>
    </w:p>
  </w:footnote>
  <w:footnote w:id="6">
    <w:p w:rsidR="008D1651" w:rsidRDefault="008D1651" w:rsidP="008D1651">
      <w:pPr>
        <w:pStyle w:val="FootnoteText"/>
      </w:pPr>
      <w:r>
        <w:rPr>
          <w:rStyle w:val="FootnoteReference"/>
        </w:rPr>
        <w:footnoteRef/>
      </w:r>
      <w:r>
        <w:t xml:space="preserve"> Section 587(1).</w:t>
      </w:r>
    </w:p>
  </w:footnote>
  <w:footnote w:id="7">
    <w:p w:rsidR="008D1651" w:rsidRDefault="008D1651" w:rsidP="008D1651">
      <w:pPr>
        <w:pStyle w:val="FootnoteText"/>
      </w:pPr>
      <w:r>
        <w:rPr>
          <w:rStyle w:val="FootnoteReference"/>
        </w:rPr>
        <w:footnoteRef/>
      </w:r>
      <w:r>
        <w:t xml:space="preserve"> Section 587(2).</w:t>
      </w:r>
    </w:p>
  </w:footnote>
  <w:footnote w:id="8">
    <w:p w:rsidR="008D1651" w:rsidRDefault="008D1651" w:rsidP="008D1651">
      <w:pPr>
        <w:pStyle w:val="FootnoteText"/>
      </w:pPr>
      <w:r>
        <w:rPr>
          <w:rStyle w:val="FootnoteReference"/>
        </w:rPr>
        <w:footnoteRef/>
      </w:r>
      <w:r>
        <w:t xml:space="preserve"> Section 588 4)(b).</w:t>
      </w:r>
    </w:p>
  </w:footnote>
  <w:footnote w:id="9">
    <w:p w:rsidR="008D1651" w:rsidRDefault="008D1651" w:rsidP="008D1651">
      <w:pPr>
        <w:pStyle w:val="FootnoteText"/>
      </w:pPr>
      <w:r>
        <w:rPr>
          <w:rStyle w:val="FootnoteReference"/>
        </w:rPr>
        <w:footnoteRef/>
      </w:r>
      <w:r>
        <w:t xml:space="preserve"> Section 590(3).</w:t>
      </w:r>
    </w:p>
  </w:footnote>
  <w:footnote w:id="10">
    <w:p w:rsidR="008D1651" w:rsidRDefault="008D1651" w:rsidP="008D1651">
      <w:pPr>
        <w:pStyle w:val="FootnoteText"/>
      </w:pPr>
      <w:r>
        <w:rPr>
          <w:rStyle w:val="FootnoteReference"/>
        </w:rPr>
        <w:footnoteRef/>
      </w:r>
      <w:r>
        <w:t xml:space="preserve"> Section 591(2)(a).</w:t>
      </w:r>
    </w:p>
  </w:footnote>
  <w:footnote w:id="11">
    <w:p w:rsidR="008D1651" w:rsidRDefault="008D1651" w:rsidP="008D1651">
      <w:pPr>
        <w:pStyle w:val="FootnoteText"/>
      </w:pPr>
      <w:r>
        <w:rPr>
          <w:rStyle w:val="FootnoteReference"/>
        </w:rPr>
        <w:footnoteRef/>
      </w:r>
      <w:r>
        <w:t xml:space="preserve"> Section 594(1)</w:t>
      </w:r>
    </w:p>
  </w:footnote>
  <w:footnote w:id="12">
    <w:p w:rsidR="008D1651" w:rsidRDefault="008D1651" w:rsidP="008D1651">
      <w:pPr>
        <w:pStyle w:val="FootnoteText"/>
      </w:pPr>
      <w:r>
        <w:rPr>
          <w:rStyle w:val="FootnoteReference"/>
        </w:rPr>
        <w:footnoteRef/>
      </w:r>
      <w:r>
        <w:t xml:space="preserve"> Section 596(1)</w:t>
      </w:r>
    </w:p>
  </w:footnote>
  <w:footnote w:id="13">
    <w:p w:rsidR="008D1651" w:rsidRDefault="008D1651" w:rsidP="008D1651">
      <w:pPr>
        <w:pStyle w:val="FootnoteText"/>
      </w:pPr>
      <w:r>
        <w:rPr>
          <w:rStyle w:val="FootnoteReference"/>
        </w:rPr>
        <w:footnoteRef/>
      </w:r>
      <w:r>
        <w:t xml:space="preserve"> Section 596(3)</w:t>
      </w:r>
    </w:p>
  </w:footnote>
  <w:footnote w:id="14">
    <w:p w:rsidR="008D1651" w:rsidRDefault="008D1651" w:rsidP="008D1651">
      <w:pPr>
        <w:pStyle w:val="FootnoteText"/>
      </w:pPr>
      <w:r>
        <w:rPr>
          <w:rStyle w:val="FootnoteReference"/>
        </w:rPr>
        <w:footnoteRef/>
      </w:r>
      <w:r>
        <w:t xml:space="preserve"> Section 596(5-10).</w:t>
      </w:r>
    </w:p>
  </w:footnote>
  <w:footnote w:id="15">
    <w:p w:rsidR="008D1651" w:rsidRDefault="008D1651" w:rsidP="008D1651">
      <w:pPr>
        <w:pStyle w:val="FootnoteText"/>
      </w:pPr>
      <w:r>
        <w:rPr>
          <w:rStyle w:val="FootnoteReference"/>
        </w:rPr>
        <w:footnoteRef/>
      </w:r>
      <w:r>
        <w:t xml:space="preserve"> Section 599(2)</w:t>
      </w:r>
    </w:p>
  </w:footnote>
  <w:footnote w:id="16">
    <w:p w:rsidR="008D1651" w:rsidRDefault="008D1651" w:rsidP="008D1651">
      <w:pPr>
        <w:pStyle w:val="FootnoteText"/>
      </w:pPr>
      <w:r>
        <w:rPr>
          <w:rStyle w:val="FootnoteReference"/>
        </w:rPr>
        <w:footnoteRef/>
      </w:r>
      <w:r>
        <w:t xml:space="preserve"> Section 601(1)</w:t>
      </w:r>
    </w:p>
  </w:footnote>
  <w:footnote w:id="17">
    <w:p w:rsidR="008D1651" w:rsidRDefault="008D1651" w:rsidP="008D1651">
      <w:pPr>
        <w:pStyle w:val="FootnoteText"/>
      </w:pPr>
      <w:r>
        <w:rPr>
          <w:rStyle w:val="FootnoteReference"/>
        </w:rPr>
        <w:footnoteRef/>
      </w:r>
      <w:r>
        <w:t xml:space="preserve"> Section 601(4)</w:t>
      </w:r>
    </w:p>
  </w:footnote>
  <w:footnote w:id="18">
    <w:p w:rsidR="008D1651" w:rsidRDefault="008D1651" w:rsidP="008D1651">
      <w:pPr>
        <w:pStyle w:val="FootnoteText"/>
      </w:pPr>
      <w:r>
        <w:rPr>
          <w:rStyle w:val="FootnoteReference"/>
        </w:rPr>
        <w:footnoteRef/>
      </w:r>
      <w:r>
        <w:t xml:space="preserve"> Section 602(3).</w:t>
      </w:r>
    </w:p>
  </w:footnote>
  <w:footnote w:id="19">
    <w:p w:rsidR="008D1651" w:rsidRDefault="008D1651" w:rsidP="008D1651">
      <w:pPr>
        <w:pStyle w:val="FootnoteText"/>
      </w:pPr>
      <w:r>
        <w:rPr>
          <w:rStyle w:val="FootnoteReference"/>
        </w:rPr>
        <w:footnoteRef/>
      </w:r>
      <w:r>
        <w:t xml:space="preserve"> Section 609(1).</w:t>
      </w:r>
    </w:p>
  </w:footnote>
  <w:footnote w:id="20">
    <w:p w:rsidR="008D1651" w:rsidRDefault="008D1651" w:rsidP="008D1651">
      <w:pPr>
        <w:pStyle w:val="FootnoteText"/>
      </w:pPr>
      <w:r>
        <w:rPr>
          <w:rStyle w:val="FootnoteReference"/>
        </w:rPr>
        <w:footnoteRef/>
      </w:r>
      <w:r>
        <w:t xml:space="preserve"> Section 611</w:t>
      </w:r>
    </w:p>
  </w:footnote>
  <w:footnote w:id="21">
    <w:p w:rsidR="00E308BE" w:rsidRDefault="00E308BE" w:rsidP="00E308BE">
      <w:pPr>
        <w:pStyle w:val="FootnoteText"/>
      </w:pPr>
      <w:r>
        <w:rPr>
          <w:rStyle w:val="FootnoteReference"/>
        </w:rPr>
        <w:footnoteRef/>
      </w:r>
      <w:r>
        <w:t xml:space="preserve"> Sect 587 (2)b</w:t>
      </w:r>
    </w:p>
  </w:footnote>
  <w:footnote w:id="22">
    <w:p w:rsidR="007A4430" w:rsidRDefault="007A4430" w:rsidP="007A4430">
      <w:pPr>
        <w:pStyle w:val="FootnoteText"/>
      </w:pPr>
      <w:r>
        <w:rPr>
          <w:rStyle w:val="FootnoteReference"/>
        </w:rPr>
        <w:footnoteRef/>
      </w:r>
      <w:r>
        <w:t>Business Daily.</w:t>
      </w:r>
    </w:p>
    <w:p w:rsidR="007A4430" w:rsidRDefault="007A4430" w:rsidP="007A4430">
      <w:pPr>
        <w:pStyle w:val="FootnoteText"/>
      </w:pPr>
      <w:r>
        <w:t>Accessed  on Friday 15</w:t>
      </w:r>
      <w:r w:rsidRPr="006C1F17">
        <w:rPr>
          <w:vertAlign w:val="superscript"/>
        </w:rPr>
        <w:t>th</w:t>
      </w:r>
      <w:r>
        <w:t xml:space="preserve"> April 2016 at 8:30p.m</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652D0"/>
    <w:multiLevelType w:val="hybridMultilevel"/>
    <w:tmpl w:val="1A76A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6602C5"/>
    <w:multiLevelType w:val="hybridMultilevel"/>
    <w:tmpl w:val="A17C914A"/>
    <w:lvl w:ilvl="0" w:tplc="6AB2B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F90739"/>
    <w:multiLevelType w:val="hybridMultilevel"/>
    <w:tmpl w:val="06BA5DAA"/>
    <w:lvl w:ilvl="0" w:tplc="A58C5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FB37A2"/>
    <w:multiLevelType w:val="hybridMultilevel"/>
    <w:tmpl w:val="24FC5BEC"/>
    <w:lvl w:ilvl="0" w:tplc="5ABEA8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363435"/>
    <w:multiLevelType w:val="hybridMultilevel"/>
    <w:tmpl w:val="3D82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633C20"/>
    <w:multiLevelType w:val="hybridMultilevel"/>
    <w:tmpl w:val="A41C7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367DBA"/>
    <w:multiLevelType w:val="hybridMultilevel"/>
    <w:tmpl w:val="5A9EBC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5E57EA"/>
    <w:multiLevelType w:val="hybridMultilevel"/>
    <w:tmpl w:val="C6D463A0"/>
    <w:lvl w:ilvl="0" w:tplc="B64407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2B10899"/>
    <w:multiLevelType w:val="hybridMultilevel"/>
    <w:tmpl w:val="A22CE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B81629"/>
    <w:multiLevelType w:val="hybridMultilevel"/>
    <w:tmpl w:val="930E1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9C2B17"/>
    <w:multiLevelType w:val="hybridMultilevel"/>
    <w:tmpl w:val="B590E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A82A7B"/>
    <w:multiLevelType w:val="hybridMultilevel"/>
    <w:tmpl w:val="0C267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EB70EA"/>
    <w:multiLevelType w:val="hybridMultilevel"/>
    <w:tmpl w:val="A386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EB4D44"/>
    <w:multiLevelType w:val="hybridMultilevel"/>
    <w:tmpl w:val="4942F8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F731AA"/>
    <w:multiLevelType w:val="hybridMultilevel"/>
    <w:tmpl w:val="643CE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645923"/>
    <w:multiLevelType w:val="hybridMultilevel"/>
    <w:tmpl w:val="D6EEE2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A01694"/>
    <w:multiLevelType w:val="hybridMultilevel"/>
    <w:tmpl w:val="CBC039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960AE6"/>
    <w:multiLevelType w:val="hybridMultilevel"/>
    <w:tmpl w:val="BB2C21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7724D9"/>
    <w:multiLevelType w:val="hybridMultilevel"/>
    <w:tmpl w:val="3502DA1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57F0D99"/>
    <w:multiLevelType w:val="hybridMultilevel"/>
    <w:tmpl w:val="907A08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1509AA"/>
    <w:multiLevelType w:val="hybridMultilevel"/>
    <w:tmpl w:val="31B8AD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5E7B0F"/>
    <w:multiLevelType w:val="hybridMultilevel"/>
    <w:tmpl w:val="089ED8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A4B7ED4"/>
    <w:multiLevelType w:val="hybridMultilevel"/>
    <w:tmpl w:val="5BCAC656"/>
    <w:lvl w:ilvl="0" w:tplc="59DA9A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2C4D45"/>
    <w:multiLevelType w:val="hybridMultilevel"/>
    <w:tmpl w:val="CAF6E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E030DD0"/>
    <w:multiLevelType w:val="hybridMultilevel"/>
    <w:tmpl w:val="0EA8B132"/>
    <w:lvl w:ilvl="0" w:tplc="F71A29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FA11FE9"/>
    <w:multiLevelType w:val="hybridMultilevel"/>
    <w:tmpl w:val="ADC4B6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5"/>
  </w:num>
  <w:num w:numId="3">
    <w:abstractNumId w:val="9"/>
  </w:num>
  <w:num w:numId="4">
    <w:abstractNumId w:val="4"/>
  </w:num>
  <w:num w:numId="5">
    <w:abstractNumId w:val="12"/>
  </w:num>
  <w:num w:numId="6">
    <w:abstractNumId w:val="13"/>
  </w:num>
  <w:num w:numId="7">
    <w:abstractNumId w:val="0"/>
  </w:num>
  <w:num w:numId="8">
    <w:abstractNumId w:val="11"/>
  </w:num>
  <w:num w:numId="9">
    <w:abstractNumId w:val="20"/>
  </w:num>
  <w:num w:numId="10">
    <w:abstractNumId w:val="5"/>
  </w:num>
  <w:num w:numId="11">
    <w:abstractNumId w:val="19"/>
  </w:num>
  <w:num w:numId="12">
    <w:abstractNumId w:val="24"/>
  </w:num>
  <w:num w:numId="13">
    <w:abstractNumId w:val="14"/>
  </w:num>
  <w:num w:numId="14">
    <w:abstractNumId w:val="21"/>
  </w:num>
  <w:num w:numId="15">
    <w:abstractNumId w:val="17"/>
  </w:num>
  <w:num w:numId="16">
    <w:abstractNumId w:val="10"/>
  </w:num>
  <w:num w:numId="17">
    <w:abstractNumId w:val="18"/>
  </w:num>
  <w:num w:numId="18">
    <w:abstractNumId w:val="8"/>
  </w:num>
  <w:num w:numId="19">
    <w:abstractNumId w:val="3"/>
  </w:num>
  <w:num w:numId="20">
    <w:abstractNumId w:val="22"/>
  </w:num>
  <w:num w:numId="21">
    <w:abstractNumId w:val="7"/>
  </w:num>
  <w:num w:numId="22">
    <w:abstractNumId w:val="16"/>
  </w:num>
  <w:num w:numId="23">
    <w:abstractNumId w:val="6"/>
  </w:num>
  <w:num w:numId="24">
    <w:abstractNumId w:val="1"/>
  </w:num>
  <w:num w:numId="25">
    <w:abstractNumId w:val="23"/>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D1651"/>
    <w:rsid w:val="000861C8"/>
    <w:rsid w:val="001B6E45"/>
    <w:rsid w:val="00292DCF"/>
    <w:rsid w:val="002F0270"/>
    <w:rsid w:val="003A0FB7"/>
    <w:rsid w:val="004E13E1"/>
    <w:rsid w:val="0059439A"/>
    <w:rsid w:val="005A287A"/>
    <w:rsid w:val="005D790B"/>
    <w:rsid w:val="00604F12"/>
    <w:rsid w:val="00706A91"/>
    <w:rsid w:val="007A4430"/>
    <w:rsid w:val="008D1651"/>
    <w:rsid w:val="008F13A4"/>
    <w:rsid w:val="0098261D"/>
    <w:rsid w:val="00BF7EAC"/>
    <w:rsid w:val="00D7373E"/>
    <w:rsid w:val="00DE3BBC"/>
    <w:rsid w:val="00E308BE"/>
    <w:rsid w:val="00E943F1"/>
    <w:rsid w:val="00EE1C78"/>
    <w:rsid w:val="00F459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6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651"/>
    <w:pPr>
      <w:ind w:left="720"/>
      <w:contextualSpacing/>
    </w:pPr>
  </w:style>
  <w:style w:type="paragraph" w:styleId="FootnoteText">
    <w:name w:val="footnote text"/>
    <w:basedOn w:val="Normal"/>
    <w:link w:val="FootnoteTextChar"/>
    <w:uiPriority w:val="99"/>
    <w:semiHidden/>
    <w:unhideWhenUsed/>
    <w:rsid w:val="008D16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1651"/>
    <w:rPr>
      <w:sz w:val="20"/>
      <w:szCs w:val="20"/>
    </w:rPr>
  </w:style>
  <w:style w:type="character" w:styleId="FootnoteReference">
    <w:name w:val="footnote reference"/>
    <w:basedOn w:val="DefaultParagraphFont"/>
    <w:uiPriority w:val="99"/>
    <w:semiHidden/>
    <w:unhideWhenUsed/>
    <w:rsid w:val="008D1651"/>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13</Pages>
  <Words>3227</Words>
  <Characters>18396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DAN</cp:lastModifiedBy>
  <cp:revision>9</cp:revision>
  <dcterms:created xsi:type="dcterms:W3CDTF">2016-04-16T13:54:00Z</dcterms:created>
  <dcterms:modified xsi:type="dcterms:W3CDTF">2016-04-22T07:46:00Z</dcterms:modified>
</cp:coreProperties>
</file>