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C84" w:rsidRDefault="00F1180C" w:rsidP="00963AB4">
      <w:pPr>
        <w:spacing w:after="0"/>
      </w:pPr>
      <w:bookmarkStart w:id="0" w:name="_GoBack"/>
      <w:bookmarkEnd w:id="0"/>
      <w:r>
        <w:rPr>
          <w:rFonts w:ascii="Palatino Linotype" w:eastAsia="Palatino Linotype" w:hAnsi="Palatino Linotype" w:cs="Palatino Linotype"/>
          <w:b/>
          <w:sz w:val="28"/>
        </w:rPr>
        <w:t xml:space="preserve"> </w:t>
      </w:r>
    </w:p>
    <w:p w:rsidR="00D36C84" w:rsidRDefault="00F1180C">
      <w:pPr>
        <w:spacing w:after="0"/>
        <w:ind w:left="66"/>
        <w:jc w:val="center"/>
      </w:pPr>
      <w:r>
        <w:rPr>
          <w:noProof/>
        </w:rPr>
        <w:drawing>
          <wp:inline distT="0" distB="0" distL="0" distR="0">
            <wp:extent cx="871855" cy="92075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871855" cy="920750"/>
                    </a:xfrm>
                    <a:prstGeom prst="rect">
                      <a:avLst/>
                    </a:prstGeom>
                  </pic:spPr>
                </pic:pic>
              </a:graphicData>
            </a:graphic>
          </wp:inline>
        </w:drawing>
      </w:r>
      <w:r>
        <w:rPr>
          <w:rFonts w:ascii="Palatino Linotype" w:eastAsia="Palatino Linotype" w:hAnsi="Palatino Linotype" w:cs="Palatino Linotype"/>
          <w:b/>
          <w:sz w:val="28"/>
        </w:rPr>
        <w:t xml:space="preserve"> </w:t>
      </w:r>
    </w:p>
    <w:p w:rsidR="00D36C84" w:rsidRDefault="00F1180C">
      <w:pPr>
        <w:spacing w:after="0"/>
        <w:ind w:left="68"/>
        <w:jc w:val="center"/>
      </w:pPr>
      <w:r>
        <w:rPr>
          <w:rFonts w:ascii="Palatino Linotype" w:eastAsia="Palatino Linotype" w:hAnsi="Palatino Linotype" w:cs="Palatino Linotype"/>
          <w:b/>
          <w:sz w:val="28"/>
        </w:rPr>
        <w:t xml:space="preserve"> </w:t>
      </w:r>
    </w:p>
    <w:p w:rsidR="00D36C84" w:rsidRDefault="00F1180C">
      <w:pPr>
        <w:spacing w:after="0"/>
        <w:ind w:left="1829"/>
      </w:pPr>
      <w:r>
        <w:rPr>
          <w:rFonts w:ascii="Palatino Linotype" w:eastAsia="Palatino Linotype" w:hAnsi="Palatino Linotype" w:cs="Palatino Linotype"/>
          <w:b/>
          <w:sz w:val="28"/>
          <w:u w:val="single" w:color="000000"/>
        </w:rPr>
        <w:t>ATP 108: COMMERCIAL TRANSACTIONS</w:t>
      </w:r>
      <w:r>
        <w:rPr>
          <w:rFonts w:ascii="Palatino Linotype" w:eastAsia="Palatino Linotype" w:hAnsi="Palatino Linotype" w:cs="Palatino Linotype"/>
          <w:b/>
          <w:sz w:val="28"/>
        </w:rPr>
        <w:t xml:space="preserve"> </w:t>
      </w:r>
    </w:p>
    <w:p w:rsidR="00D36C84" w:rsidRDefault="00F1180C">
      <w:pPr>
        <w:spacing w:after="0"/>
        <w:ind w:right="6"/>
        <w:jc w:val="center"/>
        <w:rPr>
          <w:rFonts w:ascii="Palatino Linotype" w:eastAsia="Palatino Linotype" w:hAnsi="Palatino Linotype" w:cs="Palatino Linotype"/>
          <w:b/>
          <w:sz w:val="24"/>
        </w:rPr>
      </w:pPr>
      <w:r>
        <w:rPr>
          <w:rFonts w:ascii="Palatino Linotype" w:eastAsia="Palatino Linotype" w:hAnsi="Palatino Linotype" w:cs="Palatino Linotype"/>
          <w:b/>
          <w:sz w:val="24"/>
          <w:u w:val="single" w:color="000000"/>
        </w:rPr>
        <w:t>COURSE OUTLINE</w:t>
      </w:r>
      <w:r>
        <w:rPr>
          <w:rFonts w:ascii="Palatino Linotype" w:eastAsia="Palatino Linotype" w:hAnsi="Palatino Linotype" w:cs="Palatino Linotype"/>
          <w:b/>
          <w:sz w:val="24"/>
        </w:rPr>
        <w:t xml:space="preserve"> </w:t>
      </w:r>
    </w:p>
    <w:p w:rsidR="00963AB4" w:rsidRDefault="00963AB4">
      <w:pPr>
        <w:spacing w:after="0"/>
        <w:ind w:right="6"/>
        <w:jc w:val="center"/>
      </w:pPr>
      <w:r>
        <w:rPr>
          <w:rFonts w:ascii="Palatino Linotype" w:eastAsia="Palatino Linotype" w:hAnsi="Palatino Linotype" w:cs="Palatino Linotype"/>
          <w:b/>
          <w:sz w:val="24"/>
        </w:rPr>
        <w:t>2022/2023</w:t>
      </w:r>
    </w:p>
    <w:p w:rsidR="00D36C84" w:rsidRDefault="00F1180C">
      <w:pPr>
        <w:spacing w:after="0"/>
        <w:ind w:left="57"/>
        <w:jc w:val="center"/>
      </w:pPr>
      <w:r>
        <w:rPr>
          <w:rFonts w:ascii="Palatino Linotype" w:eastAsia="Palatino Linotype" w:hAnsi="Palatino Linotype" w:cs="Palatino Linotype"/>
          <w:b/>
          <w:sz w:val="24"/>
        </w:rPr>
        <w:t xml:space="preserve"> </w:t>
      </w:r>
    </w:p>
    <w:p w:rsidR="00D36C84" w:rsidRDefault="00F1180C">
      <w:pPr>
        <w:spacing w:after="0"/>
      </w:pPr>
      <w:r>
        <w:rPr>
          <w:rFonts w:ascii="Palatino Linotype" w:eastAsia="Palatino Linotype" w:hAnsi="Palatino Linotype" w:cs="Palatino Linotype"/>
          <w:b/>
          <w:sz w:val="24"/>
        </w:rPr>
        <w:t xml:space="preserve">Course coordinator:       Mr. Fredd Wakimani (fwakimani@ksl.ac.ke) </w:t>
      </w:r>
    </w:p>
    <w:tbl>
      <w:tblPr>
        <w:tblStyle w:val="TableGrid"/>
        <w:tblW w:w="9023" w:type="dxa"/>
        <w:tblInd w:w="0" w:type="dxa"/>
        <w:tblLook w:val="04A0" w:firstRow="1" w:lastRow="0" w:firstColumn="1" w:lastColumn="0" w:noHBand="0" w:noVBand="1"/>
      </w:tblPr>
      <w:tblGrid>
        <w:gridCol w:w="1440"/>
        <w:gridCol w:w="720"/>
        <w:gridCol w:w="6863"/>
      </w:tblGrid>
      <w:tr w:rsidR="00D36C84">
        <w:trPr>
          <w:trHeight w:val="323"/>
        </w:trPr>
        <w:tc>
          <w:tcPr>
            <w:tcW w:w="1440"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Lecturer:  </w:t>
            </w:r>
          </w:p>
        </w:tc>
        <w:tc>
          <w:tcPr>
            <w:tcW w:w="720"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 </w:t>
            </w:r>
          </w:p>
        </w:tc>
        <w:tc>
          <w:tcPr>
            <w:tcW w:w="6863" w:type="dxa"/>
            <w:tcBorders>
              <w:top w:val="nil"/>
              <w:left w:val="nil"/>
              <w:bottom w:val="nil"/>
              <w:right w:val="nil"/>
            </w:tcBorders>
          </w:tcPr>
          <w:p w:rsidR="00D36C84" w:rsidRPr="005D012D" w:rsidRDefault="005D012D">
            <w:pPr>
              <w:rPr>
                <w:rFonts w:ascii="Palatino Linotype" w:hAnsi="Palatino Linotype"/>
                <w:b/>
                <w:sz w:val="24"/>
                <w:szCs w:val="24"/>
              </w:rPr>
            </w:pPr>
            <w:r>
              <w:t xml:space="preserve">         </w:t>
            </w:r>
            <w:r w:rsidRPr="005D012D">
              <w:rPr>
                <w:rFonts w:ascii="Palatino Linotype" w:hAnsi="Palatino Linotype"/>
                <w:b/>
                <w:sz w:val="24"/>
                <w:szCs w:val="24"/>
              </w:rPr>
              <w:t>Mr. Mwangi Mbogo</w:t>
            </w:r>
            <w:r>
              <w:rPr>
                <w:rFonts w:ascii="Palatino Linotype" w:hAnsi="Palatino Linotype"/>
                <w:b/>
                <w:sz w:val="24"/>
                <w:szCs w:val="24"/>
              </w:rPr>
              <w:t xml:space="preserve"> (jmbogo@gmail.com)</w:t>
            </w:r>
          </w:p>
        </w:tc>
      </w:tr>
      <w:tr w:rsidR="00D36C84">
        <w:trPr>
          <w:trHeight w:val="323"/>
        </w:trPr>
        <w:tc>
          <w:tcPr>
            <w:tcW w:w="1440"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Lecturer: </w:t>
            </w:r>
          </w:p>
        </w:tc>
        <w:tc>
          <w:tcPr>
            <w:tcW w:w="720"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 </w:t>
            </w:r>
          </w:p>
        </w:tc>
        <w:tc>
          <w:tcPr>
            <w:tcW w:w="6863" w:type="dxa"/>
            <w:tcBorders>
              <w:top w:val="nil"/>
              <w:left w:val="nil"/>
              <w:bottom w:val="nil"/>
              <w:right w:val="nil"/>
            </w:tcBorders>
          </w:tcPr>
          <w:p w:rsidR="00D36C84" w:rsidRDefault="00F1180C">
            <w:pPr>
              <w:jc w:val="both"/>
            </w:pPr>
            <w:r>
              <w:rPr>
                <w:rFonts w:ascii="Palatino Linotype" w:eastAsia="Palatino Linotype" w:hAnsi="Palatino Linotype" w:cs="Palatino Linotype"/>
                <w:b/>
                <w:sz w:val="24"/>
              </w:rPr>
              <w:t xml:space="preserve">       Mr. George Mbaye (mbaye@humphreyandcompany.co.ke) </w:t>
            </w:r>
          </w:p>
        </w:tc>
      </w:tr>
      <w:tr w:rsidR="00D36C84">
        <w:trPr>
          <w:trHeight w:val="286"/>
        </w:trPr>
        <w:tc>
          <w:tcPr>
            <w:tcW w:w="1440" w:type="dxa"/>
            <w:tcBorders>
              <w:top w:val="nil"/>
              <w:left w:val="nil"/>
              <w:bottom w:val="nil"/>
              <w:right w:val="nil"/>
            </w:tcBorders>
          </w:tcPr>
          <w:p w:rsidR="00D36C84" w:rsidRDefault="00F1180C">
            <w:r>
              <w:rPr>
                <w:rFonts w:ascii="Palatino Linotype" w:eastAsia="Palatino Linotype" w:hAnsi="Palatino Linotype" w:cs="Palatino Linotype"/>
                <w:b/>
                <w:sz w:val="24"/>
              </w:rPr>
              <w:t>Lecturer</w:t>
            </w:r>
            <w:r w:rsidR="00963AB4">
              <w:rPr>
                <w:rFonts w:ascii="Palatino Linotype" w:eastAsia="Palatino Linotype" w:hAnsi="Palatino Linotype" w:cs="Palatino Linotype"/>
                <w:b/>
                <w:sz w:val="24"/>
              </w:rPr>
              <w:t>:</w:t>
            </w:r>
            <w:r>
              <w:rPr>
                <w:rFonts w:ascii="Palatino Linotype" w:eastAsia="Palatino Linotype" w:hAnsi="Palatino Linotype" w:cs="Palatino Linotype"/>
                <w:b/>
                <w:sz w:val="24"/>
              </w:rPr>
              <w:t xml:space="preserve"> </w:t>
            </w:r>
          </w:p>
        </w:tc>
        <w:tc>
          <w:tcPr>
            <w:tcW w:w="720"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 </w:t>
            </w:r>
          </w:p>
        </w:tc>
        <w:tc>
          <w:tcPr>
            <w:tcW w:w="6863" w:type="dxa"/>
            <w:tcBorders>
              <w:top w:val="nil"/>
              <w:left w:val="nil"/>
              <w:bottom w:val="nil"/>
              <w:right w:val="nil"/>
            </w:tcBorders>
          </w:tcPr>
          <w:p w:rsidR="00D36C84" w:rsidRDefault="00F1180C">
            <w:r>
              <w:rPr>
                <w:rFonts w:ascii="Palatino Linotype" w:eastAsia="Palatino Linotype" w:hAnsi="Palatino Linotype" w:cs="Palatino Linotype"/>
                <w:b/>
                <w:sz w:val="24"/>
              </w:rPr>
              <w:t xml:space="preserve">       Ms. Ann Githinji </w:t>
            </w:r>
            <w:r w:rsidR="00DF054C">
              <w:rPr>
                <w:rFonts w:ascii="Palatino Linotype" w:eastAsia="Palatino Linotype" w:hAnsi="Palatino Linotype" w:cs="Palatino Linotype"/>
                <w:b/>
                <w:sz w:val="24"/>
              </w:rPr>
              <w:t xml:space="preserve">Ng’ang’a </w:t>
            </w:r>
            <w:r>
              <w:rPr>
                <w:rFonts w:ascii="Palatino Linotype" w:eastAsia="Palatino Linotype" w:hAnsi="Palatino Linotype" w:cs="Palatino Linotype"/>
                <w:b/>
                <w:sz w:val="24"/>
              </w:rPr>
              <w:t xml:space="preserve">(awaithira@ksl.ac.ke) </w:t>
            </w:r>
          </w:p>
        </w:tc>
      </w:tr>
    </w:tbl>
    <w:p w:rsidR="00D36C84" w:rsidRDefault="00F1180C">
      <w:pPr>
        <w:spacing w:after="0"/>
      </w:pPr>
      <w:r>
        <w:rPr>
          <w:rFonts w:ascii="Palatino Linotype" w:eastAsia="Palatino Linotype" w:hAnsi="Palatino Linotype" w:cs="Palatino Linotype"/>
          <w:sz w:val="24"/>
        </w:rPr>
        <w:t xml:space="preserve"> </w:t>
      </w:r>
    </w:p>
    <w:p w:rsidR="00D36C84" w:rsidRDefault="00F1180C">
      <w:pPr>
        <w:tabs>
          <w:tab w:val="center" w:pos="3379"/>
        </w:tabs>
        <w:spacing w:after="0"/>
        <w:ind w:left="-15"/>
      </w:pPr>
      <w:r>
        <w:rPr>
          <w:rFonts w:ascii="Palatino Linotype" w:eastAsia="Palatino Linotype" w:hAnsi="Palatino Linotype" w:cs="Palatino Linotype"/>
          <w:b/>
          <w:sz w:val="23"/>
          <w:u w:val="single" w:color="000000"/>
        </w:rPr>
        <w:t>CONTACT HOURS:</w:t>
      </w:r>
      <w:r>
        <w:rPr>
          <w:rFonts w:ascii="Palatino Linotype" w:eastAsia="Palatino Linotype" w:hAnsi="Palatino Linotype" w:cs="Palatino Linotype"/>
          <w:b/>
          <w:sz w:val="23"/>
        </w:rPr>
        <w:t xml:space="preserve"> </w:t>
      </w:r>
      <w:r>
        <w:rPr>
          <w:rFonts w:ascii="Palatino Linotype" w:eastAsia="Palatino Linotype" w:hAnsi="Palatino Linotype" w:cs="Palatino Linotype"/>
          <w:b/>
          <w:sz w:val="23"/>
        </w:rPr>
        <w:tab/>
        <w:t xml:space="preserve"> 66 Hours </w:t>
      </w:r>
      <w:r>
        <w:rPr>
          <w:rFonts w:ascii="Palatino Linotype" w:eastAsia="Palatino Linotype" w:hAnsi="Palatino Linotype" w:cs="Palatino Linotype"/>
          <w:sz w:val="23"/>
        </w:rPr>
        <w:t xml:space="preserve"> </w:t>
      </w:r>
    </w:p>
    <w:p w:rsidR="00D36C84" w:rsidRDefault="00F1180C">
      <w:pPr>
        <w:spacing w:after="0"/>
      </w:pPr>
      <w:r>
        <w:rPr>
          <w:rFonts w:ascii="Palatino Linotype" w:eastAsia="Palatino Linotype" w:hAnsi="Palatino Linotype" w:cs="Palatino Linotype"/>
          <w:b/>
          <w:sz w:val="23"/>
        </w:rPr>
        <w:t xml:space="preserve"> </w:t>
      </w:r>
    </w:p>
    <w:p w:rsidR="00D36C84" w:rsidRDefault="00F1180C">
      <w:pPr>
        <w:spacing w:after="0"/>
        <w:ind w:left="-5" w:hanging="10"/>
      </w:pPr>
      <w:r>
        <w:rPr>
          <w:rFonts w:ascii="Palatino Linotype" w:eastAsia="Palatino Linotype" w:hAnsi="Palatino Linotype" w:cs="Palatino Linotype"/>
          <w:b/>
          <w:sz w:val="23"/>
          <w:u w:val="single" w:color="000000"/>
        </w:rPr>
        <w:t>PURPOSE OF THE SUBJECT</w:t>
      </w:r>
      <w:r>
        <w:rPr>
          <w:rFonts w:ascii="Palatino Linotype" w:eastAsia="Palatino Linotype" w:hAnsi="Palatino Linotype" w:cs="Palatino Linotype"/>
          <w:b/>
          <w:sz w:val="23"/>
        </w:rPr>
        <w:t xml:space="preserve"> </w:t>
      </w:r>
      <w:r>
        <w:rPr>
          <w:rFonts w:ascii="Palatino Linotype" w:eastAsia="Palatino Linotype" w:hAnsi="Palatino Linotype" w:cs="Palatino Linotype"/>
          <w:sz w:val="23"/>
        </w:rPr>
        <w:t xml:space="preserve"> </w:t>
      </w:r>
    </w:p>
    <w:p w:rsidR="00D36C84" w:rsidRDefault="00F1180C">
      <w:pPr>
        <w:spacing w:after="5" w:line="249" w:lineRule="auto"/>
        <w:ind w:left="-5" w:hanging="10"/>
      </w:pPr>
      <w:r>
        <w:rPr>
          <w:rFonts w:ascii="Palatino Linotype" w:eastAsia="Palatino Linotype" w:hAnsi="Palatino Linotype" w:cs="Palatino Linotype"/>
          <w:sz w:val="23"/>
        </w:rPr>
        <w:t xml:space="preserve">To equip the learner with practical legal skills in commercial transactions  </w:t>
      </w:r>
    </w:p>
    <w:p w:rsidR="00D36C84" w:rsidRDefault="00F1180C">
      <w:pPr>
        <w:spacing w:after="0"/>
      </w:pPr>
      <w:r>
        <w:rPr>
          <w:rFonts w:ascii="Palatino Linotype" w:eastAsia="Palatino Linotype" w:hAnsi="Palatino Linotype" w:cs="Palatino Linotype"/>
          <w:b/>
          <w:sz w:val="23"/>
        </w:rPr>
        <w:t xml:space="preserve"> </w:t>
      </w:r>
    </w:p>
    <w:p w:rsidR="00D36C84" w:rsidRDefault="00F1180C">
      <w:pPr>
        <w:pStyle w:val="Heading1"/>
        <w:ind w:left="-5"/>
      </w:pPr>
      <w:r>
        <w:t>EXPECTED LEARNING OUTCOMES</w:t>
      </w:r>
      <w:r>
        <w:rPr>
          <w:u w:val="none"/>
        </w:rPr>
        <w:t xml:space="preserve"> </w:t>
      </w:r>
      <w:r>
        <w:rPr>
          <w:b w:val="0"/>
          <w:u w:val="none"/>
        </w:rPr>
        <w:t xml:space="preserve"> </w:t>
      </w:r>
    </w:p>
    <w:p w:rsidR="00D36C84" w:rsidRDefault="00F1180C">
      <w:pPr>
        <w:spacing w:after="5" w:line="249" w:lineRule="auto"/>
        <w:ind w:left="-5" w:hanging="10"/>
      </w:pPr>
      <w:r>
        <w:rPr>
          <w:rFonts w:ascii="Palatino Linotype" w:eastAsia="Palatino Linotype" w:hAnsi="Palatino Linotype" w:cs="Palatino Linotype"/>
          <w:sz w:val="23"/>
        </w:rPr>
        <w:t xml:space="preserve">By the end of this subject, the learner should be able to:  </w:t>
      </w:r>
    </w:p>
    <w:p w:rsidR="00D36C84" w:rsidRDefault="00F1180C">
      <w:pPr>
        <w:spacing w:after="0"/>
      </w:pPr>
      <w:r>
        <w:rPr>
          <w:rFonts w:ascii="Palatino Linotype" w:eastAsia="Palatino Linotype" w:hAnsi="Palatino Linotype" w:cs="Palatino Linotype"/>
          <w:sz w:val="23"/>
        </w:rPr>
        <w:t xml:space="preserve"> </w:t>
      </w:r>
    </w:p>
    <w:p w:rsidR="00D36C84" w:rsidRDefault="00F1180C" w:rsidP="00963AB4">
      <w:pPr>
        <w:pStyle w:val="ListParagraph"/>
        <w:numPr>
          <w:ilvl w:val="0"/>
          <w:numId w:val="16"/>
        </w:numPr>
        <w:spacing w:after="5" w:line="249" w:lineRule="auto"/>
        <w:ind w:right="966"/>
      </w:pPr>
      <w:r w:rsidRPr="00963AB4">
        <w:rPr>
          <w:rFonts w:ascii="Palatino Linotype" w:eastAsia="Palatino Linotype" w:hAnsi="Palatino Linotype" w:cs="Palatino Linotype"/>
          <w:sz w:val="23"/>
        </w:rPr>
        <w:t xml:space="preserve">Explain and apply the procedures required in processing commercial transaction documents  </w:t>
      </w:r>
    </w:p>
    <w:p w:rsidR="00F75C25" w:rsidRPr="00F75C25" w:rsidRDefault="00F1180C" w:rsidP="00963AB4">
      <w:pPr>
        <w:pStyle w:val="ListParagraph"/>
        <w:numPr>
          <w:ilvl w:val="0"/>
          <w:numId w:val="16"/>
        </w:numPr>
        <w:spacing w:after="5" w:line="249" w:lineRule="auto"/>
        <w:ind w:right="966"/>
      </w:pPr>
      <w:r w:rsidRPr="00963AB4">
        <w:rPr>
          <w:rFonts w:ascii="Palatino Linotype" w:eastAsia="Palatino Linotype" w:hAnsi="Palatino Linotype" w:cs="Palatino Linotype"/>
          <w:sz w:val="23"/>
        </w:rPr>
        <w:t xml:space="preserve">Draft different types of commercial agreements  </w:t>
      </w:r>
    </w:p>
    <w:p w:rsidR="00D36C84" w:rsidRDefault="00F1180C" w:rsidP="00963AB4">
      <w:pPr>
        <w:pStyle w:val="ListParagraph"/>
        <w:numPr>
          <w:ilvl w:val="0"/>
          <w:numId w:val="16"/>
        </w:numPr>
        <w:spacing w:after="5" w:line="249" w:lineRule="auto"/>
        <w:ind w:right="966"/>
      </w:pPr>
      <w:r w:rsidRPr="00963AB4">
        <w:rPr>
          <w:rFonts w:ascii="Palatino Linotype" w:eastAsia="Palatino Linotype" w:hAnsi="Palatino Linotype" w:cs="Palatino Linotype"/>
          <w:sz w:val="23"/>
        </w:rPr>
        <w:t xml:space="preserve">Apply the relevant law in solving disputes in commercial transactions  </w:t>
      </w:r>
    </w:p>
    <w:p w:rsidR="00D36C84" w:rsidRDefault="00F1180C">
      <w:pPr>
        <w:spacing w:after="0"/>
      </w:pPr>
      <w:r>
        <w:rPr>
          <w:rFonts w:ascii="Palatino Linotype" w:eastAsia="Palatino Linotype" w:hAnsi="Palatino Linotype" w:cs="Palatino Linotype"/>
          <w:b/>
          <w:sz w:val="23"/>
        </w:rPr>
        <w:t xml:space="preserve"> </w:t>
      </w:r>
    </w:p>
    <w:p w:rsidR="00D36C84" w:rsidRDefault="00F1180C">
      <w:pPr>
        <w:spacing w:after="0"/>
      </w:pPr>
      <w:r>
        <w:rPr>
          <w:rFonts w:ascii="Palatino Linotype" w:eastAsia="Palatino Linotype" w:hAnsi="Palatino Linotype" w:cs="Palatino Linotype"/>
          <w:b/>
          <w:sz w:val="23"/>
        </w:rPr>
        <w:t xml:space="preserve"> </w:t>
      </w:r>
    </w:p>
    <w:p w:rsidR="00D36C84" w:rsidRDefault="00F1180C">
      <w:pPr>
        <w:spacing w:after="0"/>
      </w:pPr>
      <w:r>
        <w:rPr>
          <w:rFonts w:ascii="Palatino Linotype" w:eastAsia="Palatino Linotype" w:hAnsi="Palatino Linotype" w:cs="Palatino Linotype"/>
          <w:b/>
          <w:sz w:val="23"/>
        </w:rPr>
        <w:t xml:space="preserve">Learning and Teaching Methods </w:t>
      </w:r>
      <w:r>
        <w:rPr>
          <w:rFonts w:ascii="Palatino Linotype" w:eastAsia="Palatino Linotype" w:hAnsi="Palatino Linotype" w:cs="Palatino Linotype"/>
          <w:sz w:val="23"/>
        </w:rPr>
        <w:t xml:space="preserve"> </w:t>
      </w:r>
    </w:p>
    <w:p w:rsidR="00D36C84" w:rsidRDefault="00F1180C">
      <w:pPr>
        <w:numPr>
          <w:ilvl w:val="0"/>
          <w:numId w:val="2"/>
        </w:numPr>
        <w:spacing w:after="5" w:line="249" w:lineRule="auto"/>
        <w:ind w:hanging="316"/>
      </w:pPr>
      <w:r>
        <w:rPr>
          <w:rFonts w:ascii="Palatino Linotype" w:eastAsia="Palatino Linotype" w:hAnsi="Palatino Linotype" w:cs="Palatino Linotype"/>
          <w:sz w:val="23"/>
        </w:rPr>
        <w:t xml:space="preserve">Lectures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2"/>
        </w:numPr>
        <w:spacing w:after="5" w:line="249" w:lineRule="auto"/>
        <w:ind w:hanging="316"/>
      </w:pPr>
      <w:r>
        <w:rPr>
          <w:rFonts w:ascii="Palatino Linotype" w:eastAsia="Palatino Linotype" w:hAnsi="Palatino Linotype" w:cs="Palatino Linotype"/>
          <w:sz w:val="23"/>
        </w:rPr>
        <w:t xml:space="preserve">Moot courts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2"/>
        </w:numPr>
        <w:spacing w:after="5" w:line="249" w:lineRule="auto"/>
        <w:ind w:hanging="316"/>
      </w:pPr>
      <w:r>
        <w:rPr>
          <w:rFonts w:ascii="Palatino Linotype" w:eastAsia="Palatino Linotype" w:hAnsi="Palatino Linotype" w:cs="Palatino Linotype"/>
          <w:sz w:val="23"/>
        </w:rPr>
        <w:t xml:space="preserve">Role plays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2"/>
        </w:numPr>
        <w:spacing w:after="5" w:line="249" w:lineRule="auto"/>
        <w:ind w:hanging="316"/>
      </w:pPr>
      <w:r>
        <w:rPr>
          <w:rFonts w:ascii="Palatino Linotype" w:eastAsia="Palatino Linotype" w:hAnsi="Palatino Linotype" w:cs="Palatino Linotype"/>
          <w:sz w:val="23"/>
        </w:rPr>
        <w:t xml:space="preserve">Use of Audio visual aids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2"/>
        </w:numPr>
        <w:spacing w:after="5" w:line="249" w:lineRule="auto"/>
        <w:ind w:hanging="316"/>
      </w:pPr>
      <w:r>
        <w:rPr>
          <w:rFonts w:ascii="Palatino Linotype" w:eastAsia="Palatino Linotype" w:hAnsi="Palatino Linotype" w:cs="Palatino Linotype"/>
          <w:sz w:val="23"/>
        </w:rPr>
        <w:t xml:space="preserve">Guest lectures  </w:t>
      </w:r>
    </w:p>
    <w:p w:rsidR="00D36C84" w:rsidRDefault="00F1180C">
      <w:pPr>
        <w:spacing w:after="0"/>
      </w:pPr>
      <w:r>
        <w:rPr>
          <w:rFonts w:ascii="Palatino Linotype" w:eastAsia="Palatino Linotype" w:hAnsi="Palatino Linotype" w:cs="Palatino Linotype"/>
          <w:sz w:val="23"/>
        </w:rPr>
        <w:t xml:space="preserve"> </w:t>
      </w:r>
    </w:p>
    <w:tbl>
      <w:tblPr>
        <w:tblStyle w:val="TableGrid"/>
        <w:tblW w:w="5955" w:type="dxa"/>
        <w:tblInd w:w="-103" w:type="dxa"/>
        <w:tblCellMar>
          <w:top w:w="79" w:type="dxa"/>
          <w:left w:w="108" w:type="dxa"/>
          <w:right w:w="115" w:type="dxa"/>
        </w:tblCellMar>
        <w:tblLook w:val="04A0" w:firstRow="1" w:lastRow="0" w:firstColumn="1" w:lastColumn="0" w:noHBand="0" w:noVBand="1"/>
      </w:tblPr>
      <w:tblGrid>
        <w:gridCol w:w="1793"/>
        <w:gridCol w:w="1793"/>
        <w:gridCol w:w="2369"/>
      </w:tblGrid>
      <w:tr w:rsidR="00D36C84">
        <w:trPr>
          <w:trHeight w:val="322"/>
        </w:trPr>
        <w:tc>
          <w:tcPr>
            <w:tcW w:w="5955" w:type="dxa"/>
            <w:gridSpan w:val="3"/>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b/>
                <w:sz w:val="23"/>
              </w:rPr>
              <w:lastRenderedPageBreak/>
              <w:t xml:space="preserve">Mode of Assessment </w:t>
            </w:r>
            <w:r>
              <w:rPr>
                <w:rFonts w:ascii="Palatino Linotype" w:eastAsia="Palatino Linotype" w:hAnsi="Palatino Linotype" w:cs="Palatino Linotype"/>
                <w:sz w:val="23"/>
              </w:rPr>
              <w:t xml:space="preserve"> </w:t>
            </w:r>
          </w:p>
        </w:tc>
      </w:tr>
      <w:tr w:rsidR="00D36C84">
        <w:trPr>
          <w:trHeight w:val="320"/>
        </w:trPr>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i.  </w:t>
            </w:r>
          </w:p>
        </w:tc>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Project work  </w:t>
            </w:r>
          </w:p>
        </w:tc>
        <w:tc>
          <w:tcPr>
            <w:tcW w:w="2369"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20  </w:t>
            </w:r>
          </w:p>
        </w:tc>
      </w:tr>
      <w:tr w:rsidR="00D36C84">
        <w:trPr>
          <w:trHeight w:val="631"/>
        </w:trPr>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ii.  </w:t>
            </w:r>
          </w:p>
        </w:tc>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Oral examination  </w:t>
            </w:r>
          </w:p>
        </w:tc>
        <w:tc>
          <w:tcPr>
            <w:tcW w:w="2369"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20  </w:t>
            </w:r>
          </w:p>
        </w:tc>
      </w:tr>
      <w:tr w:rsidR="00D36C84">
        <w:trPr>
          <w:trHeight w:val="631"/>
        </w:trPr>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iii.  </w:t>
            </w:r>
          </w:p>
        </w:tc>
        <w:tc>
          <w:tcPr>
            <w:tcW w:w="1793"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Final written examination  </w:t>
            </w:r>
          </w:p>
        </w:tc>
        <w:tc>
          <w:tcPr>
            <w:tcW w:w="2369" w:type="dxa"/>
            <w:tcBorders>
              <w:top w:val="single" w:sz="4" w:space="0" w:color="000000"/>
              <w:left w:val="single" w:sz="4" w:space="0" w:color="000000"/>
              <w:bottom w:val="single" w:sz="4" w:space="0" w:color="000000"/>
              <w:right w:val="single" w:sz="4" w:space="0" w:color="000000"/>
            </w:tcBorders>
          </w:tcPr>
          <w:p w:rsidR="00D36C84" w:rsidRDefault="00F1180C">
            <w:r>
              <w:rPr>
                <w:rFonts w:ascii="Palatino Linotype" w:eastAsia="Palatino Linotype" w:hAnsi="Palatino Linotype" w:cs="Palatino Linotype"/>
                <w:sz w:val="23"/>
              </w:rPr>
              <w:t xml:space="preserve">60  </w:t>
            </w:r>
          </w:p>
        </w:tc>
      </w:tr>
      <w:tr w:rsidR="00D36C84">
        <w:trPr>
          <w:trHeight w:val="319"/>
        </w:trPr>
        <w:tc>
          <w:tcPr>
            <w:tcW w:w="5955" w:type="dxa"/>
            <w:gridSpan w:val="3"/>
            <w:tcBorders>
              <w:top w:val="single" w:sz="4" w:space="0" w:color="000000"/>
              <w:left w:val="single" w:sz="4" w:space="0" w:color="000000"/>
              <w:bottom w:val="single" w:sz="4" w:space="0" w:color="000000"/>
              <w:right w:val="single" w:sz="4" w:space="0" w:color="000000"/>
            </w:tcBorders>
          </w:tcPr>
          <w:p w:rsidR="00D36C84" w:rsidRDefault="00F1180C">
            <w:pPr>
              <w:ind w:left="982"/>
              <w:jc w:val="center"/>
            </w:pPr>
            <w:r>
              <w:rPr>
                <w:rFonts w:ascii="Palatino Linotype" w:eastAsia="Palatino Linotype" w:hAnsi="Palatino Linotype" w:cs="Palatino Linotype"/>
                <w:b/>
                <w:sz w:val="23"/>
              </w:rPr>
              <w:t xml:space="preserve">Total 100 </w:t>
            </w:r>
            <w:r>
              <w:rPr>
                <w:rFonts w:ascii="Palatino Linotype" w:eastAsia="Palatino Linotype" w:hAnsi="Palatino Linotype" w:cs="Palatino Linotype"/>
                <w:sz w:val="23"/>
              </w:rPr>
              <w:t xml:space="preserve"> </w:t>
            </w:r>
          </w:p>
        </w:tc>
      </w:tr>
    </w:tbl>
    <w:p w:rsidR="00D36C84" w:rsidRDefault="00F1180C">
      <w:pPr>
        <w:spacing w:after="0"/>
      </w:pPr>
      <w:r>
        <w:rPr>
          <w:rFonts w:ascii="Palatino Linotype" w:eastAsia="Palatino Linotype" w:hAnsi="Palatino Linotype" w:cs="Palatino Linotype"/>
          <w:b/>
          <w:sz w:val="23"/>
        </w:rPr>
        <w:t xml:space="preserve"> </w:t>
      </w:r>
    </w:p>
    <w:p w:rsidR="00D36C84" w:rsidRDefault="00F1180C">
      <w:pPr>
        <w:pStyle w:val="Heading1"/>
        <w:ind w:left="-5"/>
      </w:pPr>
      <w:r>
        <w:t>CORE READING MATERIALS</w:t>
      </w:r>
      <w:r>
        <w:rPr>
          <w:u w:val="none"/>
        </w:rPr>
        <w:t xml:space="preserve"> </w:t>
      </w:r>
      <w:r>
        <w:rPr>
          <w:b w:val="0"/>
          <w:u w:val="none"/>
        </w:rPr>
        <w:t xml:space="preserve"> </w:t>
      </w:r>
    </w:p>
    <w:p w:rsidR="00D36C84" w:rsidRDefault="00F1180C">
      <w:pPr>
        <w:numPr>
          <w:ilvl w:val="0"/>
          <w:numId w:val="3"/>
        </w:numPr>
        <w:spacing w:after="5" w:line="249" w:lineRule="auto"/>
        <w:ind w:hanging="316"/>
      </w:pPr>
      <w:r>
        <w:rPr>
          <w:rFonts w:ascii="Palatino Linotype" w:eastAsia="Palatino Linotype" w:hAnsi="Palatino Linotype" w:cs="Palatino Linotype"/>
          <w:sz w:val="23"/>
        </w:rPr>
        <w:t>Laibuta K.I., (2016). Principles of Commercial Law (2</w:t>
      </w:r>
      <w:r>
        <w:rPr>
          <w:rFonts w:ascii="Palatino Linotype" w:eastAsia="Palatino Linotype" w:hAnsi="Palatino Linotype" w:cs="Palatino Linotype"/>
          <w:sz w:val="16"/>
        </w:rPr>
        <w:t xml:space="preserve">nd </w:t>
      </w:r>
      <w:r>
        <w:rPr>
          <w:rFonts w:ascii="Palatino Linotype" w:eastAsia="Palatino Linotype" w:hAnsi="Palatino Linotype" w:cs="Palatino Linotype"/>
          <w:sz w:val="23"/>
        </w:rPr>
        <w:t xml:space="preserve">Edition). Nairobi: LawAfrica  Publishing (K) Ltd.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3"/>
        </w:numPr>
        <w:spacing w:after="5" w:line="249" w:lineRule="auto"/>
        <w:ind w:hanging="316"/>
      </w:pPr>
      <w:r>
        <w:rPr>
          <w:rFonts w:ascii="Palatino Linotype" w:eastAsia="Palatino Linotype" w:hAnsi="Palatino Linotype" w:cs="Palatino Linotype"/>
          <w:sz w:val="23"/>
        </w:rPr>
        <w:t xml:space="preserve">Amota Nyangaera Nyasae, (2017) </w:t>
      </w:r>
      <w:r>
        <w:rPr>
          <w:rFonts w:ascii="Palatino Linotype" w:eastAsia="Palatino Linotype" w:hAnsi="Palatino Linotype" w:cs="Palatino Linotype"/>
          <w:i/>
          <w:sz w:val="23"/>
        </w:rPr>
        <w:t>Meetings: Law and Procedure in Kenya Today</w:t>
      </w:r>
      <w:r>
        <w:rPr>
          <w:rFonts w:ascii="Palatino Linotype" w:eastAsia="Palatino Linotype" w:hAnsi="Palatino Linotype" w:cs="Palatino Linotype"/>
          <w:sz w:val="23"/>
        </w:rPr>
        <w:t xml:space="preserve">. Nairobi: LawAfrica Publishing (K) Ltd.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3"/>
        </w:numPr>
        <w:spacing w:after="5" w:line="249" w:lineRule="auto"/>
        <w:ind w:hanging="316"/>
      </w:pPr>
      <w:r>
        <w:rPr>
          <w:rFonts w:ascii="Palatino Linotype" w:eastAsia="Palatino Linotype" w:hAnsi="Palatino Linotype" w:cs="Palatino Linotype"/>
          <w:sz w:val="23"/>
        </w:rPr>
        <w:t xml:space="preserve">Laibuta K.I., (2017). </w:t>
      </w:r>
      <w:r>
        <w:rPr>
          <w:rFonts w:ascii="Palatino Linotype" w:eastAsia="Palatino Linotype" w:hAnsi="Palatino Linotype" w:cs="Palatino Linotype"/>
          <w:i/>
          <w:sz w:val="23"/>
        </w:rPr>
        <w:t>A Handbook of Company Law</w:t>
      </w:r>
      <w:r>
        <w:rPr>
          <w:rFonts w:ascii="Palatino Linotype" w:eastAsia="Palatino Linotype" w:hAnsi="Palatino Linotype" w:cs="Palatino Linotype"/>
          <w:sz w:val="23"/>
        </w:rPr>
        <w:t xml:space="preserve">. Nairobi: LawAfrica Publishing (K) Ltd.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3"/>
        </w:numPr>
        <w:spacing w:after="5" w:line="249" w:lineRule="auto"/>
        <w:ind w:hanging="316"/>
      </w:pPr>
      <w:r>
        <w:rPr>
          <w:rFonts w:ascii="Palatino Linotype" w:eastAsia="Palatino Linotype" w:hAnsi="Palatino Linotype" w:cs="Palatino Linotype"/>
          <w:sz w:val="23"/>
        </w:rPr>
        <w:t>N. T. T Simiyu, Taxation in Kenya: (2017</w:t>
      </w:r>
      <w:r w:rsidR="00DF054C">
        <w:rPr>
          <w:rFonts w:ascii="Palatino Linotype" w:eastAsia="Palatino Linotype" w:hAnsi="Palatino Linotype" w:cs="Palatino Linotype"/>
          <w:sz w:val="23"/>
        </w:rPr>
        <w:t>), Principles</w:t>
      </w:r>
      <w:r>
        <w:rPr>
          <w:rFonts w:ascii="Palatino Linotype" w:eastAsia="Palatino Linotype" w:hAnsi="Palatino Linotype" w:cs="Palatino Linotype"/>
          <w:sz w:val="23"/>
        </w:rPr>
        <w:t xml:space="preserve">, Practice &amp; Case Law  </w:t>
      </w:r>
    </w:p>
    <w:p w:rsidR="00D36C84" w:rsidRDefault="00F1180C">
      <w:pPr>
        <w:spacing w:after="0"/>
      </w:pPr>
      <w:r>
        <w:rPr>
          <w:rFonts w:ascii="Palatino Linotype" w:eastAsia="Palatino Linotype" w:hAnsi="Palatino Linotype" w:cs="Palatino Linotype"/>
          <w:sz w:val="23"/>
        </w:rPr>
        <w:t xml:space="preserve"> </w:t>
      </w:r>
    </w:p>
    <w:p w:rsidR="00D36C84" w:rsidRPr="00462CE2" w:rsidRDefault="00F1180C">
      <w:pPr>
        <w:numPr>
          <w:ilvl w:val="0"/>
          <w:numId w:val="3"/>
        </w:numPr>
        <w:spacing w:after="5" w:line="249" w:lineRule="auto"/>
        <w:ind w:hanging="316"/>
        <w:rPr>
          <w:rFonts w:ascii="Palatino Linotype" w:eastAsia="Palatino Linotype" w:hAnsi="Palatino Linotype" w:cs="Palatino Linotype"/>
          <w:sz w:val="23"/>
        </w:rPr>
      </w:pPr>
      <w:r>
        <w:rPr>
          <w:rFonts w:ascii="Palatino Linotype" w:eastAsia="Palatino Linotype" w:hAnsi="Palatino Linotype" w:cs="Palatino Linotype"/>
          <w:sz w:val="23"/>
        </w:rPr>
        <w:t xml:space="preserve">Dr Njoroge Obadiah Kimani Tax Law in Kenya: 2019  </w:t>
      </w:r>
    </w:p>
    <w:p w:rsidR="00462CE2" w:rsidRPr="00462CE2" w:rsidRDefault="00462CE2" w:rsidP="00462CE2">
      <w:pPr>
        <w:spacing w:after="5" w:line="249" w:lineRule="auto"/>
        <w:ind w:left="316"/>
        <w:rPr>
          <w:rFonts w:ascii="Palatino Linotype" w:eastAsia="Palatino Linotype" w:hAnsi="Palatino Linotype" w:cs="Palatino Linotype"/>
          <w:sz w:val="23"/>
        </w:rPr>
      </w:pPr>
    </w:p>
    <w:p w:rsidR="00963AB4" w:rsidRDefault="00462CE2" w:rsidP="00963AB4">
      <w:pPr>
        <w:numPr>
          <w:ilvl w:val="0"/>
          <w:numId w:val="3"/>
        </w:numPr>
        <w:spacing w:after="5" w:line="249" w:lineRule="auto"/>
        <w:ind w:hanging="316"/>
        <w:rPr>
          <w:rFonts w:ascii="Palatino Linotype" w:eastAsia="Palatino Linotype" w:hAnsi="Palatino Linotype" w:cs="Palatino Linotype"/>
          <w:sz w:val="23"/>
        </w:rPr>
      </w:pPr>
      <w:r w:rsidRPr="00462CE2">
        <w:rPr>
          <w:rFonts w:ascii="Palatino Linotype" w:eastAsia="Palatino Linotype" w:hAnsi="Palatino Linotype" w:cs="Palatino Linotype"/>
          <w:sz w:val="23"/>
        </w:rPr>
        <w:t>Taxation Simplified II (REVISED EDITION) / Nisar.A Saleemi - 3 ed. - Nairobi: N.A. Saleemi 1991</w:t>
      </w:r>
    </w:p>
    <w:p w:rsidR="00963AB4" w:rsidRDefault="00963AB4" w:rsidP="00963AB4">
      <w:pPr>
        <w:pStyle w:val="ListParagraph"/>
        <w:rPr>
          <w:rFonts w:ascii="Palatino Linotype" w:eastAsia="Palatino Linotype" w:hAnsi="Palatino Linotype" w:cs="Palatino Linotype"/>
          <w:sz w:val="23"/>
        </w:rPr>
      </w:pPr>
    </w:p>
    <w:p w:rsidR="00D36C84" w:rsidRPr="00963AB4" w:rsidRDefault="00F1180C" w:rsidP="00963AB4">
      <w:pPr>
        <w:numPr>
          <w:ilvl w:val="0"/>
          <w:numId w:val="3"/>
        </w:numPr>
        <w:spacing w:after="5" w:line="249" w:lineRule="auto"/>
        <w:ind w:hanging="316"/>
        <w:rPr>
          <w:rFonts w:ascii="Palatino Linotype" w:eastAsia="Palatino Linotype" w:hAnsi="Palatino Linotype" w:cs="Palatino Linotype"/>
          <w:sz w:val="23"/>
        </w:rPr>
      </w:pPr>
      <w:r w:rsidRPr="00963AB4">
        <w:rPr>
          <w:rFonts w:ascii="Palatino Linotype" w:eastAsia="Palatino Linotype" w:hAnsi="Palatino Linotype" w:cs="Palatino Linotype"/>
          <w:sz w:val="23"/>
        </w:rPr>
        <w:t xml:space="preserve">Dr Njaramba Gichuki, Law of Financial Institutions in Kenya: Law Africa Publishing (K) Ltd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pStyle w:val="Heading1"/>
        <w:ind w:left="-5"/>
      </w:pPr>
      <w:r>
        <w:t>RECOMMENDED REFERENCE MATERIALS</w:t>
      </w:r>
      <w:r>
        <w:rPr>
          <w:b w:val="0"/>
          <w:u w:val="none"/>
        </w:rPr>
        <w:t xml:space="preserve"> </w:t>
      </w:r>
    </w:p>
    <w:p w:rsidR="00D36C84" w:rsidRDefault="00F1180C">
      <w:pPr>
        <w:numPr>
          <w:ilvl w:val="0"/>
          <w:numId w:val="4"/>
        </w:numPr>
        <w:spacing w:after="5" w:line="249" w:lineRule="auto"/>
        <w:ind w:hanging="317"/>
      </w:pPr>
      <w:r>
        <w:rPr>
          <w:rFonts w:ascii="Palatino Linotype" w:eastAsia="Palatino Linotype" w:hAnsi="Palatino Linotype" w:cs="Palatino Linotype"/>
          <w:sz w:val="23"/>
        </w:rPr>
        <w:t xml:space="preserve">Edwin L. Miller JR &amp; Lewis N.Segall., (2017). </w:t>
      </w:r>
      <w:r>
        <w:rPr>
          <w:rFonts w:ascii="Palatino Linotype" w:eastAsia="Palatino Linotype" w:hAnsi="Palatino Linotype" w:cs="Palatino Linotype"/>
          <w:i/>
          <w:sz w:val="23"/>
        </w:rPr>
        <w:t xml:space="preserve">Mergers and Acquisitions </w:t>
      </w:r>
      <w:r>
        <w:rPr>
          <w:rFonts w:ascii="Palatino Linotype" w:eastAsia="Palatino Linotype" w:hAnsi="Palatino Linotype" w:cs="Palatino Linotype"/>
          <w:sz w:val="23"/>
        </w:rPr>
        <w:t>(2</w:t>
      </w:r>
      <w:r>
        <w:rPr>
          <w:rFonts w:ascii="Palatino Linotype" w:eastAsia="Palatino Linotype" w:hAnsi="Palatino Linotype" w:cs="Palatino Linotype"/>
          <w:sz w:val="16"/>
        </w:rPr>
        <w:t xml:space="preserve">nd </w:t>
      </w:r>
      <w:r>
        <w:rPr>
          <w:rFonts w:ascii="Palatino Linotype" w:eastAsia="Palatino Linotype" w:hAnsi="Palatino Linotype" w:cs="Palatino Linotype"/>
          <w:sz w:val="23"/>
        </w:rPr>
        <w:t xml:space="preserve">edn) .Wiley Finance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4"/>
        </w:numPr>
        <w:spacing w:after="5" w:line="249" w:lineRule="auto"/>
        <w:ind w:hanging="317"/>
      </w:pPr>
      <w:r>
        <w:rPr>
          <w:rFonts w:ascii="Palatino Linotype" w:eastAsia="Palatino Linotype" w:hAnsi="Palatino Linotype" w:cs="Palatino Linotype"/>
          <w:sz w:val="23"/>
        </w:rPr>
        <w:t xml:space="preserve">Ashiq Hussein, (2010). </w:t>
      </w:r>
      <w:r>
        <w:rPr>
          <w:rFonts w:ascii="Palatino Linotype" w:eastAsia="Palatino Linotype" w:hAnsi="Palatino Linotype" w:cs="Palatino Linotype"/>
          <w:i/>
          <w:sz w:val="23"/>
        </w:rPr>
        <w:t>General Principles of Commercial Law</w:t>
      </w:r>
      <w:r>
        <w:rPr>
          <w:rFonts w:ascii="Palatino Linotype" w:eastAsia="Palatino Linotype" w:hAnsi="Palatino Linotype" w:cs="Palatino Linotype"/>
          <w:sz w:val="23"/>
        </w:rPr>
        <w:t xml:space="preserve">. Nairobi, Kenya: East African Publishers.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numPr>
          <w:ilvl w:val="0"/>
          <w:numId w:val="4"/>
        </w:numPr>
        <w:spacing w:after="5" w:line="249" w:lineRule="auto"/>
        <w:ind w:hanging="317"/>
      </w:pPr>
      <w:r>
        <w:rPr>
          <w:rFonts w:ascii="Palatino Linotype" w:eastAsia="Palatino Linotype" w:hAnsi="Palatino Linotype" w:cs="Palatino Linotype"/>
          <w:sz w:val="23"/>
        </w:rPr>
        <w:t xml:space="preserve">Jan Ramberg, (1998), International Commercial Transactions,  </w:t>
      </w:r>
    </w:p>
    <w:p w:rsidR="00D36C84" w:rsidRDefault="00F1180C">
      <w:pPr>
        <w:spacing w:after="0"/>
      </w:pPr>
      <w:r>
        <w:rPr>
          <w:rFonts w:ascii="Palatino Linotype" w:eastAsia="Palatino Linotype" w:hAnsi="Palatino Linotype" w:cs="Palatino Linotype"/>
          <w:b/>
          <w:sz w:val="23"/>
        </w:rPr>
        <w:t xml:space="preserve"> </w:t>
      </w:r>
    </w:p>
    <w:p w:rsidR="00F75C25" w:rsidRDefault="00F75C25">
      <w:pPr>
        <w:pStyle w:val="Heading1"/>
        <w:ind w:left="-5"/>
      </w:pPr>
    </w:p>
    <w:p w:rsidR="00963AB4" w:rsidRDefault="00963AB4">
      <w:pPr>
        <w:pStyle w:val="Heading1"/>
        <w:ind w:left="-5"/>
      </w:pPr>
    </w:p>
    <w:p w:rsidR="00D36C84" w:rsidRDefault="00F1180C" w:rsidP="00963AB4">
      <w:pPr>
        <w:pStyle w:val="Heading1"/>
        <w:ind w:left="0" w:firstLine="0"/>
      </w:pPr>
      <w:r>
        <w:t>SUBJECT CONTENT</w:t>
      </w:r>
      <w:r>
        <w:rPr>
          <w:u w:val="none"/>
        </w:rPr>
        <w:t xml:space="preserve"> </w:t>
      </w:r>
      <w:r>
        <w:rPr>
          <w:b w:val="0"/>
          <w:u w:val="none"/>
        </w:rPr>
        <w:t xml:space="preserve"> </w:t>
      </w:r>
    </w:p>
    <w:p w:rsidR="00D36C84" w:rsidRDefault="00F1180C">
      <w:pPr>
        <w:numPr>
          <w:ilvl w:val="0"/>
          <w:numId w:val="5"/>
        </w:numPr>
        <w:spacing w:after="5" w:line="249" w:lineRule="auto"/>
        <w:ind w:hanging="360"/>
      </w:pPr>
      <w:r>
        <w:rPr>
          <w:rFonts w:ascii="Palatino Linotype" w:eastAsia="Palatino Linotype" w:hAnsi="Palatino Linotype" w:cs="Palatino Linotype"/>
          <w:sz w:val="23"/>
        </w:rPr>
        <w:t xml:space="preserve">Processes and Procedures relating to Companies and Partnerships:  </w:t>
      </w:r>
    </w:p>
    <w:p w:rsidR="00D36C84" w:rsidRDefault="00F1180C">
      <w:pPr>
        <w:numPr>
          <w:ilvl w:val="0"/>
          <w:numId w:val="5"/>
        </w:numPr>
        <w:spacing w:after="25" w:line="249" w:lineRule="auto"/>
        <w:ind w:hanging="360"/>
      </w:pPr>
      <w:r>
        <w:rPr>
          <w:rFonts w:ascii="Palatino Linotype" w:eastAsia="Palatino Linotype" w:hAnsi="Palatino Linotype" w:cs="Palatino Linotype"/>
          <w:sz w:val="23"/>
        </w:rPr>
        <w:t xml:space="preserve">Mergers and Acquisitions  </w:t>
      </w:r>
    </w:p>
    <w:p w:rsidR="00D36C84" w:rsidRDefault="00F1180C">
      <w:pPr>
        <w:numPr>
          <w:ilvl w:val="0"/>
          <w:numId w:val="5"/>
        </w:numPr>
        <w:spacing w:after="5" w:line="249" w:lineRule="auto"/>
        <w:ind w:hanging="360"/>
      </w:pPr>
      <w:r>
        <w:rPr>
          <w:rFonts w:ascii="Palatino Linotype" w:eastAsia="Palatino Linotype" w:hAnsi="Palatino Linotype" w:cs="Palatino Linotype"/>
          <w:sz w:val="23"/>
        </w:rPr>
        <w:t xml:space="preserve">Insolvency Procedures  </w:t>
      </w:r>
    </w:p>
    <w:p w:rsidR="00D36C84" w:rsidRDefault="00F1180C">
      <w:pPr>
        <w:numPr>
          <w:ilvl w:val="0"/>
          <w:numId w:val="5"/>
        </w:numPr>
        <w:spacing w:after="5" w:line="249" w:lineRule="auto"/>
        <w:ind w:hanging="360"/>
      </w:pPr>
      <w:r>
        <w:rPr>
          <w:rFonts w:ascii="Palatino Linotype" w:eastAsia="Palatino Linotype" w:hAnsi="Palatino Linotype" w:cs="Palatino Linotype"/>
          <w:sz w:val="23"/>
        </w:rPr>
        <w:t xml:space="preserve">Financial Services and Payment Systems  </w:t>
      </w:r>
    </w:p>
    <w:p w:rsidR="00D36C84" w:rsidRDefault="00F1180C">
      <w:pPr>
        <w:numPr>
          <w:ilvl w:val="0"/>
          <w:numId w:val="5"/>
        </w:numPr>
        <w:spacing w:after="26" w:line="249" w:lineRule="auto"/>
        <w:ind w:hanging="360"/>
      </w:pPr>
      <w:r>
        <w:rPr>
          <w:rFonts w:ascii="Palatino Linotype" w:eastAsia="Palatino Linotype" w:hAnsi="Palatino Linotype" w:cs="Palatino Linotype"/>
          <w:sz w:val="23"/>
        </w:rPr>
        <w:t xml:space="preserve">Commercial Agreements  </w:t>
      </w:r>
    </w:p>
    <w:p w:rsidR="00D36C84" w:rsidRDefault="00F1180C">
      <w:pPr>
        <w:numPr>
          <w:ilvl w:val="0"/>
          <w:numId w:val="5"/>
        </w:numPr>
        <w:spacing w:after="5" w:line="249" w:lineRule="auto"/>
        <w:ind w:hanging="360"/>
      </w:pPr>
      <w:r>
        <w:rPr>
          <w:rFonts w:ascii="Palatino Linotype" w:eastAsia="Palatino Linotype" w:hAnsi="Palatino Linotype" w:cs="Palatino Linotype"/>
          <w:sz w:val="23"/>
        </w:rPr>
        <w:t xml:space="preserve">Movable Property Security Rights  </w:t>
      </w:r>
    </w:p>
    <w:p w:rsidR="00D36C84" w:rsidRDefault="00F1180C">
      <w:pPr>
        <w:numPr>
          <w:ilvl w:val="0"/>
          <w:numId w:val="5"/>
        </w:numPr>
        <w:spacing w:after="5" w:line="249" w:lineRule="auto"/>
        <w:ind w:hanging="360"/>
      </w:pPr>
      <w:r>
        <w:rPr>
          <w:rFonts w:ascii="Palatino Linotype" w:eastAsia="Palatino Linotype" w:hAnsi="Palatino Linotype" w:cs="Palatino Linotype"/>
          <w:sz w:val="23"/>
        </w:rPr>
        <w:t xml:space="preserve">Tax Procedures in commercial transactions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spacing w:after="0"/>
      </w:pPr>
      <w:r>
        <w:rPr>
          <w:rFonts w:ascii="Palatino Linotype" w:eastAsia="Palatino Linotype" w:hAnsi="Palatino Linotype" w:cs="Palatino Linotype"/>
          <w:sz w:val="23"/>
        </w:rPr>
        <w:t xml:space="preserve"> </w:t>
      </w:r>
    </w:p>
    <w:p w:rsidR="00D36C84" w:rsidRDefault="00F1180C">
      <w:pPr>
        <w:spacing w:after="12"/>
      </w:pPr>
      <w:r>
        <w:rPr>
          <w:rFonts w:ascii="Palatino Linotype" w:eastAsia="Palatino Linotype" w:hAnsi="Palatino Linotype" w:cs="Palatino Linotype"/>
          <w:sz w:val="23"/>
        </w:rPr>
        <w:t xml:space="preserve"> </w:t>
      </w:r>
    </w:p>
    <w:p w:rsidR="00D36C84" w:rsidRDefault="00963AB4">
      <w:pPr>
        <w:pStyle w:val="Heading1"/>
        <w:tabs>
          <w:tab w:val="center" w:pos="2508"/>
        </w:tabs>
        <w:ind w:left="-15" w:firstLine="0"/>
      </w:pPr>
      <w:r>
        <w:t xml:space="preserve">SUBJECT </w:t>
      </w:r>
      <w:r>
        <w:rPr>
          <w:b w:val="0"/>
          <w:sz w:val="31"/>
          <w:u w:val="none"/>
          <w:vertAlign w:val="subscript"/>
        </w:rPr>
        <w:tab/>
      </w:r>
      <w:r w:rsidR="00F1180C">
        <w:t>CONTENT BREAKDOWN</w:t>
      </w:r>
      <w:r w:rsidR="00F1180C">
        <w:rPr>
          <w:u w:val="none"/>
        </w:rPr>
        <w:t xml:space="preserve"> </w:t>
      </w:r>
    </w:p>
    <w:p w:rsidR="00D36C84" w:rsidRDefault="00F1180C">
      <w:pPr>
        <w:spacing w:after="186" w:line="250" w:lineRule="auto"/>
        <w:ind w:left="345" w:hanging="360"/>
      </w:pPr>
      <w:r>
        <w:rPr>
          <w:rFonts w:ascii="Palatino Linotype" w:eastAsia="Palatino Linotype" w:hAnsi="Palatino Linotype" w:cs="Palatino Linotype"/>
          <w:b/>
        </w:rPr>
        <w:t>1.</w:t>
      </w:r>
      <w:r>
        <w:rPr>
          <w:rFonts w:ascii="Arial" w:eastAsia="Arial" w:hAnsi="Arial" w:cs="Arial"/>
          <w:b/>
        </w:rPr>
        <w:t xml:space="preserve"> </w:t>
      </w:r>
      <w:r>
        <w:rPr>
          <w:rFonts w:ascii="Palatino Linotype" w:eastAsia="Palatino Linotype" w:hAnsi="Palatino Linotype" w:cs="Palatino Linotype"/>
          <w:b/>
        </w:rPr>
        <w:t xml:space="preserve">PROCESSES AND PROCEDURES RELATING TO COMPANIES AND PARTNERSHIPS: </w:t>
      </w:r>
    </w:p>
    <w:p w:rsidR="00D36C84" w:rsidRDefault="00F1180C">
      <w:pPr>
        <w:pStyle w:val="Heading2"/>
        <w:ind w:left="730"/>
      </w:pPr>
      <w:r>
        <w:t xml:space="preserve">COMPANIES </w:t>
      </w:r>
    </w:p>
    <w:p w:rsidR="00D36C84" w:rsidRDefault="00F1180C">
      <w:pPr>
        <w:numPr>
          <w:ilvl w:val="0"/>
          <w:numId w:val="6"/>
        </w:numPr>
        <w:spacing w:after="26" w:line="249" w:lineRule="auto"/>
        <w:ind w:hanging="360"/>
        <w:jc w:val="both"/>
      </w:pPr>
      <w:r>
        <w:rPr>
          <w:rFonts w:ascii="Palatino Linotype" w:eastAsia="Palatino Linotype" w:hAnsi="Palatino Linotype" w:cs="Palatino Linotype"/>
        </w:rPr>
        <w:t xml:space="preserve">Main types of companies (private, public, guarantee and foreign) and procedure for their incorporation </w:t>
      </w:r>
    </w:p>
    <w:p w:rsidR="00D36C84" w:rsidRDefault="00F1180C">
      <w:pPr>
        <w:numPr>
          <w:ilvl w:val="0"/>
          <w:numId w:val="6"/>
        </w:numPr>
        <w:spacing w:after="26" w:line="249" w:lineRule="auto"/>
        <w:ind w:hanging="360"/>
        <w:jc w:val="both"/>
      </w:pPr>
      <w:r>
        <w:rPr>
          <w:rFonts w:ascii="Palatino Linotype" w:eastAsia="Palatino Linotype" w:hAnsi="Palatino Linotype" w:cs="Palatino Linotype"/>
        </w:rPr>
        <w:t xml:space="preserve">Execution of documents by companies </w:t>
      </w:r>
    </w:p>
    <w:p w:rsidR="00D36C84" w:rsidRDefault="00F1180C">
      <w:pPr>
        <w:numPr>
          <w:ilvl w:val="0"/>
          <w:numId w:val="6"/>
        </w:numPr>
        <w:spacing w:after="26" w:line="249" w:lineRule="auto"/>
        <w:ind w:hanging="360"/>
        <w:jc w:val="both"/>
      </w:pPr>
      <w:r>
        <w:rPr>
          <w:rFonts w:ascii="Palatino Linotype" w:eastAsia="Palatino Linotype" w:hAnsi="Palatino Linotype" w:cs="Palatino Linotype"/>
        </w:rPr>
        <w:t xml:space="preserve">Statutory returns and other compliance documentation (such as notices of registered offices, appointments of officers, share allotment, list of directors, annual returns, changes of directors, shareholders, company secretary and registers to be maintained). </w:t>
      </w:r>
    </w:p>
    <w:p w:rsidR="00D36C84" w:rsidRDefault="00F1180C">
      <w:pPr>
        <w:numPr>
          <w:ilvl w:val="0"/>
          <w:numId w:val="6"/>
        </w:numPr>
        <w:spacing w:after="26" w:line="249" w:lineRule="auto"/>
        <w:ind w:hanging="360"/>
        <w:jc w:val="both"/>
      </w:pPr>
      <w:r>
        <w:rPr>
          <w:rFonts w:ascii="Palatino Linotype" w:eastAsia="Palatino Linotype" w:hAnsi="Palatino Linotype" w:cs="Palatino Linotype"/>
        </w:rPr>
        <w:t xml:space="preserve">Resolutions and meetings procedures for private and public companies </w:t>
      </w:r>
    </w:p>
    <w:p w:rsidR="00D36C84" w:rsidRPr="00963AB4" w:rsidRDefault="00F1180C" w:rsidP="00963AB4">
      <w:pPr>
        <w:numPr>
          <w:ilvl w:val="0"/>
          <w:numId w:val="6"/>
        </w:numPr>
        <w:spacing w:after="26" w:line="249" w:lineRule="auto"/>
        <w:ind w:hanging="360"/>
        <w:jc w:val="both"/>
        <w:rPr>
          <w:rFonts w:ascii="Palatino Linotype" w:eastAsia="Palatino Linotype" w:hAnsi="Palatino Linotype" w:cs="Palatino Linotype"/>
        </w:rPr>
      </w:pPr>
      <w:r>
        <w:rPr>
          <w:rFonts w:ascii="Palatino Linotype" w:eastAsia="Palatino Linotype" w:hAnsi="Palatino Linotype" w:cs="Palatino Linotype"/>
        </w:rPr>
        <w:t>Share capital- classes of shares, process of creation, subdivision or consolidation, allotment, disclosure of be</w:t>
      </w:r>
      <w:r w:rsidR="00963AB4">
        <w:rPr>
          <w:rFonts w:ascii="Palatino Linotype" w:eastAsia="Palatino Linotype" w:hAnsi="Palatino Linotype" w:cs="Palatino Linotype"/>
        </w:rPr>
        <w:t xml:space="preserve">neficial interest and transfer, </w:t>
      </w:r>
      <w:r w:rsidR="00963AB4" w:rsidRPr="00963AB4">
        <w:rPr>
          <w:rFonts w:ascii="Palatino Linotype" w:eastAsia="Palatino Linotype" w:hAnsi="Palatino Linotype" w:cs="Palatino Linotype"/>
        </w:rPr>
        <w:t xml:space="preserve">Shareholder agreements </w:t>
      </w:r>
    </w:p>
    <w:p w:rsidR="00963AB4" w:rsidRPr="00963AB4" w:rsidRDefault="00F1180C">
      <w:pPr>
        <w:numPr>
          <w:ilvl w:val="0"/>
          <w:numId w:val="6"/>
        </w:numPr>
        <w:spacing w:after="26" w:line="249" w:lineRule="auto"/>
        <w:ind w:hanging="360"/>
        <w:jc w:val="both"/>
      </w:pPr>
      <w:r>
        <w:rPr>
          <w:rFonts w:ascii="Palatino Linotype" w:eastAsia="Palatino Linotype" w:hAnsi="Palatino Linotype" w:cs="Palatino Linotype"/>
        </w:rPr>
        <w:t>Common company charges and registration procedure</w:t>
      </w:r>
    </w:p>
    <w:p w:rsidR="00D36C84" w:rsidRDefault="00963AB4">
      <w:pPr>
        <w:numPr>
          <w:ilvl w:val="0"/>
          <w:numId w:val="6"/>
        </w:numPr>
        <w:spacing w:after="26" w:line="249" w:lineRule="auto"/>
        <w:ind w:hanging="360"/>
        <w:jc w:val="both"/>
      </w:pPr>
      <w:r>
        <w:rPr>
          <w:rFonts w:ascii="Palatino Linotype" w:eastAsia="Palatino Linotype" w:hAnsi="Palatino Linotype" w:cs="Palatino Linotype"/>
        </w:rPr>
        <w:t>Beneficial Ownership</w:t>
      </w:r>
      <w:r w:rsidR="00F1180C">
        <w:rPr>
          <w:rFonts w:ascii="Palatino Linotype" w:eastAsia="Palatino Linotype" w:hAnsi="Palatino Linotype" w:cs="Palatino Linotype"/>
        </w:rPr>
        <w:t xml:space="preserve">  </w:t>
      </w:r>
    </w:p>
    <w:p w:rsidR="00D36C84" w:rsidRDefault="00F1180C">
      <w:pPr>
        <w:spacing w:after="0"/>
        <w:ind w:left="720"/>
      </w:pPr>
      <w:r>
        <w:rPr>
          <w:rFonts w:ascii="Palatino Linotype" w:eastAsia="Palatino Linotype" w:hAnsi="Palatino Linotype" w:cs="Palatino Linotype"/>
        </w:rPr>
        <w:t xml:space="preserve"> </w:t>
      </w:r>
    </w:p>
    <w:p w:rsidR="00D36C84" w:rsidRDefault="00F1180C">
      <w:pPr>
        <w:pStyle w:val="Heading2"/>
        <w:ind w:left="730"/>
      </w:pPr>
      <w:r>
        <w:t xml:space="preserve">PARTNERSHIPS </w:t>
      </w:r>
    </w:p>
    <w:p w:rsidR="00D36C84" w:rsidRDefault="00F1180C">
      <w:pPr>
        <w:numPr>
          <w:ilvl w:val="0"/>
          <w:numId w:val="7"/>
        </w:numPr>
        <w:spacing w:after="62" w:line="249" w:lineRule="auto"/>
        <w:ind w:hanging="360"/>
        <w:jc w:val="both"/>
      </w:pPr>
      <w:r>
        <w:rPr>
          <w:rFonts w:ascii="Palatino Linotype" w:eastAsia="Palatino Linotype" w:hAnsi="Palatino Linotype" w:cs="Palatino Linotype"/>
        </w:rPr>
        <w:t xml:space="preserve">Forms of partnerships (sole proprietor, partnership and LLP) and manner of incorporation </w:t>
      </w:r>
    </w:p>
    <w:p w:rsidR="00D36C84" w:rsidRDefault="00F1180C">
      <w:pPr>
        <w:numPr>
          <w:ilvl w:val="0"/>
          <w:numId w:val="7"/>
        </w:numPr>
        <w:spacing w:after="66" w:line="249" w:lineRule="auto"/>
        <w:ind w:hanging="360"/>
        <w:jc w:val="both"/>
      </w:pPr>
      <w:r>
        <w:rPr>
          <w:rFonts w:ascii="Palatino Linotype" w:eastAsia="Palatino Linotype" w:hAnsi="Palatino Linotype" w:cs="Palatino Linotype"/>
        </w:rPr>
        <w:t xml:space="preserve">Statutory compliance and common returns </w:t>
      </w:r>
    </w:p>
    <w:p w:rsidR="00D36C84" w:rsidRDefault="00F1180C">
      <w:pPr>
        <w:numPr>
          <w:ilvl w:val="0"/>
          <w:numId w:val="7"/>
        </w:numPr>
        <w:spacing w:after="50" w:line="249" w:lineRule="auto"/>
        <w:ind w:hanging="360"/>
        <w:jc w:val="both"/>
      </w:pPr>
      <w:r>
        <w:rPr>
          <w:rFonts w:ascii="Palatino Linotype" w:eastAsia="Palatino Linotype" w:hAnsi="Palatino Linotype" w:cs="Palatino Linotype"/>
        </w:rPr>
        <w:t xml:space="preserve">Partnership dissolution </w:t>
      </w:r>
    </w:p>
    <w:p w:rsidR="00D36C84" w:rsidRDefault="00F1180C">
      <w:pPr>
        <w:spacing w:after="0"/>
        <w:ind w:left="230"/>
      </w:pPr>
      <w:r>
        <w:rPr>
          <w:rFonts w:ascii="Arial" w:eastAsia="Arial" w:hAnsi="Arial" w:cs="Arial"/>
        </w:rPr>
        <w:t xml:space="preserve"> </w:t>
      </w:r>
      <w:r>
        <w:rPr>
          <w:rFonts w:ascii="Arial" w:eastAsia="Arial" w:hAnsi="Arial" w:cs="Arial"/>
        </w:rPr>
        <w:tab/>
      </w:r>
      <w:r>
        <w:rPr>
          <w:rFonts w:ascii="Palatino Linotype" w:eastAsia="Palatino Linotype" w:hAnsi="Palatino Linotype" w:cs="Palatino Linotype"/>
        </w:rPr>
        <w:t xml:space="preserve"> </w:t>
      </w:r>
    </w:p>
    <w:p w:rsidR="00D36C84" w:rsidRDefault="00F1180C">
      <w:pPr>
        <w:spacing w:after="0"/>
      </w:pPr>
      <w:r>
        <w:rPr>
          <w:rFonts w:ascii="Palatino Linotype" w:eastAsia="Palatino Linotype" w:hAnsi="Palatino Linotype" w:cs="Palatino Linotype"/>
        </w:rPr>
        <w:t xml:space="preserve"> </w:t>
      </w:r>
    </w:p>
    <w:p w:rsidR="00D36C84" w:rsidRDefault="00F1180C">
      <w:pPr>
        <w:pStyle w:val="Heading2"/>
        <w:ind w:left="-5"/>
      </w:pPr>
      <w:r>
        <w:t>2.</w:t>
      </w:r>
      <w:r>
        <w:rPr>
          <w:rFonts w:ascii="Arial" w:eastAsia="Arial" w:hAnsi="Arial" w:cs="Arial"/>
        </w:rPr>
        <w:t xml:space="preserve"> </w:t>
      </w:r>
      <w:r>
        <w:t xml:space="preserve">MERGERS AND ACQUISITIONS </w:t>
      </w:r>
    </w:p>
    <w:p w:rsidR="00D36C84" w:rsidRDefault="00F1180C">
      <w:pPr>
        <w:numPr>
          <w:ilvl w:val="0"/>
          <w:numId w:val="8"/>
        </w:numPr>
        <w:spacing w:after="26" w:line="249" w:lineRule="auto"/>
        <w:ind w:hanging="348"/>
        <w:jc w:val="both"/>
      </w:pPr>
      <w:r>
        <w:rPr>
          <w:rFonts w:ascii="Palatino Linotype" w:eastAsia="Palatino Linotype" w:hAnsi="Palatino Linotype" w:cs="Palatino Linotype"/>
        </w:rPr>
        <w:t xml:space="preserve">Term sheet, exclusivity and confidentiality agreements </w:t>
      </w:r>
    </w:p>
    <w:p w:rsidR="00D36C84" w:rsidRDefault="00F1180C">
      <w:pPr>
        <w:numPr>
          <w:ilvl w:val="0"/>
          <w:numId w:val="8"/>
        </w:numPr>
        <w:spacing w:after="26" w:line="249" w:lineRule="auto"/>
        <w:ind w:hanging="348"/>
        <w:jc w:val="both"/>
      </w:pPr>
      <w:r>
        <w:rPr>
          <w:rFonts w:ascii="Palatino Linotype" w:eastAsia="Palatino Linotype" w:hAnsi="Palatino Linotype" w:cs="Palatino Linotype"/>
        </w:rPr>
        <w:t xml:space="preserve">Legal due diligence (questionnaire preparation, key areas to be checked, and due diligence report) </w:t>
      </w:r>
    </w:p>
    <w:p w:rsidR="00D36C84" w:rsidRDefault="00F1180C">
      <w:pPr>
        <w:numPr>
          <w:ilvl w:val="0"/>
          <w:numId w:val="8"/>
        </w:numPr>
        <w:spacing w:after="26" w:line="249" w:lineRule="auto"/>
        <w:ind w:hanging="348"/>
        <w:jc w:val="both"/>
      </w:pPr>
      <w:r>
        <w:rPr>
          <w:rFonts w:ascii="Palatino Linotype" w:eastAsia="Palatino Linotype" w:hAnsi="Palatino Linotype" w:cs="Palatino Linotype"/>
        </w:rPr>
        <w:t xml:space="preserve">Disclosure and disclosure letter </w:t>
      </w:r>
    </w:p>
    <w:p w:rsidR="00D36C84" w:rsidRDefault="00F1180C">
      <w:pPr>
        <w:numPr>
          <w:ilvl w:val="0"/>
          <w:numId w:val="8"/>
        </w:numPr>
        <w:spacing w:after="26" w:line="249" w:lineRule="auto"/>
        <w:ind w:hanging="348"/>
        <w:jc w:val="both"/>
      </w:pPr>
      <w:r>
        <w:rPr>
          <w:rFonts w:ascii="Palatino Linotype" w:eastAsia="Palatino Linotype" w:hAnsi="Palatino Linotype" w:cs="Palatino Linotype"/>
        </w:rPr>
        <w:lastRenderedPageBreak/>
        <w:t xml:space="preserve">Asset or share purchase- key considerations </w:t>
      </w:r>
    </w:p>
    <w:p w:rsidR="00D36C84" w:rsidRDefault="00F1180C">
      <w:pPr>
        <w:numPr>
          <w:ilvl w:val="0"/>
          <w:numId w:val="8"/>
        </w:numPr>
        <w:spacing w:after="26" w:line="249" w:lineRule="auto"/>
        <w:ind w:hanging="348"/>
        <w:jc w:val="both"/>
      </w:pPr>
      <w:r>
        <w:rPr>
          <w:rFonts w:ascii="Palatino Linotype" w:eastAsia="Palatino Linotype" w:hAnsi="Palatino Linotype" w:cs="Palatino Linotype"/>
        </w:rPr>
        <w:t xml:space="preserve">Key terms of share or asset purchase agreement (such as common conditions precedent or subsequent, warranties, indemnities, and completion) </w:t>
      </w:r>
    </w:p>
    <w:p w:rsidR="00D36C84" w:rsidRDefault="00F1180C">
      <w:pPr>
        <w:numPr>
          <w:ilvl w:val="0"/>
          <w:numId w:val="8"/>
        </w:numPr>
        <w:spacing w:after="0" w:line="249" w:lineRule="auto"/>
        <w:ind w:hanging="348"/>
        <w:jc w:val="both"/>
      </w:pPr>
      <w:r>
        <w:rPr>
          <w:rFonts w:ascii="Palatino Linotype" w:eastAsia="Palatino Linotype" w:hAnsi="Palatino Linotype" w:cs="Palatino Linotype"/>
        </w:rPr>
        <w:t xml:space="preserve">Notifiable and non-notifiable mergers (Kenya and COMESA) and prescribed forms in Kenya such the merger notification form and confidentiality claim form </w:t>
      </w:r>
    </w:p>
    <w:p w:rsidR="00D36C84" w:rsidRDefault="00F1180C">
      <w:pPr>
        <w:spacing w:after="0"/>
      </w:pPr>
      <w:r>
        <w:rPr>
          <w:rFonts w:ascii="Palatino Linotype" w:eastAsia="Palatino Linotype" w:hAnsi="Palatino Linotype" w:cs="Palatino Linotype"/>
          <w:b/>
        </w:rPr>
        <w:t xml:space="preserve"> </w:t>
      </w:r>
    </w:p>
    <w:p w:rsidR="00D36C84" w:rsidRDefault="00F1180C">
      <w:pPr>
        <w:spacing w:after="162" w:line="250" w:lineRule="auto"/>
        <w:ind w:left="-5" w:hanging="10"/>
      </w:pPr>
      <w:r>
        <w:rPr>
          <w:rFonts w:ascii="Palatino Linotype" w:eastAsia="Palatino Linotype" w:hAnsi="Palatino Linotype" w:cs="Palatino Linotype"/>
          <w:b/>
        </w:rPr>
        <w:t>3.</w:t>
      </w:r>
      <w:r>
        <w:rPr>
          <w:rFonts w:ascii="Arial" w:eastAsia="Arial" w:hAnsi="Arial" w:cs="Arial"/>
          <w:b/>
        </w:rPr>
        <w:t xml:space="preserve"> </w:t>
      </w:r>
      <w:r>
        <w:rPr>
          <w:rFonts w:ascii="Palatino Linotype" w:eastAsia="Palatino Linotype" w:hAnsi="Palatino Linotype" w:cs="Palatino Linotype"/>
          <w:b/>
        </w:rPr>
        <w:t xml:space="preserve">INSOLVENCY PROCEDURES </w:t>
      </w:r>
    </w:p>
    <w:p w:rsidR="00D36C84" w:rsidRDefault="00F1180C">
      <w:pPr>
        <w:pStyle w:val="Heading2"/>
        <w:ind w:left="-5"/>
      </w:pPr>
      <w:r>
        <w:t xml:space="preserve">BANKRUPTCY </w:t>
      </w:r>
    </w:p>
    <w:p w:rsidR="00D36C84" w:rsidRDefault="00F1180C">
      <w:pPr>
        <w:numPr>
          <w:ilvl w:val="0"/>
          <w:numId w:val="9"/>
        </w:numPr>
        <w:spacing w:after="26" w:line="249" w:lineRule="auto"/>
        <w:ind w:hanging="360"/>
        <w:jc w:val="both"/>
      </w:pPr>
      <w:r>
        <w:rPr>
          <w:rFonts w:ascii="Palatino Linotype" w:eastAsia="Palatino Linotype" w:hAnsi="Palatino Linotype" w:cs="Palatino Linotype"/>
        </w:rPr>
        <w:t xml:space="preserve">Debtors application </w:t>
      </w:r>
    </w:p>
    <w:p w:rsidR="00D36C84" w:rsidRDefault="00F1180C">
      <w:pPr>
        <w:numPr>
          <w:ilvl w:val="0"/>
          <w:numId w:val="9"/>
        </w:numPr>
        <w:spacing w:after="26" w:line="249" w:lineRule="auto"/>
        <w:ind w:hanging="360"/>
        <w:jc w:val="both"/>
      </w:pPr>
      <w:r>
        <w:rPr>
          <w:rFonts w:ascii="Palatino Linotype" w:eastAsia="Palatino Linotype" w:hAnsi="Palatino Linotype" w:cs="Palatino Linotype"/>
        </w:rPr>
        <w:t xml:space="preserve">Creditors application </w:t>
      </w:r>
    </w:p>
    <w:p w:rsidR="00D36C84" w:rsidRDefault="00F1180C">
      <w:pPr>
        <w:numPr>
          <w:ilvl w:val="0"/>
          <w:numId w:val="9"/>
        </w:numPr>
        <w:spacing w:after="26" w:line="249" w:lineRule="auto"/>
        <w:ind w:hanging="360"/>
        <w:jc w:val="both"/>
      </w:pPr>
      <w:r>
        <w:rPr>
          <w:rFonts w:ascii="Palatino Linotype" w:eastAsia="Palatino Linotype" w:hAnsi="Palatino Linotype" w:cs="Palatino Linotype"/>
        </w:rPr>
        <w:t xml:space="preserve">Discharge from bankruptcy </w:t>
      </w:r>
    </w:p>
    <w:p w:rsidR="00D36C84" w:rsidRDefault="00F1180C">
      <w:pPr>
        <w:numPr>
          <w:ilvl w:val="0"/>
          <w:numId w:val="9"/>
        </w:numPr>
        <w:spacing w:after="26" w:line="249" w:lineRule="auto"/>
        <w:ind w:hanging="360"/>
        <w:jc w:val="both"/>
      </w:pPr>
      <w:r>
        <w:rPr>
          <w:rFonts w:ascii="Palatino Linotype" w:eastAsia="Palatino Linotype" w:hAnsi="Palatino Linotype" w:cs="Palatino Linotype"/>
        </w:rPr>
        <w:t xml:space="preserve">Alternatives </w:t>
      </w:r>
    </w:p>
    <w:p w:rsidR="00D36C84" w:rsidRDefault="00F1180C">
      <w:pPr>
        <w:numPr>
          <w:ilvl w:val="1"/>
          <w:numId w:val="9"/>
        </w:numPr>
        <w:spacing w:after="26" w:line="249" w:lineRule="auto"/>
        <w:ind w:hanging="360"/>
        <w:jc w:val="both"/>
      </w:pPr>
      <w:r>
        <w:rPr>
          <w:rFonts w:ascii="Palatino Linotype" w:eastAsia="Palatino Linotype" w:hAnsi="Palatino Linotype" w:cs="Palatino Linotype"/>
        </w:rPr>
        <w:t xml:space="preserve">Voluntary arrangement </w:t>
      </w:r>
    </w:p>
    <w:p w:rsidR="00D36C84" w:rsidRDefault="00F1180C">
      <w:pPr>
        <w:numPr>
          <w:ilvl w:val="1"/>
          <w:numId w:val="9"/>
        </w:numPr>
        <w:spacing w:after="26" w:line="249" w:lineRule="auto"/>
        <w:ind w:hanging="360"/>
        <w:jc w:val="both"/>
      </w:pPr>
      <w:r>
        <w:rPr>
          <w:rFonts w:ascii="Palatino Linotype" w:eastAsia="Palatino Linotype" w:hAnsi="Palatino Linotype" w:cs="Palatino Linotype"/>
        </w:rPr>
        <w:t xml:space="preserve">Instalment order </w:t>
      </w:r>
    </w:p>
    <w:p w:rsidR="00D36C84" w:rsidRDefault="00963AB4" w:rsidP="00963AB4">
      <w:pPr>
        <w:numPr>
          <w:ilvl w:val="1"/>
          <w:numId w:val="9"/>
        </w:numPr>
        <w:spacing w:after="26" w:line="249" w:lineRule="auto"/>
        <w:ind w:hanging="360"/>
        <w:jc w:val="both"/>
      </w:pPr>
      <w:r>
        <w:rPr>
          <w:rFonts w:ascii="Palatino Linotype" w:eastAsia="Palatino Linotype" w:hAnsi="Palatino Linotype" w:cs="Palatino Linotype"/>
        </w:rPr>
        <w:t>No asset procedure</w:t>
      </w:r>
    </w:p>
    <w:p w:rsidR="00D36C84" w:rsidRPr="00963AB4" w:rsidRDefault="00F1180C" w:rsidP="00963AB4">
      <w:pPr>
        <w:spacing w:after="0"/>
        <w:rPr>
          <w:rFonts w:ascii="Palatino Linotype" w:hAnsi="Palatino Linotype"/>
          <w:b/>
        </w:rPr>
      </w:pPr>
      <w:r w:rsidRPr="00963AB4">
        <w:rPr>
          <w:rFonts w:ascii="Palatino Linotype" w:eastAsia="Palatino Linotype" w:hAnsi="Palatino Linotype" w:cs="Palatino Linotype"/>
          <w:b/>
        </w:rPr>
        <w:t xml:space="preserve"> </w:t>
      </w:r>
      <w:r w:rsidRPr="00963AB4">
        <w:rPr>
          <w:rFonts w:ascii="Palatino Linotype" w:hAnsi="Palatino Linotype"/>
          <w:b/>
        </w:rPr>
        <w:t xml:space="preserve">CORPORATE INSOLVENCY </w:t>
      </w:r>
    </w:p>
    <w:p w:rsidR="00D36C84" w:rsidRDefault="00F1180C" w:rsidP="00963AB4">
      <w:pPr>
        <w:numPr>
          <w:ilvl w:val="0"/>
          <w:numId w:val="10"/>
        </w:numPr>
        <w:spacing w:after="0" w:line="249" w:lineRule="auto"/>
        <w:ind w:hanging="360"/>
        <w:jc w:val="both"/>
      </w:pPr>
      <w:r>
        <w:rPr>
          <w:rFonts w:ascii="Palatino Linotype" w:eastAsia="Palatino Linotype" w:hAnsi="Palatino Linotype" w:cs="Palatino Linotype"/>
        </w:rPr>
        <w:t xml:space="preserve">Liquidation </w:t>
      </w:r>
    </w:p>
    <w:p w:rsidR="00D36C84" w:rsidRDefault="00F1180C">
      <w:pPr>
        <w:numPr>
          <w:ilvl w:val="1"/>
          <w:numId w:val="10"/>
        </w:numPr>
        <w:spacing w:after="26" w:line="249" w:lineRule="auto"/>
        <w:ind w:hanging="360"/>
        <w:jc w:val="both"/>
      </w:pPr>
      <w:r>
        <w:rPr>
          <w:rFonts w:ascii="Palatino Linotype" w:eastAsia="Palatino Linotype" w:hAnsi="Palatino Linotype" w:cs="Palatino Linotype"/>
        </w:rPr>
        <w:t xml:space="preserve">Members Voluntary Liquidation vs Creditors Voluntary Liquidation </w:t>
      </w:r>
    </w:p>
    <w:p w:rsidR="00D36C84" w:rsidRDefault="00F1180C">
      <w:pPr>
        <w:numPr>
          <w:ilvl w:val="1"/>
          <w:numId w:val="10"/>
        </w:numPr>
        <w:spacing w:after="26" w:line="249" w:lineRule="auto"/>
        <w:ind w:hanging="360"/>
        <w:jc w:val="both"/>
      </w:pPr>
      <w:r>
        <w:rPr>
          <w:rFonts w:ascii="Palatino Linotype" w:eastAsia="Palatino Linotype" w:hAnsi="Palatino Linotype" w:cs="Palatino Linotype"/>
        </w:rPr>
        <w:t xml:space="preserve">Liquidation by the Court </w:t>
      </w:r>
    </w:p>
    <w:p w:rsidR="00D36C84" w:rsidRDefault="00F1180C" w:rsidP="00963AB4">
      <w:pPr>
        <w:numPr>
          <w:ilvl w:val="0"/>
          <w:numId w:val="10"/>
        </w:numPr>
        <w:spacing w:after="0" w:line="249" w:lineRule="auto"/>
        <w:ind w:hanging="360"/>
        <w:jc w:val="both"/>
      </w:pPr>
      <w:r>
        <w:rPr>
          <w:rFonts w:ascii="Palatino Linotype" w:eastAsia="Palatino Linotype" w:hAnsi="Palatino Linotype" w:cs="Palatino Linotype"/>
        </w:rPr>
        <w:t xml:space="preserve">Alternatives </w:t>
      </w:r>
    </w:p>
    <w:p w:rsidR="00D36C84" w:rsidRDefault="00F1180C" w:rsidP="00963AB4">
      <w:pPr>
        <w:numPr>
          <w:ilvl w:val="1"/>
          <w:numId w:val="10"/>
        </w:numPr>
        <w:spacing w:after="0" w:line="249" w:lineRule="auto"/>
        <w:ind w:hanging="360"/>
        <w:jc w:val="both"/>
      </w:pPr>
      <w:r>
        <w:rPr>
          <w:rFonts w:ascii="Palatino Linotype" w:eastAsia="Palatino Linotype" w:hAnsi="Palatino Linotype" w:cs="Palatino Linotype"/>
        </w:rPr>
        <w:t xml:space="preserve">Administration (appointment and termination, duties and powers of an administrator, and meetings) </w:t>
      </w:r>
    </w:p>
    <w:p w:rsidR="00D36C84" w:rsidRDefault="00F1180C" w:rsidP="00963AB4">
      <w:pPr>
        <w:numPr>
          <w:ilvl w:val="1"/>
          <w:numId w:val="10"/>
        </w:numPr>
        <w:spacing w:after="0" w:line="249" w:lineRule="auto"/>
        <w:ind w:hanging="360"/>
        <w:jc w:val="both"/>
      </w:pPr>
      <w:r>
        <w:rPr>
          <w:rFonts w:ascii="Palatino Linotype" w:eastAsia="Palatino Linotype" w:hAnsi="Palatino Linotype" w:cs="Palatino Linotype"/>
        </w:rPr>
        <w:t xml:space="preserve">Company Voluntary Arrangement (procedure, meetings, moratorium and key considerations) </w:t>
      </w:r>
    </w:p>
    <w:p w:rsidR="00D36C84" w:rsidRDefault="00F1180C">
      <w:pPr>
        <w:spacing w:after="14"/>
        <w:ind w:left="360"/>
      </w:pPr>
      <w:r>
        <w:rPr>
          <w:rFonts w:ascii="Palatino Linotype" w:eastAsia="Palatino Linotype" w:hAnsi="Palatino Linotype" w:cs="Palatino Linotype"/>
          <w:b/>
        </w:rPr>
        <w:t xml:space="preserve"> </w:t>
      </w:r>
    </w:p>
    <w:p w:rsidR="00D36C84" w:rsidRDefault="00F1180C">
      <w:pPr>
        <w:pStyle w:val="Heading2"/>
        <w:ind w:left="-5"/>
      </w:pPr>
      <w:r>
        <w:t>4.</w:t>
      </w:r>
      <w:r>
        <w:rPr>
          <w:rFonts w:ascii="Arial" w:eastAsia="Arial" w:hAnsi="Arial" w:cs="Arial"/>
        </w:rPr>
        <w:t xml:space="preserve"> </w:t>
      </w:r>
      <w:r>
        <w:t xml:space="preserve">FINANCIAL SERVICES AND PAYMENT SYSTEMS </w:t>
      </w:r>
    </w:p>
    <w:p w:rsidR="00D36C84" w:rsidRDefault="00F1180C">
      <w:pPr>
        <w:numPr>
          <w:ilvl w:val="0"/>
          <w:numId w:val="11"/>
        </w:numPr>
        <w:spacing w:after="26" w:line="249" w:lineRule="auto"/>
        <w:ind w:hanging="360"/>
        <w:jc w:val="both"/>
      </w:pPr>
      <w:r>
        <w:rPr>
          <w:rFonts w:ascii="Palatino Linotype" w:eastAsia="Palatino Linotype" w:hAnsi="Palatino Linotype" w:cs="Palatino Linotype"/>
        </w:rPr>
        <w:t xml:space="preserve">Financial service regulation and key players in relation to Digital Payments/Financial </w:t>
      </w:r>
    </w:p>
    <w:p w:rsidR="00D36C84" w:rsidRDefault="00F1180C">
      <w:pPr>
        <w:spacing w:after="26" w:line="249" w:lineRule="auto"/>
        <w:ind w:left="730" w:hanging="10"/>
        <w:jc w:val="both"/>
      </w:pPr>
      <w:r>
        <w:rPr>
          <w:rFonts w:ascii="Palatino Linotype" w:eastAsia="Palatino Linotype" w:hAnsi="Palatino Linotype" w:cs="Palatino Linotype"/>
        </w:rPr>
        <w:t xml:space="preserve">Services (establishing the ecosystem) </w:t>
      </w:r>
    </w:p>
    <w:p w:rsidR="00D36C84" w:rsidRDefault="00F1180C">
      <w:pPr>
        <w:numPr>
          <w:ilvl w:val="0"/>
          <w:numId w:val="11"/>
        </w:numPr>
        <w:spacing w:after="26" w:line="249" w:lineRule="auto"/>
        <w:ind w:hanging="360"/>
        <w:jc w:val="both"/>
      </w:pPr>
      <w:r>
        <w:rPr>
          <w:rFonts w:ascii="Palatino Linotype" w:eastAsia="Palatino Linotype" w:hAnsi="Palatino Linotype" w:cs="Palatino Linotype"/>
        </w:rPr>
        <w:t xml:space="preserve">National Payments Systems Act in relation to digital and other payments </w:t>
      </w:r>
    </w:p>
    <w:p w:rsidR="00D36C84" w:rsidRDefault="00F1180C">
      <w:pPr>
        <w:numPr>
          <w:ilvl w:val="0"/>
          <w:numId w:val="11"/>
        </w:numPr>
        <w:spacing w:after="220" w:line="249" w:lineRule="auto"/>
        <w:ind w:hanging="360"/>
        <w:jc w:val="both"/>
      </w:pPr>
      <w:r>
        <w:rPr>
          <w:rFonts w:ascii="Palatino Linotype" w:eastAsia="Palatino Linotype" w:hAnsi="Palatino Linotype" w:cs="Palatino Linotype"/>
        </w:rPr>
        <w:t xml:space="preserve">Protection of personal data and other consumer information </w:t>
      </w:r>
    </w:p>
    <w:p w:rsidR="00D36C84" w:rsidRDefault="00F1180C">
      <w:pPr>
        <w:pStyle w:val="Heading2"/>
        <w:spacing w:after="47"/>
        <w:ind w:left="-5"/>
      </w:pPr>
      <w:r>
        <w:t>5.</w:t>
      </w:r>
      <w:r>
        <w:rPr>
          <w:rFonts w:ascii="Arial" w:eastAsia="Arial" w:hAnsi="Arial" w:cs="Arial"/>
        </w:rPr>
        <w:t xml:space="preserve"> </w:t>
      </w:r>
      <w:r>
        <w:t xml:space="preserve">COMMERCIAL AGREEMENTS </w:t>
      </w:r>
    </w:p>
    <w:p w:rsidR="00D36C84" w:rsidRPr="00963AB4" w:rsidRDefault="00F1180C" w:rsidP="00963AB4">
      <w:pPr>
        <w:spacing w:after="71" w:line="250" w:lineRule="auto"/>
        <w:rPr>
          <w:rFonts w:ascii="Palatino Linotype" w:hAnsi="Palatino Linotype"/>
        </w:rPr>
      </w:pPr>
      <w:r w:rsidRPr="00963AB4">
        <w:rPr>
          <w:rFonts w:ascii="Palatino Linotype" w:eastAsia="Palatino Linotype" w:hAnsi="Palatino Linotype" w:cs="Palatino Linotype"/>
        </w:rPr>
        <w:t xml:space="preserve">Key provisions and common issues relating to the following types of commercial arrangements </w:t>
      </w:r>
    </w:p>
    <w:p w:rsidR="00D36C84" w:rsidRPr="00963AB4" w:rsidRDefault="00F1180C" w:rsidP="00963AB4">
      <w:pPr>
        <w:numPr>
          <w:ilvl w:val="0"/>
          <w:numId w:val="17"/>
        </w:numPr>
        <w:spacing w:after="71" w:line="250" w:lineRule="auto"/>
        <w:ind w:hanging="360"/>
        <w:rPr>
          <w:rFonts w:ascii="Palatino Linotype" w:hAnsi="Palatino Linotype"/>
        </w:rPr>
      </w:pPr>
      <w:r w:rsidRPr="00963AB4">
        <w:rPr>
          <w:rFonts w:ascii="Palatino Linotype" w:eastAsia="Palatino Linotype" w:hAnsi="Palatino Linotype" w:cs="Palatino Linotype"/>
        </w:rPr>
        <w:t xml:space="preserve">Joint venture  </w:t>
      </w:r>
    </w:p>
    <w:p w:rsidR="00D36C84" w:rsidRPr="00963AB4" w:rsidRDefault="00F1180C" w:rsidP="00963AB4">
      <w:pPr>
        <w:numPr>
          <w:ilvl w:val="0"/>
          <w:numId w:val="17"/>
        </w:numPr>
        <w:spacing w:after="71" w:line="250" w:lineRule="auto"/>
        <w:ind w:hanging="360"/>
        <w:rPr>
          <w:rFonts w:ascii="Palatino Linotype" w:hAnsi="Palatino Linotype"/>
        </w:rPr>
      </w:pPr>
      <w:r w:rsidRPr="00963AB4">
        <w:rPr>
          <w:rFonts w:ascii="Palatino Linotype" w:eastAsia="Palatino Linotype" w:hAnsi="Palatino Linotype" w:cs="Palatino Linotype"/>
        </w:rPr>
        <w:t xml:space="preserve">Distributorship </w:t>
      </w:r>
    </w:p>
    <w:p w:rsidR="00D36C84" w:rsidRPr="00963AB4" w:rsidRDefault="00F1180C" w:rsidP="00963AB4">
      <w:pPr>
        <w:numPr>
          <w:ilvl w:val="0"/>
          <w:numId w:val="17"/>
        </w:numPr>
        <w:spacing w:after="71" w:line="250" w:lineRule="auto"/>
        <w:ind w:hanging="360"/>
        <w:rPr>
          <w:rFonts w:ascii="Palatino Linotype" w:hAnsi="Palatino Linotype"/>
        </w:rPr>
      </w:pPr>
      <w:r w:rsidRPr="00963AB4">
        <w:rPr>
          <w:rFonts w:ascii="Palatino Linotype" w:eastAsia="Palatino Linotype" w:hAnsi="Palatino Linotype" w:cs="Palatino Linotype"/>
        </w:rPr>
        <w:t xml:space="preserve">Franchise  </w:t>
      </w:r>
    </w:p>
    <w:p w:rsidR="00D36C84" w:rsidRPr="00963AB4" w:rsidRDefault="00F1180C" w:rsidP="00963AB4">
      <w:pPr>
        <w:numPr>
          <w:ilvl w:val="0"/>
          <w:numId w:val="17"/>
        </w:numPr>
        <w:spacing w:after="71" w:line="250" w:lineRule="auto"/>
        <w:ind w:hanging="360"/>
        <w:rPr>
          <w:rFonts w:ascii="Palatino Linotype" w:hAnsi="Palatino Linotype"/>
        </w:rPr>
      </w:pPr>
      <w:r w:rsidRPr="00963AB4">
        <w:rPr>
          <w:rFonts w:ascii="Palatino Linotype" w:eastAsia="Palatino Linotype" w:hAnsi="Palatino Linotype" w:cs="Palatino Linotype"/>
        </w:rPr>
        <w:t xml:space="preserve">Guarantee  </w:t>
      </w:r>
    </w:p>
    <w:p w:rsidR="00D36C84" w:rsidRPr="00963AB4" w:rsidRDefault="00F1180C" w:rsidP="00963AB4">
      <w:pPr>
        <w:numPr>
          <w:ilvl w:val="0"/>
          <w:numId w:val="17"/>
        </w:numPr>
        <w:spacing w:after="71" w:line="250" w:lineRule="auto"/>
        <w:ind w:hanging="360"/>
        <w:rPr>
          <w:rFonts w:ascii="Palatino Linotype" w:hAnsi="Palatino Linotype"/>
        </w:rPr>
      </w:pPr>
      <w:r w:rsidRPr="00963AB4">
        <w:rPr>
          <w:rFonts w:ascii="Palatino Linotype" w:eastAsia="Palatino Linotype" w:hAnsi="Palatino Linotype" w:cs="Palatino Linotype"/>
        </w:rPr>
        <w:t xml:space="preserve">Trust deed </w:t>
      </w:r>
    </w:p>
    <w:p w:rsidR="00D36C84" w:rsidRDefault="00D36C84">
      <w:pPr>
        <w:spacing w:after="0"/>
        <w:ind w:left="360"/>
      </w:pPr>
    </w:p>
    <w:p w:rsidR="00D36C84" w:rsidRDefault="00F1180C">
      <w:pPr>
        <w:pStyle w:val="Heading2"/>
        <w:ind w:left="-5"/>
      </w:pPr>
      <w:r>
        <w:lastRenderedPageBreak/>
        <w:t>6.</w:t>
      </w:r>
      <w:r>
        <w:rPr>
          <w:rFonts w:ascii="Arial" w:eastAsia="Arial" w:hAnsi="Arial" w:cs="Arial"/>
        </w:rPr>
        <w:t xml:space="preserve"> </w:t>
      </w:r>
      <w:r>
        <w:t xml:space="preserve">MOVABLE PROPERTY SECURITY RIGHTS </w:t>
      </w:r>
    </w:p>
    <w:p w:rsidR="00D36C84" w:rsidRDefault="00F1180C">
      <w:pPr>
        <w:numPr>
          <w:ilvl w:val="0"/>
          <w:numId w:val="13"/>
        </w:numPr>
        <w:spacing w:after="26" w:line="249" w:lineRule="auto"/>
        <w:ind w:hanging="360"/>
        <w:jc w:val="both"/>
      </w:pPr>
      <w:r>
        <w:rPr>
          <w:rFonts w:ascii="Palatino Linotype" w:eastAsia="Palatino Linotype" w:hAnsi="Palatino Linotype" w:cs="Palatino Linotype"/>
        </w:rPr>
        <w:t xml:space="preserve">Creation of a security right </w:t>
      </w:r>
    </w:p>
    <w:p w:rsidR="00D36C84" w:rsidRDefault="00F1180C">
      <w:pPr>
        <w:numPr>
          <w:ilvl w:val="0"/>
          <w:numId w:val="13"/>
        </w:numPr>
        <w:spacing w:after="26" w:line="249" w:lineRule="auto"/>
        <w:ind w:hanging="360"/>
        <w:jc w:val="both"/>
      </w:pPr>
      <w:r>
        <w:rPr>
          <w:rFonts w:ascii="Palatino Linotype" w:eastAsia="Palatino Linotype" w:hAnsi="Palatino Linotype" w:cs="Palatino Linotype"/>
        </w:rPr>
        <w:t xml:space="preserve">Perfection of a security right </w:t>
      </w:r>
    </w:p>
    <w:p w:rsidR="00D36C84" w:rsidRDefault="00F1180C">
      <w:pPr>
        <w:numPr>
          <w:ilvl w:val="0"/>
          <w:numId w:val="13"/>
        </w:numPr>
        <w:spacing w:after="26" w:line="249" w:lineRule="auto"/>
        <w:ind w:hanging="360"/>
        <w:jc w:val="both"/>
      </w:pPr>
      <w:r>
        <w:rPr>
          <w:rFonts w:ascii="Palatino Linotype" w:eastAsia="Palatino Linotype" w:hAnsi="Palatino Linotype" w:cs="Palatino Linotype"/>
        </w:rPr>
        <w:t xml:space="preserve">Effect of registration on third parties and in relation to priorities </w:t>
      </w:r>
    </w:p>
    <w:p w:rsidR="00D36C84" w:rsidRDefault="00F1180C">
      <w:pPr>
        <w:numPr>
          <w:ilvl w:val="0"/>
          <w:numId w:val="13"/>
        </w:numPr>
        <w:spacing w:after="26" w:line="249" w:lineRule="auto"/>
        <w:ind w:hanging="360"/>
        <w:jc w:val="both"/>
      </w:pPr>
      <w:r>
        <w:rPr>
          <w:rFonts w:ascii="Palatino Linotype" w:eastAsia="Palatino Linotype" w:hAnsi="Palatino Linotype" w:cs="Palatino Linotype"/>
        </w:rPr>
        <w:t xml:space="preserve">Enforcement of a security right </w:t>
      </w:r>
    </w:p>
    <w:p w:rsidR="00D36C84" w:rsidRDefault="00F1180C">
      <w:pPr>
        <w:spacing w:after="11"/>
        <w:ind w:left="360"/>
      </w:pPr>
      <w:r>
        <w:rPr>
          <w:rFonts w:ascii="Palatino Linotype" w:eastAsia="Palatino Linotype" w:hAnsi="Palatino Linotype" w:cs="Palatino Linotype"/>
          <w:b/>
        </w:rPr>
        <w:t xml:space="preserve"> </w:t>
      </w:r>
    </w:p>
    <w:p w:rsidR="00D36C84" w:rsidRDefault="00F1180C">
      <w:pPr>
        <w:pStyle w:val="Heading2"/>
        <w:ind w:left="-5"/>
      </w:pPr>
      <w:r>
        <w:t>7.</w:t>
      </w:r>
      <w:r>
        <w:rPr>
          <w:rFonts w:ascii="Arial" w:eastAsia="Arial" w:hAnsi="Arial" w:cs="Arial"/>
        </w:rPr>
        <w:t xml:space="preserve"> </w:t>
      </w:r>
      <w:r>
        <w:t xml:space="preserve">TAX PROCEDURES IN COMMERCIAL TRANSACTIONS </w:t>
      </w:r>
    </w:p>
    <w:p w:rsidR="00D36C84" w:rsidRPr="00DF054C" w:rsidRDefault="00F1180C" w:rsidP="00DF054C">
      <w:pPr>
        <w:numPr>
          <w:ilvl w:val="0"/>
          <w:numId w:val="14"/>
        </w:numPr>
        <w:spacing w:after="49" w:line="249" w:lineRule="auto"/>
        <w:ind w:hanging="360"/>
        <w:jc w:val="both"/>
        <w:rPr>
          <w:rFonts w:ascii="Palatino Linotype" w:hAnsi="Palatino Linotype"/>
        </w:rPr>
      </w:pPr>
      <w:r w:rsidRPr="00DF054C">
        <w:rPr>
          <w:rFonts w:ascii="Palatino Linotype" w:eastAsia="Palatino Linotype" w:hAnsi="Palatino Linotype" w:cs="Palatino Linotype"/>
        </w:rPr>
        <w:t xml:space="preserve">Classification of taxes </w:t>
      </w:r>
    </w:p>
    <w:p w:rsidR="00D36C84" w:rsidRPr="00DF054C" w:rsidRDefault="00F1180C" w:rsidP="00DF054C">
      <w:pPr>
        <w:numPr>
          <w:ilvl w:val="0"/>
          <w:numId w:val="14"/>
        </w:numPr>
        <w:spacing w:after="26" w:line="250" w:lineRule="auto"/>
        <w:ind w:hanging="360"/>
        <w:jc w:val="both"/>
        <w:rPr>
          <w:rFonts w:ascii="Palatino Linotype" w:hAnsi="Palatino Linotype"/>
        </w:rPr>
      </w:pPr>
      <w:r w:rsidRPr="00DF054C">
        <w:rPr>
          <w:rFonts w:ascii="Palatino Linotype" w:eastAsia="Palatino Linotype" w:hAnsi="Palatino Linotype" w:cs="Palatino Linotype"/>
        </w:rPr>
        <w:t xml:space="preserve">Types of income and Taxation of incomes </w:t>
      </w:r>
    </w:p>
    <w:p w:rsidR="00D36C84" w:rsidRPr="00DF054C" w:rsidRDefault="00335844" w:rsidP="00DF054C">
      <w:pPr>
        <w:numPr>
          <w:ilvl w:val="0"/>
          <w:numId w:val="14"/>
        </w:numPr>
        <w:spacing w:after="26" w:line="250" w:lineRule="auto"/>
        <w:ind w:hanging="360"/>
        <w:jc w:val="both"/>
        <w:rPr>
          <w:rFonts w:ascii="Palatino Linotype" w:hAnsi="Palatino Linotype"/>
        </w:rPr>
      </w:pPr>
      <w:r w:rsidRPr="00DF054C">
        <w:rPr>
          <w:rFonts w:ascii="Palatino Linotype" w:eastAsia="Palatino Linotype" w:hAnsi="Palatino Linotype" w:cs="Palatino Linotype"/>
        </w:rPr>
        <w:t>Tax Planning, Avoidance &amp; Evasion</w:t>
      </w:r>
      <w:r w:rsidR="00963AB4">
        <w:rPr>
          <w:rFonts w:ascii="Palatino Linotype" w:eastAsia="Palatino Linotype" w:hAnsi="Palatino Linotype" w:cs="Palatino Linotype"/>
        </w:rPr>
        <w:t xml:space="preserve"> </w:t>
      </w:r>
      <w:r w:rsidR="00F1180C" w:rsidRPr="00DF054C">
        <w:rPr>
          <w:rFonts w:ascii="Palatino Linotype" w:eastAsia="Palatino Linotype" w:hAnsi="Palatino Linotype" w:cs="Palatino Linotype"/>
        </w:rPr>
        <w:t xml:space="preserve">Capital </w:t>
      </w:r>
      <w:r w:rsidR="00DF054C">
        <w:rPr>
          <w:rFonts w:ascii="Palatino Linotype" w:eastAsia="Palatino Linotype" w:hAnsi="Palatino Linotype" w:cs="Palatino Linotype"/>
        </w:rPr>
        <w:t>G</w:t>
      </w:r>
      <w:r w:rsidR="00F1180C" w:rsidRPr="00DF054C">
        <w:rPr>
          <w:rFonts w:ascii="Palatino Linotype" w:eastAsia="Palatino Linotype" w:hAnsi="Palatino Linotype" w:cs="Palatino Linotype"/>
        </w:rPr>
        <w:t xml:space="preserve">ains </w:t>
      </w:r>
      <w:r w:rsidR="00DF054C">
        <w:rPr>
          <w:rFonts w:ascii="Palatino Linotype" w:eastAsia="Palatino Linotype" w:hAnsi="Palatino Linotype" w:cs="Palatino Linotype"/>
        </w:rPr>
        <w:t>T</w:t>
      </w:r>
      <w:r w:rsidR="00F1180C" w:rsidRPr="00DF054C">
        <w:rPr>
          <w:rFonts w:ascii="Palatino Linotype" w:eastAsia="Palatino Linotype" w:hAnsi="Palatino Linotype" w:cs="Palatino Linotype"/>
        </w:rPr>
        <w:t xml:space="preserve">ax  </w:t>
      </w:r>
    </w:p>
    <w:p w:rsidR="00335844" w:rsidRPr="00DF054C" w:rsidRDefault="00335844" w:rsidP="00DF054C">
      <w:pPr>
        <w:numPr>
          <w:ilvl w:val="0"/>
          <w:numId w:val="14"/>
        </w:numPr>
        <w:spacing w:after="26" w:line="250" w:lineRule="auto"/>
        <w:ind w:hanging="360"/>
        <w:jc w:val="both"/>
        <w:rPr>
          <w:rFonts w:ascii="Palatino Linotype" w:hAnsi="Palatino Linotype"/>
        </w:rPr>
      </w:pPr>
      <w:r w:rsidRPr="00DF054C">
        <w:rPr>
          <w:rFonts w:ascii="Palatino Linotype" w:hAnsi="Palatino Linotype"/>
        </w:rPr>
        <w:t>Tax Dispute Resolution Mechanisms</w:t>
      </w:r>
      <w:r w:rsidR="00DF054C" w:rsidRPr="00DF054C">
        <w:rPr>
          <w:rFonts w:ascii="Palatino Linotype" w:hAnsi="Palatino Linotype"/>
        </w:rPr>
        <w:t xml:space="preserve"> – statutory interpretation; types and procedures of tax dispute resolution mechanisms</w:t>
      </w:r>
    </w:p>
    <w:p w:rsidR="00D36C84" w:rsidRPr="00DF054C" w:rsidRDefault="00F1180C" w:rsidP="00DF054C">
      <w:pPr>
        <w:numPr>
          <w:ilvl w:val="0"/>
          <w:numId w:val="14"/>
        </w:numPr>
        <w:spacing w:after="189" w:line="250" w:lineRule="auto"/>
        <w:ind w:hanging="360"/>
        <w:jc w:val="both"/>
        <w:rPr>
          <w:rFonts w:ascii="Palatino Linotype" w:hAnsi="Palatino Linotype"/>
        </w:rPr>
      </w:pPr>
      <w:r w:rsidRPr="00DF054C">
        <w:rPr>
          <w:rFonts w:ascii="Palatino Linotype" w:eastAsia="Palatino Linotype" w:hAnsi="Palatino Linotype" w:cs="Palatino Linotype"/>
        </w:rPr>
        <w:t xml:space="preserve">Tax </w:t>
      </w:r>
      <w:r w:rsidR="00DF054C">
        <w:rPr>
          <w:rFonts w:ascii="Palatino Linotype" w:eastAsia="Palatino Linotype" w:hAnsi="Palatino Linotype" w:cs="Palatino Linotype"/>
        </w:rPr>
        <w:t>P</w:t>
      </w:r>
      <w:r w:rsidRPr="00DF054C">
        <w:rPr>
          <w:rFonts w:ascii="Palatino Linotype" w:eastAsia="Palatino Linotype" w:hAnsi="Palatino Linotype" w:cs="Palatino Linotype"/>
        </w:rPr>
        <w:t>rocedure</w:t>
      </w:r>
      <w:r w:rsidR="00DF054C">
        <w:rPr>
          <w:rFonts w:ascii="Palatino Linotype" w:eastAsia="Palatino Linotype" w:hAnsi="Palatino Linotype" w:cs="Palatino Linotype"/>
        </w:rPr>
        <w:t>s</w:t>
      </w:r>
      <w:r w:rsidRPr="00DF054C">
        <w:rPr>
          <w:rFonts w:ascii="Palatino Linotype" w:eastAsia="Palatino Linotype" w:hAnsi="Palatino Linotype" w:cs="Palatino Linotype"/>
        </w:rPr>
        <w:t xml:space="preserve"> Act-  tax returns, assessment</w:t>
      </w:r>
      <w:r w:rsidR="00DF054C" w:rsidRPr="00DF054C">
        <w:rPr>
          <w:rFonts w:ascii="Palatino Linotype" w:eastAsia="Palatino Linotype" w:hAnsi="Palatino Linotype" w:cs="Palatino Linotype"/>
        </w:rPr>
        <w:t>, recovery and</w:t>
      </w:r>
      <w:r w:rsidRPr="00DF054C">
        <w:rPr>
          <w:rFonts w:ascii="Palatino Linotype" w:eastAsia="Palatino Linotype" w:hAnsi="Palatino Linotype" w:cs="Palatino Linotype"/>
        </w:rPr>
        <w:t xml:space="preserve"> penalties in relation to commercial transactions </w:t>
      </w:r>
    </w:p>
    <w:p w:rsidR="00D36C84" w:rsidRDefault="00F1180C">
      <w:pPr>
        <w:spacing w:after="0"/>
      </w:pPr>
      <w:r>
        <w:rPr>
          <w:rFonts w:ascii="Palatino Linotype" w:eastAsia="Palatino Linotype" w:hAnsi="Palatino Linotype" w:cs="Palatino Linotype"/>
          <w:sz w:val="24"/>
        </w:rPr>
        <w:t xml:space="preserve"> </w:t>
      </w:r>
    </w:p>
    <w:p w:rsidR="00D36C84" w:rsidRDefault="00F1180C">
      <w:pPr>
        <w:spacing w:after="0"/>
      </w:pPr>
      <w:r>
        <w:rPr>
          <w:rFonts w:ascii="Palatino Linotype" w:eastAsia="Palatino Linotype" w:hAnsi="Palatino Linotype" w:cs="Palatino Linotype"/>
          <w:sz w:val="24"/>
        </w:rPr>
        <w:t xml:space="preserve"> </w:t>
      </w:r>
    </w:p>
    <w:p w:rsidR="00D36C84" w:rsidRDefault="00F1180C">
      <w:pPr>
        <w:spacing w:after="0"/>
      </w:pPr>
      <w:r>
        <w:rPr>
          <w:rFonts w:ascii="Palatino Linotype" w:eastAsia="Palatino Linotype" w:hAnsi="Palatino Linotype" w:cs="Palatino Linotype"/>
          <w:sz w:val="24"/>
        </w:rPr>
        <w:t xml:space="preserve"> </w:t>
      </w:r>
    </w:p>
    <w:p w:rsidR="00D36C84" w:rsidRDefault="00F1180C">
      <w:pPr>
        <w:spacing w:after="0"/>
      </w:pPr>
      <w:r>
        <w:rPr>
          <w:rFonts w:ascii="Palatino Linotype" w:eastAsia="Palatino Linotype" w:hAnsi="Palatino Linotype" w:cs="Palatino Linotype"/>
          <w:sz w:val="24"/>
        </w:rPr>
        <w:t xml:space="preserve"> </w:t>
      </w:r>
    </w:p>
    <w:p w:rsidR="00D36C84" w:rsidRDefault="00F1180C">
      <w:pPr>
        <w:spacing w:after="0"/>
      </w:pPr>
      <w:r>
        <w:rPr>
          <w:rFonts w:ascii="Palatino Linotype" w:eastAsia="Palatino Linotype" w:hAnsi="Palatino Linotype" w:cs="Palatino Linotype"/>
          <w:sz w:val="24"/>
        </w:rPr>
        <w:t xml:space="preserve"> </w:t>
      </w:r>
    </w:p>
    <w:p w:rsidR="00D36C84" w:rsidRDefault="00F1180C">
      <w:pPr>
        <w:spacing w:after="5" w:line="249" w:lineRule="auto"/>
        <w:ind w:left="730" w:hanging="10"/>
      </w:pPr>
      <w:r>
        <w:rPr>
          <w:rFonts w:ascii="Palatino Linotype" w:eastAsia="Palatino Linotype" w:hAnsi="Palatino Linotype" w:cs="Palatino Linotype"/>
          <w:sz w:val="23"/>
        </w:rPr>
        <w:t xml:space="preserve"> </w:t>
      </w:r>
    </w:p>
    <w:p w:rsidR="00D36C84" w:rsidRDefault="00F1180C">
      <w:pPr>
        <w:spacing w:after="0"/>
      </w:pPr>
      <w:r>
        <w:rPr>
          <w:rFonts w:ascii="Palatino Linotype" w:eastAsia="Palatino Linotype" w:hAnsi="Palatino Linotype" w:cs="Palatino Linotype"/>
          <w:sz w:val="20"/>
        </w:rPr>
        <w:t xml:space="preserve"> </w:t>
      </w:r>
    </w:p>
    <w:sectPr w:rsidR="00D36C84">
      <w:headerReference w:type="even" r:id="rId9"/>
      <w:headerReference w:type="default" r:id="rId10"/>
      <w:footerReference w:type="even" r:id="rId11"/>
      <w:footerReference w:type="default" r:id="rId12"/>
      <w:headerReference w:type="first" r:id="rId13"/>
      <w:footerReference w:type="first" r:id="rId14"/>
      <w:pgSz w:w="12240" w:h="15840"/>
      <w:pgMar w:top="767" w:right="1436" w:bottom="1481" w:left="1440"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B3D" w:rsidRDefault="00216B3D">
      <w:pPr>
        <w:spacing w:after="0" w:line="240" w:lineRule="auto"/>
      </w:pPr>
      <w:r>
        <w:separator/>
      </w:r>
    </w:p>
  </w:endnote>
  <w:endnote w:type="continuationSeparator" w:id="0">
    <w:p w:rsidR="00216B3D" w:rsidRDefault="00216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right="2"/>
      <w:jc w:val="right"/>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9736531</wp:posOffset>
              </wp:positionV>
              <wp:extent cx="7164070" cy="18288"/>
              <wp:effectExtent l="0" t="0" r="0" b="0"/>
              <wp:wrapSquare wrapText="bothSides"/>
              <wp:docPr id="7496" name="Group 7496"/>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925" name="Shape 79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6" name="Shape 7926"/>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96" style="width:564.1pt;height:1.44pt;position:absolute;mso-position-horizontal-relative:page;mso-position-horizontal:absolute;margin-left:24pt;mso-position-vertical-relative:page;margin-top:766.656pt;" coordsize="71640,182">
              <v:shape id="Shape 7928" style="position:absolute;width:182;height:182;left:0;top:0;" coordsize="18288,18288" path="m0,0l18288,0l18288,18288l0,18288l0,0">
                <v:stroke weight="0pt" endcap="flat" joinstyle="miter" miterlimit="10" on="false" color="#000000" opacity="0"/>
                <v:fill on="true" color="#000000"/>
              </v:shape>
              <v:shape id="Shape 7929" style="position:absolute;width:71274;height:182;left:182;top:0;" coordsize="7127494,18288" path="m0,0l7127494,0l7127494,18288l0,18288l0,0">
                <v:stroke weight="0pt" endcap="flat" joinstyle="miter" miterlimit="10" on="false" color="#000000" opacity="0"/>
                <v:fill on="true" color="#000000"/>
              </v:shape>
              <v:shape id="Shape 7930"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p>
  <w:p w:rsidR="00D36C84" w:rsidRDefault="00F1180C">
    <w:pPr>
      <w:spacing w:after="0"/>
    </w:pPr>
    <w:r>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right="2"/>
      <w:jc w:val="right"/>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9736531</wp:posOffset>
              </wp:positionV>
              <wp:extent cx="7164070" cy="18288"/>
              <wp:effectExtent l="0" t="0" r="0" b="0"/>
              <wp:wrapSquare wrapText="bothSides"/>
              <wp:docPr id="7471" name="Group 7471"/>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919" name="Shape 791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71" style="width:564.1pt;height:1.44pt;position:absolute;mso-position-horizontal-relative:page;mso-position-horizontal:absolute;margin-left:24pt;mso-position-vertical-relative:page;margin-top:766.656pt;" coordsize="71640,182">
              <v:shape id="Shape 7922" style="position:absolute;width:182;height:182;left:0;top:0;" coordsize="18288,18288" path="m0,0l18288,0l18288,18288l0,18288l0,0">
                <v:stroke weight="0pt" endcap="flat" joinstyle="miter" miterlimit="10" on="false" color="#000000" opacity="0"/>
                <v:fill on="true" color="#000000"/>
              </v:shape>
              <v:shape id="Shape 7923" style="position:absolute;width:71274;height:182;left:182;top:0;" coordsize="7127494,18288" path="m0,0l7127494,0l7127494,18288l0,18288l0,0">
                <v:stroke weight="0pt" endcap="flat" joinstyle="miter" miterlimit="10" on="false" color="#000000" opacity="0"/>
                <v:fill on="true" color="#000000"/>
              </v:shape>
              <v:shape id="Shape 7924"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D03A6F" w:rsidRPr="00D03A6F">
      <w:rPr>
        <w:noProof/>
        <w:sz w:val="20"/>
      </w:rPr>
      <w:t>1</w:t>
    </w:r>
    <w:r>
      <w:rPr>
        <w:sz w:val="20"/>
      </w:rPr>
      <w:fldChar w:fldCharType="end"/>
    </w:r>
    <w:r>
      <w:rPr>
        <w:sz w:val="20"/>
      </w:rPr>
      <w:t xml:space="preserve"> </w:t>
    </w:r>
  </w:p>
  <w:p w:rsidR="00D36C84" w:rsidRDefault="00F1180C">
    <w:pPr>
      <w:spacing w:after="0"/>
    </w:pPr>
    <w:r>
      <w:rPr>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right="2"/>
      <w:jc w:val="right"/>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9736531</wp:posOffset>
              </wp:positionV>
              <wp:extent cx="7164070" cy="18288"/>
              <wp:effectExtent l="0" t="0" r="0" b="0"/>
              <wp:wrapSquare wrapText="bothSides"/>
              <wp:docPr id="7446" name="Group 7446"/>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913" name="Shape 791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4" name="Shape 7914"/>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5" name="Shape 7915"/>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46" style="width:564.1pt;height:1.44pt;position:absolute;mso-position-horizontal-relative:page;mso-position-horizontal:absolute;margin-left:24pt;mso-position-vertical-relative:page;margin-top:766.656pt;" coordsize="71640,182">
              <v:shape id="Shape 7916" style="position:absolute;width:182;height:182;left:0;top:0;" coordsize="18288,18288" path="m0,0l18288,0l18288,18288l0,18288l0,0">
                <v:stroke weight="0pt" endcap="flat" joinstyle="miter" miterlimit="10" on="false" color="#000000" opacity="0"/>
                <v:fill on="true" color="#000000"/>
              </v:shape>
              <v:shape id="Shape 7917" style="position:absolute;width:71274;height:182;left:182;top:0;" coordsize="7127494,18288" path="m0,0l7127494,0l7127494,18288l0,18288l0,0">
                <v:stroke weight="0pt" endcap="flat" joinstyle="miter" miterlimit="10" on="false" color="#000000" opacity="0"/>
                <v:fill on="true" color="#000000"/>
              </v:shape>
              <v:shape id="Shape 7918"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p>
  <w:p w:rsidR="00D36C84" w:rsidRDefault="00F1180C">
    <w:pPr>
      <w:spacing w:after="0"/>
    </w:pPr>
    <w:r>
      <w:rPr>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B3D" w:rsidRDefault="00216B3D">
      <w:pPr>
        <w:spacing w:after="0" w:line="240" w:lineRule="auto"/>
      </w:pPr>
      <w:r>
        <w:separator/>
      </w:r>
    </w:p>
  </w:footnote>
  <w:footnote w:type="continuationSeparator" w:id="0">
    <w:p w:rsidR="00216B3D" w:rsidRDefault="00216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left="-1440" w:right="10804"/>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070" cy="18288"/>
              <wp:effectExtent l="0" t="0" r="0" b="0"/>
              <wp:wrapSquare wrapText="bothSides"/>
              <wp:docPr id="7482" name="Group 7482"/>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903" name="Shape 790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4" name="Shape 7904"/>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5" name="Shape 7905"/>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82" style="width:564.1pt;height:1.44pt;position:absolute;mso-position-horizontal-relative:page;mso-position-horizontal:absolute;margin-left:24pt;mso-position-vertical-relative:page;margin-top:24pt;" coordsize="71640,182">
              <v:shape id="Shape 7906" style="position:absolute;width:182;height:182;left:0;top:0;" coordsize="18288,18288" path="m0,0l18288,0l18288,18288l0,18288l0,0">
                <v:stroke weight="0pt" endcap="flat" joinstyle="miter" miterlimit="10" on="false" color="#000000" opacity="0"/>
                <v:fill on="true" color="#000000"/>
              </v:shape>
              <v:shape id="Shape 7907" style="position:absolute;width:71274;height:182;left:182;top:0;" coordsize="7127494,18288" path="m0,0l7127494,0l7127494,18288l0,18288l0,0">
                <v:stroke weight="0pt" endcap="flat" joinstyle="miter" miterlimit="10" on="false" color="#000000" opacity="0"/>
                <v:fill on="true" color="#000000"/>
              </v:shape>
              <v:shape id="Shape 7908"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p>
  <w:p w:rsidR="00D36C84" w:rsidRDefault="00F1180C">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323038</wp:posOffset>
              </wp:positionV>
              <wp:extent cx="7164070" cy="9413494"/>
              <wp:effectExtent l="0" t="0" r="0" b="0"/>
              <wp:wrapNone/>
              <wp:docPr id="7486" name="Group 7486"/>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7909" name="Shape 7909"/>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 name="Shape 7910"/>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86" style="width:564.1pt;height:741.22pt;position:absolute;z-index:-2147483648;mso-position-horizontal-relative:page;mso-position-horizontal:absolute;margin-left:24pt;mso-position-vertical-relative:page;margin-top:25.436pt;" coordsize="71640,94134">
              <v:shape id="Shape 7911" style="position:absolute;width:182;height:94134;left:0;top:0;" coordsize="18288,9413494" path="m0,0l18288,0l18288,9413494l0,9413494l0,0">
                <v:stroke weight="0pt" endcap="flat" joinstyle="miter" miterlimit="10" on="false" color="#000000" opacity="0"/>
                <v:fill on="true" color="#000000"/>
              </v:shape>
              <v:shape id="Shape 7912" style="position:absolute;width:182;height:94134;left:71457;top:0;" coordsize="18288,9413494" path="m0,0l18288,0l18288,9413494l0,941349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left="-1440" w:right="10804"/>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070" cy="18288"/>
              <wp:effectExtent l="0" t="0" r="0" b="0"/>
              <wp:wrapSquare wrapText="bothSides"/>
              <wp:docPr id="7457" name="Group 7457"/>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893" name="Shape 789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57" style="width:564.1pt;height:1.44pt;position:absolute;mso-position-horizontal-relative:page;mso-position-horizontal:absolute;margin-left:24pt;mso-position-vertical-relative:page;margin-top:24pt;" coordsize="71640,182">
              <v:shape id="Shape 7896" style="position:absolute;width:182;height:182;left:0;top:0;" coordsize="18288,18288" path="m0,0l18288,0l18288,18288l0,18288l0,0">
                <v:stroke weight="0pt" endcap="flat" joinstyle="miter" miterlimit="10" on="false" color="#000000" opacity="0"/>
                <v:fill on="true" color="#000000"/>
              </v:shape>
              <v:shape id="Shape 7897" style="position:absolute;width:71274;height:182;left:182;top:0;" coordsize="7127494,18288" path="m0,0l7127494,0l7127494,18288l0,18288l0,0">
                <v:stroke weight="0pt" endcap="flat" joinstyle="miter" miterlimit="10" on="false" color="#000000" opacity="0"/>
                <v:fill on="true" color="#000000"/>
              </v:shape>
              <v:shape id="Shape 7898"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p>
  <w:p w:rsidR="00D36C84" w:rsidRDefault="00F1180C">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323038</wp:posOffset>
              </wp:positionV>
              <wp:extent cx="7164070" cy="9413494"/>
              <wp:effectExtent l="0" t="0" r="0" b="0"/>
              <wp:wrapNone/>
              <wp:docPr id="7461" name="Group 7461"/>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7899" name="Shape 7899"/>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0" name="Shape 7900"/>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61" style="width:564.1pt;height:741.22pt;position:absolute;z-index:-2147483648;mso-position-horizontal-relative:page;mso-position-horizontal:absolute;margin-left:24pt;mso-position-vertical-relative:page;margin-top:25.436pt;" coordsize="71640,94134">
              <v:shape id="Shape 7901" style="position:absolute;width:182;height:94134;left:0;top:0;" coordsize="18288,9413494" path="m0,0l18288,0l18288,9413494l0,9413494l0,0">
                <v:stroke weight="0pt" endcap="flat" joinstyle="miter" miterlimit="10" on="false" color="#000000" opacity="0"/>
                <v:fill on="true" color="#000000"/>
              </v:shape>
              <v:shape id="Shape 7902" style="position:absolute;width:182;height:94134;left:71457;top:0;" coordsize="18288,9413494" path="m0,0l18288,0l18288,9413494l0,941349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C84" w:rsidRDefault="00F1180C">
    <w:pPr>
      <w:spacing w:after="0"/>
      <w:ind w:left="-1440" w:right="10804"/>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070" cy="18288"/>
              <wp:effectExtent l="0" t="0" r="0" b="0"/>
              <wp:wrapSquare wrapText="bothSides"/>
              <wp:docPr id="7432" name="Group 7432"/>
              <wp:cNvGraphicFramePr/>
              <a:graphic xmlns:a="http://schemas.openxmlformats.org/drawingml/2006/main">
                <a:graphicData uri="http://schemas.microsoft.com/office/word/2010/wordprocessingGroup">
                  <wpg:wgp>
                    <wpg:cNvGrpSpPr/>
                    <wpg:grpSpPr>
                      <a:xfrm>
                        <a:off x="0" y="0"/>
                        <a:ext cx="7164070" cy="18288"/>
                        <a:chOff x="0" y="0"/>
                        <a:chExt cx="7164070" cy="18288"/>
                      </a:xfrm>
                    </wpg:grpSpPr>
                    <wps:wsp>
                      <wps:cNvPr id="7883" name="Shape 788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18288" y="0"/>
                          <a:ext cx="7127494" cy="18288"/>
                        </a:xfrm>
                        <a:custGeom>
                          <a:avLst/>
                          <a:gdLst/>
                          <a:ahLst/>
                          <a:cxnLst/>
                          <a:rect l="0" t="0" r="0" b="0"/>
                          <a:pathLst>
                            <a:path w="7127494" h="18288">
                              <a:moveTo>
                                <a:pt x="0" y="0"/>
                              </a:moveTo>
                              <a:lnTo>
                                <a:pt x="7127494" y="0"/>
                              </a:lnTo>
                              <a:lnTo>
                                <a:pt x="71274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7145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32" style="width:564.1pt;height:1.44pt;position:absolute;mso-position-horizontal-relative:page;mso-position-horizontal:absolute;margin-left:24pt;mso-position-vertical-relative:page;margin-top:24pt;" coordsize="71640,182">
              <v:shape id="Shape 7886" style="position:absolute;width:182;height:182;left:0;top:0;" coordsize="18288,18288" path="m0,0l18288,0l18288,18288l0,18288l0,0">
                <v:stroke weight="0pt" endcap="flat" joinstyle="miter" miterlimit="10" on="false" color="#000000" opacity="0"/>
                <v:fill on="true" color="#000000"/>
              </v:shape>
              <v:shape id="Shape 7887" style="position:absolute;width:71274;height:182;left:182;top:0;" coordsize="7127494,18288" path="m0,0l7127494,0l7127494,18288l0,18288l0,0">
                <v:stroke weight="0pt" endcap="flat" joinstyle="miter" miterlimit="10" on="false" color="#000000" opacity="0"/>
                <v:fill on="true" color="#000000"/>
              </v:shape>
              <v:shape id="Shape 7888" style="position:absolute;width:182;height:182;left:71457;top:0;" coordsize="18288,18288" path="m0,0l18288,0l18288,18288l0,18288l0,0">
                <v:stroke weight="0pt" endcap="flat" joinstyle="miter" miterlimit="10" on="false" color="#000000" opacity="0"/>
                <v:fill on="true" color="#000000"/>
              </v:shape>
              <w10:wrap type="square"/>
            </v:group>
          </w:pict>
        </mc:Fallback>
      </mc:AlternateContent>
    </w:r>
  </w:p>
  <w:p w:rsidR="00D36C84" w:rsidRDefault="00F1180C">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323038</wp:posOffset>
              </wp:positionV>
              <wp:extent cx="7164070" cy="9413494"/>
              <wp:effectExtent l="0" t="0" r="0" b="0"/>
              <wp:wrapNone/>
              <wp:docPr id="7436" name="Group 7436"/>
              <wp:cNvGraphicFramePr/>
              <a:graphic xmlns:a="http://schemas.openxmlformats.org/drawingml/2006/main">
                <a:graphicData uri="http://schemas.microsoft.com/office/word/2010/wordprocessingGroup">
                  <wpg:wgp>
                    <wpg:cNvGrpSpPr/>
                    <wpg:grpSpPr>
                      <a:xfrm>
                        <a:off x="0" y="0"/>
                        <a:ext cx="7164070" cy="9413494"/>
                        <a:chOff x="0" y="0"/>
                        <a:chExt cx="7164070" cy="9413494"/>
                      </a:xfrm>
                    </wpg:grpSpPr>
                    <wps:wsp>
                      <wps:cNvPr id="7889" name="Shape 7889"/>
                      <wps:cNvSpPr/>
                      <wps:spPr>
                        <a:xfrm>
                          <a:off x="0"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0" name="Shape 7890"/>
                      <wps:cNvSpPr/>
                      <wps:spPr>
                        <a:xfrm>
                          <a:off x="7145782" y="0"/>
                          <a:ext cx="18288" cy="9413494"/>
                        </a:xfrm>
                        <a:custGeom>
                          <a:avLst/>
                          <a:gdLst/>
                          <a:ahLst/>
                          <a:cxnLst/>
                          <a:rect l="0" t="0" r="0" b="0"/>
                          <a:pathLst>
                            <a:path w="18288" h="9413494">
                              <a:moveTo>
                                <a:pt x="0" y="0"/>
                              </a:moveTo>
                              <a:lnTo>
                                <a:pt x="18288" y="0"/>
                              </a:lnTo>
                              <a:lnTo>
                                <a:pt x="18288" y="9413494"/>
                              </a:lnTo>
                              <a:lnTo>
                                <a:pt x="0" y="94134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7436" style="width:564.1pt;height:741.22pt;position:absolute;z-index:-2147483648;mso-position-horizontal-relative:page;mso-position-horizontal:absolute;margin-left:24pt;mso-position-vertical-relative:page;margin-top:25.436pt;" coordsize="71640,94134">
              <v:shape id="Shape 7891" style="position:absolute;width:182;height:94134;left:0;top:0;" coordsize="18288,9413494" path="m0,0l18288,0l18288,9413494l0,9413494l0,0">
                <v:stroke weight="0pt" endcap="flat" joinstyle="miter" miterlimit="10" on="false" color="#000000" opacity="0"/>
                <v:fill on="true" color="#000000"/>
              </v:shape>
              <v:shape id="Shape 7892" style="position:absolute;width:182;height:94134;left:71457;top:0;" coordsize="18288,9413494" path="m0,0l18288,0l18288,9413494l0,941349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02C9"/>
    <w:multiLevelType w:val="hybridMultilevel"/>
    <w:tmpl w:val="3552E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A052F"/>
    <w:multiLevelType w:val="hybridMultilevel"/>
    <w:tmpl w:val="E726558C"/>
    <w:lvl w:ilvl="0" w:tplc="C9A09A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E05BE"/>
    <w:multiLevelType w:val="hybridMultilevel"/>
    <w:tmpl w:val="1758CDA0"/>
    <w:lvl w:ilvl="0" w:tplc="2778B0F6">
      <w:start w:val="1"/>
      <w:numFmt w:val="lowerLetter"/>
      <w:lvlText w:val="%1)"/>
      <w:lvlJc w:val="left"/>
      <w:pPr>
        <w:ind w:left="70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EF222D4">
      <w:start w:val="1"/>
      <w:numFmt w:val="lowerLetter"/>
      <w:lvlText w:val="%2"/>
      <w:lvlJc w:val="left"/>
      <w:pPr>
        <w:ind w:left="14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6AEA1B5C">
      <w:start w:val="1"/>
      <w:numFmt w:val="lowerRoman"/>
      <w:lvlText w:val="%3"/>
      <w:lvlJc w:val="left"/>
      <w:pPr>
        <w:ind w:left="21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A30B352">
      <w:start w:val="1"/>
      <w:numFmt w:val="decimal"/>
      <w:lvlText w:val="%4"/>
      <w:lvlJc w:val="left"/>
      <w:pPr>
        <w:ind w:left="28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9A2C156">
      <w:start w:val="1"/>
      <w:numFmt w:val="lowerLetter"/>
      <w:lvlText w:val="%5"/>
      <w:lvlJc w:val="left"/>
      <w:pPr>
        <w:ind w:left="36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B060FA5C">
      <w:start w:val="1"/>
      <w:numFmt w:val="lowerRoman"/>
      <w:lvlText w:val="%6"/>
      <w:lvlJc w:val="left"/>
      <w:pPr>
        <w:ind w:left="43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1F6AB130">
      <w:start w:val="1"/>
      <w:numFmt w:val="decimal"/>
      <w:lvlText w:val="%7"/>
      <w:lvlJc w:val="left"/>
      <w:pPr>
        <w:ind w:left="50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15907532">
      <w:start w:val="1"/>
      <w:numFmt w:val="lowerLetter"/>
      <w:lvlText w:val="%8"/>
      <w:lvlJc w:val="left"/>
      <w:pPr>
        <w:ind w:left="57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8C1A2E44">
      <w:start w:val="1"/>
      <w:numFmt w:val="lowerRoman"/>
      <w:lvlText w:val="%9"/>
      <w:lvlJc w:val="left"/>
      <w:pPr>
        <w:ind w:left="64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137C3"/>
    <w:multiLevelType w:val="hybridMultilevel"/>
    <w:tmpl w:val="C0342DC8"/>
    <w:lvl w:ilvl="0" w:tplc="B2587D02">
      <w:start w:val="1"/>
      <w:numFmt w:val="lowerRoman"/>
      <w:lvlText w:val="%1."/>
      <w:lvlJc w:val="left"/>
      <w:pPr>
        <w:ind w:left="316"/>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1" w:tplc="1CAE875A">
      <w:start w:val="1"/>
      <w:numFmt w:val="lowerLetter"/>
      <w:lvlText w:val="%2"/>
      <w:lvlJc w:val="left"/>
      <w:pPr>
        <w:ind w:left="10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2" w:tplc="18921BAC">
      <w:start w:val="1"/>
      <w:numFmt w:val="lowerRoman"/>
      <w:lvlText w:val="%3"/>
      <w:lvlJc w:val="left"/>
      <w:pPr>
        <w:ind w:left="18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3" w:tplc="12ACB97E">
      <w:start w:val="1"/>
      <w:numFmt w:val="decimal"/>
      <w:lvlText w:val="%4"/>
      <w:lvlJc w:val="left"/>
      <w:pPr>
        <w:ind w:left="25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4" w:tplc="87460874">
      <w:start w:val="1"/>
      <w:numFmt w:val="lowerLetter"/>
      <w:lvlText w:val="%5"/>
      <w:lvlJc w:val="left"/>
      <w:pPr>
        <w:ind w:left="32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5" w:tplc="CDB6687A">
      <w:start w:val="1"/>
      <w:numFmt w:val="lowerRoman"/>
      <w:lvlText w:val="%6"/>
      <w:lvlJc w:val="left"/>
      <w:pPr>
        <w:ind w:left="39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6" w:tplc="7A3EFFBE">
      <w:start w:val="1"/>
      <w:numFmt w:val="decimal"/>
      <w:lvlText w:val="%7"/>
      <w:lvlJc w:val="left"/>
      <w:pPr>
        <w:ind w:left="46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7" w:tplc="C10C6BC2">
      <w:start w:val="1"/>
      <w:numFmt w:val="lowerLetter"/>
      <w:lvlText w:val="%8"/>
      <w:lvlJc w:val="left"/>
      <w:pPr>
        <w:ind w:left="54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8" w:tplc="8E6A0CE8">
      <w:start w:val="1"/>
      <w:numFmt w:val="lowerRoman"/>
      <w:lvlText w:val="%9"/>
      <w:lvlJc w:val="left"/>
      <w:pPr>
        <w:ind w:left="61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43A73AC"/>
    <w:multiLevelType w:val="hybridMultilevel"/>
    <w:tmpl w:val="9BAA3E66"/>
    <w:lvl w:ilvl="0" w:tplc="2BF6C358">
      <w:start w:val="1"/>
      <w:numFmt w:val="lowerLetter"/>
      <w:lvlText w:val="%1)"/>
      <w:lvlJc w:val="left"/>
      <w:pPr>
        <w:ind w:left="693"/>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7D78D552">
      <w:start w:val="1"/>
      <w:numFmt w:val="lowerLetter"/>
      <w:lvlText w:val="%2"/>
      <w:lvlJc w:val="left"/>
      <w:pPr>
        <w:ind w:left="14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43D25386">
      <w:start w:val="1"/>
      <w:numFmt w:val="lowerRoman"/>
      <w:lvlText w:val="%3"/>
      <w:lvlJc w:val="left"/>
      <w:pPr>
        <w:ind w:left="21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A798F2F8">
      <w:start w:val="1"/>
      <w:numFmt w:val="decimal"/>
      <w:lvlText w:val="%4"/>
      <w:lvlJc w:val="left"/>
      <w:pPr>
        <w:ind w:left="28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A2A28F94">
      <w:start w:val="1"/>
      <w:numFmt w:val="lowerLetter"/>
      <w:lvlText w:val="%5"/>
      <w:lvlJc w:val="left"/>
      <w:pPr>
        <w:ind w:left="36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C62065C">
      <w:start w:val="1"/>
      <w:numFmt w:val="lowerRoman"/>
      <w:lvlText w:val="%6"/>
      <w:lvlJc w:val="left"/>
      <w:pPr>
        <w:ind w:left="43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372610E4">
      <w:start w:val="1"/>
      <w:numFmt w:val="decimal"/>
      <w:lvlText w:val="%7"/>
      <w:lvlJc w:val="left"/>
      <w:pPr>
        <w:ind w:left="50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7FBA7008">
      <w:start w:val="1"/>
      <w:numFmt w:val="lowerLetter"/>
      <w:lvlText w:val="%8"/>
      <w:lvlJc w:val="left"/>
      <w:pPr>
        <w:ind w:left="57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7744EBCC">
      <w:start w:val="1"/>
      <w:numFmt w:val="lowerRoman"/>
      <w:lvlText w:val="%9"/>
      <w:lvlJc w:val="left"/>
      <w:pPr>
        <w:ind w:left="64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0B5729"/>
    <w:multiLevelType w:val="hybridMultilevel"/>
    <w:tmpl w:val="0CA20F3A"/>
    <w:lvl w:ilvl="0" w:tplc="8D42810A">
      <w:start w:val="1"/>
      <w:numFmt w:val="lowerLetter"/>
      <w:lvlText w:val="%1)"/>
      <w:lvlJc w:val="left"/>
      <w:pPr>
        <w:ind w:left="7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E2F09FC0">
      <w:start w:val="1"/>
      <w:numFmt w:val="lowerLetter"/>
      <w:lvlText w:val="%2"/>
      <w:lvlJc w:val="left"/>
      <w:pPr>
        <w:ind w:left="14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0FC8C608">
      <w:start w:val="1"/>
      <w:numFmt w:val="lowerRoman"/>
      <w:lvlText w:val="%3"/>
      <w:lvlJc w:val="left"/>
      <w:pPr>
        <w:ind w:left="21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B3EE4F38">
      <w:start w:val="1"/>
      <w:numFmt w:val="decimal"/>
      <w:lvlText w:val="%4"/>
      <w:lvlJc w:val="left"/>
      <w:pPr>
        <w:ind w:left="28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9D703C26">
      <w:start w:val="1"/>
      <w:numFmt w:val="lowerLetter"/>
      <w:lvlText w:val="%5"/>
      <w:lvlJc w:val="left"/>
      <w:pPr>
        <w:ind w:left="36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D7E046D2">
      <w:start w:val="1"/>
      <w:numFmt w:val="lowerRoman"/>
      <w:lvlText w:val="%6"/>
      <w:lvlJc w:val="left"/>
      <w:pPr>
        <w:ind w:left="43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728CDD60">
      <w:start w:val="1"/>
      <w:numFmt w:val="decimal"/>
      <w:lvlText w:val="%7"/>
      <w:lvlJc w:val="left"/>
      <w:pPr>
        <w:ind w:left="50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6F50EF6E">
      <w:start w:val="1"/>
      <w:numFmt w:val="lowerLetter"/>
      <w:lvlText w:val="%8"/>
      <w:lvlJc w:val="left"/>
      <w:pPr>
        <w:ind w:left="57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2D6E292">
      <w:start w:val="1"/>
      <w:numFmt w:val="lowerRoman"/>
      <w:lvlText w:val="%9"/>
      <w:lvlJc w:val="left"/>
      <w:pPr>
        <w:ind w:left="64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9841BC"/>
    <w:multiLevelType w:val="hybridMultilevel"/>
    <w:tmpl w:val="03786FAE"/>
    <w:lvl w:ilvl="0" w:tplc="04090017">
      <w:start w:val="1"/>
      <w:numFmt w:val="lowerLetter"/>
      <w:lvlText w:val="%1)"/>
      <w:lvlJc w:val="left"/>
      <w:pPr>
        <w:ind w:left="720"/>
      </w:pPr>
      <w:rPr>
        <w:b w:val="0"/>
        <w:i w:val="0"/>
        <w:strike w:val="0"/>
        <w:dstrike w:val="0"/>
        <w:color w:val="000000"/>
        <w:sz w:val="24"/>
        <w:szCs w:val="24"/>
        <w:u w:val="none" w:color="000000"/>
        <w:bdr w:val="none" w:sz="0" w:space="0" w:color="auto"/>
        <w:shd w:val="clear" w:color="auto" w:fill="auto"/>
        <w:vertAlign w:val="baseline"/>
      </w:rPr>
    </w:lvl>
    <w:lvl w:ilvl="1" w:tplc="188AEEA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885CFA">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30C8BE">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2B06">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3064EE">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D42A0C">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AC9D20">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342E90">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B6B0F03"/>
    <w:multiLevelType w:val="hybridMultilevel"/>
    <w:tmpl w:val="2BEC7558"/>
    <w:lvl w:ilvl="0" w:tplc="1BC0E04C">
      <w:start w:val="1"/>
      <w:numFmt w:val="lowerRoman"/>
      <w:lvlText w:val="%1."/>
      <w:lvlJc w:val="left"/>
      <w:pPr>
        <w:ind w:left="316"/>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1" w:tplc="75E8C52A">
      <w:start w:val="1"/>
      <w:numFmt w:val="lowerLetter"/>
      <w:lvlText w:val="%2"/>
      <w:lvlJc w:val="left"/>
      <w:pPr>
        <w:ind w:left="10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2" w:tplc="8024823E">
      <w:start w:val="1"/>
      <w:numFmt w:val="lowerRoman"/>
      <w:lvlText w:val="%3"/>
      <w:lvlJc w:val="left"/>
      <w:pPr>
        <w:ind w:left="18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3" w:tplc="F2DEC5FA">
      <w:start w:val="1"/>
      <w:numFmt w:val="decimal"/>
      <w:lvlText w:val="%4"/>
      <w:lvlJc w:val="left"/>
      <w:pPr>
        <w:ind w:left="25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4" w:tplc="7FEC0C80">
      <w:start w:val="1"/>
      <w:numFmt w:val="lowerLetter"/>
      <w:lvlText w:val="%5"/>
      <w:lvlJc w:val="left"/>
      <w:pPr>
        <w:ind w:left="32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5" w:tplc="0B948A30">
      <w:start w:val="1"/>
      <w:numFmt w:val="lowerRoman"/>
      <w:lvlText w:val="%6"/>
      <w:lvlJc w:val="left"/>
      <w:pPr>
        <w:ind w:left="39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6" w:tplc="B7A8526E">
      <w:start w:val="1"/>
      <w:numFmt w:val="decimal"/>
      <w:lvlText w:val="%7"/>
      <w:lvlJc w:val="left"/>
      <w:pPr>
        <w:ind w:left="46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7" w:tplc="9E4C638C">
      <w:start w:val="1"/>
      <w:numFmt w:val="lowerLetter"/>
      <w:lvlText w:val="%8"/>
      <w:lvlJc w:val="left"/>
      <w:pPr>
        <w:ind w:left="54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8" w:tplc="65C00186">
      <w:start w:val="1"/>
      <w:numFmt w:val="lowerRoman"/>
      <w:lvlText w:val="%9"/>
      <w:lvlJc w:val="left"/>
      <w:pPr>
        <w:ind w:left="61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C7A3B24"/>
    <w:multiLevelType w:val="hybridMultilevel"/>
    <w:tmpl w:val="0844725C"/>
    <w:lvl w:ilvl="0" w:tplc="B7188C08">
      <w:start w:val="1"/>
      <w:numFmt w:val="lowerLetter"/>
      <w:lvlText w:val="%1)"/>
      <w:lvlJc w:val="left"/>
      <w:pPr>
        <w:ind w:left="70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ABDEF8C4">
      <w:start w:val="1"/>
      <w:numFmt w:val="lowerLetter"/>
      <w:lvlText w:val="%2"/>
      <w:lvlJc w:val="left"/>
      <w:pPr>
        <w:ind w:left="14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18688F46">
      <w:start w:val="1"/>
      <w:numFmt w:val="lowerRoman"/>
      <w:lvlText w:val="%3"/>
      <w:lvlJc w:val="left"/>
      <w:pPr>
        <w:ind w:left="21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4D8EBBC">
      <w:start w:val="1"/>
      <w:numFmt w:val="decimal"/>
      <w:lvlText w:val="%4"/>
      <w:lvlJc w:val="left"/>
      <w:pPr>
        <w:ind w:left="28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478ADE0A">
      <w:start w:val="1"/>
      <w:numFmt w:val="lowerLetter"/>
      <w:lvlText w:val="%5"/>
      <w:lvlJc w:val="left"/>
      <w:pPr>
        <w:ind w:left="36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CC8CB75E">
      <w:start w:val="1"/>
      <w:numFmt w:val="lowerRoman"/>
      <w:lvlText w:val="%6"/>
      <w:lvlJc w:val="left"/>
      <w:pPr>
        <w:ind w:left="43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24FA09AA">
      <w:start w:val="1"/>
      <w:numFmt w:val="decimal"/>
      <w:lvlText w:val="%7"/>
      <w:lvlJc w:val="left"/>
      <w:pPr>
        <w:ind w:left="50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0E9CD648">
      <w:start w:val="1"/>
      <w:numFmt w:val="lowerLetter"/>
      <w:lvlText w:val="%8"/>
      <w:lvlJc w:val="left"/>
      <w:pPr>
        <w:ind w:left="57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3EA476EE">
      <w:start w:val="1"/>
      <w:numFmt w:val="lowerRoman"/>
      <w:lvlText w:val="%9"/>
      <w:lvlJc w:val="left"/>
      <w:pPr>
        <w:ind w:left="64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77E3965"/>
    <w:multiLevelType w:val="hybridMultilevel"/>
    <w:tmpl w:val="42C020E4"/>
    <w:lvl w:ilvl="0" w:tplc="2E003FC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8AEEA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885C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30C8B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2B0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3064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D42A0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AC9D2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342E9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9375C3A"/>
    <w:multiLevelType w:val="hybridMultilevel"/>
    <w:tmpl w:val="C0A6445E"/>
    <w:lvl w:ilvl="0" w:tplc="525E3384">
      <w:start w:val="1"/>
      <w:numFmt w:val="lowerLetter"/>
      <w:lvlText w:val="%1)"/>
      <w:lvlJc w:val="left"/>
      <w:pPr>
        <w:ind w:left="70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B65A515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AE16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D468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9CD0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EA2A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0E69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C678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7403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E1878C5"/>
    <w:multiLevelType w:val="hybridMultilevel"/>
    <w:tmpl w:val="EE1C7252"/>
    <w:lvl w:ilvl="0" w:tplc="2166C91C">
      <w:start w:val="1"/>
      <w:numFmt w:val="lowerLetter"/>
      <w:lvlText w:val="%1)"/>
      <w:lvlJc w:val="left"/>
      <w:pPr>
        <w:ind w:left="705"/>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B5AB19E">
      <w:start w:val="1"/>
      <w:numFmt w:val="lowerLetter"/>
      <w:lvlText w:val="%2"/>
      <w:lvlJc w:val="left"/>
      <w:pPr>
        <w:ind w:left="14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9604B00A">
      <w:start w:val="1"/>
      <w:numFmt w:val="lowerRoman"/>
      <w:lvlText w:val="%3"/>
      <w:lvlJc w:val="left"/>
      <w:pPr>
        <w:ind w:left="21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432D00C">
      <w:start w:val="1"/>
      <w:numFmt w:val="decimal"/>
      <w:lvlText w:val="%4"/>
      <w:lvlJc w:val="left"/>
      <w:pPr>
        <w:ind w:left="28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FF0CF9DA">
      <w:start w:val="1"/>
      <w:numFmt w:val="lowerLetter"/>
      <w:lvlText w:val="%5"/>
      <w:lvlJc w:val="left"/>
      <w:pPr>
        <w:ind w:left="36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D1740CC2">
      <w:start w:val="1"/>
      <w:numFmt w:val="lowerRoman"/>
      <w:lvlText w:val="%6"/>
      <w:lvlJc w:val="left"/>
      <w:pPr>
        <w:ind w:left="43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EF54049E">
      <w:start w:val="1"/>
      <w:numFmt w:val="decimal"/>
      <w:lvlText w:val="%7"/>
      <w:lvlJc w:val="left"/>
      <w:pPr>
        <w:ind w:left="50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6270E1A2">
      <w:start w:val="1"/>
      <w:numFmt w:val="lowerLetter"/>
      <w:lvlText w:val="%8"/>
      <w:lvlJc w:val="left"/>
      <w:pPr>
        <w:ind w:left="57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A00803D6">
      <w:start w:val="1"/>
      <w:numFmt w:val="lowerRoman"/>
      <w:lvlText w:val="%9"/>
      <w:lvlJc w:val="left"/>
      <w:pPr>
        <w:ind w:left="64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FD35DD4"/>
    <w:multiLevelType w:val="hybridMultilevel"/>
    <w:tmpl w:val="C1E2AA4A"/>
    <w:lvl w:ilvl="0" w:tplc="6570D394">
      <w:start w:val="1"/>
      <w:numFmt w:val="lowerRoman"/>
      <w:lvlText w:val="%1."/>
      <w:lvlJc w:val="left"/>
      <w:pPr>
        <w:ind w:left="317"/>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1" w:tplc="83328E1E">
      <w:start w:val="1"/>
      <w:numFmt w:val="lowerLetter"/>
      <w:lvlText w:val="%2"/>
      <w:lvlJc w:val="left"/>
      <w:pPr>
        <w:ind w:left="10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2" w:tplc="8104D730">
      <w:start w:val="1"/>
      <w:numFmt w:val="lowerRoman"/>
      <w:lvlText w:val="%3"/>
      <w:lvlJc w:val="left"/>
      <w:pPr>
        <w:ind w:left="18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3" w:tplc="E236B0EA">
      <w:start w:val="1"/>
      <w:numFmt w:val="decimal"/>
      <w:lvlText w:val="%4"/>
      <w:lvlJc w:val="left"/>
      <w:pPr>
        <w:ind w:left="25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4" w:tplc="9B082C3E">
      <w:start w:val="1"/>
      <w:numFmt w:val="lowerLetter"/>
      <w:lvlText w:val="%5"/>
      <w:lvlJc w:val="left"/>
      <w:pPr>
        <w:ind w:left="32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5" w:tplc="CAB65AB8">
      <w:start w:val="1"/>
      <w:numFmt w:val="lowerRoman"/>
      <w:lvlText w:val="%6"/>
      <w:lvlJc w:val="left"/>
      <w:pPr>
        <w:ind w:left="39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6" w:tplc="B3A2BD94">
      <w:start w:val="1"/>
      <w:numFmt w:val="decimal"/>
      <w:lvlText w:val="%7"/>
      <w:lvlJc w:val="left"/>
      <w:pPr>
        <w:ind w:left="46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7" w:tplc="7F845814">
      <w:start w:val="1"/>
      <w:numFmt w:val="lowerLetter"/>
      <w:lvlText w:val="%8"/>
      <w:lvlJc w:val="left"/>
      <w:pPr>
        <w:ind w:left="54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8" w:tplc="851CF8DE">
      <w:start w:val="1"/>
      <w:numFmt w:val="lowerRoman"/>
      <w:lvlText w:val="%9"/>
      <w:lvlJc w:val="left"/>
      <w:pPr>
        <w:ind w:left="61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647530DD"/>
    <w:multiLevelType w:val="hybridMultilevel"/>
    <w:tmpl w:val="ACBC5234"/>
    <w:lvl w:ilvl="0" w:tplc="E682A43A">
      <w:start w:val="1"/>
      <w:numFmt w:val="lowerRoman"/>
      <w:lvlText w:val="%1."/>
      <w:lvlJc w:val="left"/>
      <w:pPr>
        <w:ind w:left="1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1" w:tplc="B5AAE920">
      <w:start w:val="1"/>
      <w:numFmt w:val="lowerLetter"/>
      <w:lvlText w:val="%2"/>
      <w:lvlJc w:val="left"/>
      <w:pPr>
        <w:ind w:left="10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2" w:tplc="10A04404">
      <w:start w:val="1"/>
      <w:numFmt w:val="lowerRoman"/>
      <w:lvlText w:val="%3"/>
      <w:lvlJc w:val="left"/>
      <w:pPr>
        <w:ind w:left="18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3" w:tplc="CE16DC68">
      <w:start w:val="1"/>
      <w:numFmt w:val="decimal"/>
      <w:lvlText w:val="%4"/>
      <w:lvlJc w:val="left"/>
      <w:pPr>
        <w:ind w:left="25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4" w:tplc="2C308CF2">
      <w:start w:val="1"/>
      <w:numFmt w:val="lowerLetter"/>
      <w:lvlText w:val="%5"/>
      <w:lvlJc w:val="left"/>
      <w:pPr>
        <w:ind w:left="32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5" w:tplc="C28AA2FE">
      <w:start w:val="1"/>
      <w:numFmt w:val="lowerRoman"/>
      <w:lvlText w:val="%6"/>
      <w:lvlJc w:val="left"/>
      <w:pPr>
        <w:ind w:left="39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6" w:tplc="8B0499AA">
      <w:start w:val="1"/>
      <w:numFmt w:val="decimal"/>
      <w:lvlText w:val="%7"/>
      <w:lvlJc w:val="left"/>
      <w:pPr>
        <w:ind w:left="46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7" w:tplc="8EAAA47C">
      <w:start w:val="1"/>
      <w:numFmt w:val="lowerLetter"/>
      <w:lvlText w:val="%8"/>
      <w:lvlJc w:val="left"/>
      <w:pPr>
        <w:ind w:left="54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8" w:tplc="DC4CE8D8">
      <w:start w:val="1"/>
      <w:numFmt w:val="lowerRoman"/>
      <w:lvlText w:val="%9"/>
      <w:lvlJc w:val="left"/>
      <w:pPr>
        <w:ind w:left="61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7707063"/>
    <w:multiLevelType w:val="hybridMultilevel"/>
    <w:tmpl w:val="A3CEB43A"/>
    <w:lvl w:ilvl="0" w:tplc="9C90C0DA">
      <w:start w:val="1"/>
      <w:numFmt w:val="lowerLetter"/>
      <w:lvlText w:val="%1)"/>
      <w:lvlJc w:val="left"/>
      <w:pPr>
        <w:ind w:left="70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1F6CE14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302F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52D9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AAD0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AE64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86B3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CC16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BA04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0D610FB"/>
    <w:multiLevelType w:val="hybridMultilevel"/>
    <w:tmpl w:val="37A0861E"/>
    <w:lvl w:ilvl="0" w:tplc="B9A8FC8A">
      <w:start w:val="1"/>
      <w:numFmt w:val="decimal"/>
      <w:lvlText w:val="%1."/>
      <w:lvlJc w:val="left"/>
      <w:pPr>
        <w:ind w:left="7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1" w:tplc="EC0E54E2">
      <w:start w:val="1"/>
      <w:numFmt w:val="lowerLetter"/>
      <w:lvlText w:val="%2"/>
      <w:lvlJc w:val="left"/>
      <w:pPr>
        <w:ind w:left="14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2" w:tplc="B750EF54">
      <w:start w:val="1"/>
      <w:numFmt w:val="lowerRoman"/>
      <w:lvlText w:val="%3"/>
      <w:lvlJc w:val="left"/>
      <w:pPr>
        <w:ind w:left="21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3" w:tplc="EB108236">
      <w:start w:val="1"/>
      <w:numFmt w:val="decimal"/>
      <w:lvlText w:val="%4"/>
      <w:lvlJc w:val="left"/>
      <w:pPr>
        <w:ind w:left="28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4" w:tplc="DE9ECC58">
      <w:start w:val="1"/>
      <w:numFmt w:val="lowerLetter"/>
      <w:lvlText w:val="%5"/>
      <w:lvlJc w:val="left"/>
      <w:pPr>
        <w:ind w:left="360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5" w:tplc="EAA45378">
      <w:start w:val="1"/>
      <w:numFmt w:val="lowerRoman"/>
      <w:lvlText w:val="%6"/>
      <w:lvlJc w:val="left"/>
      <w:pPr>
        <w:ind w:left="432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6" w:tplc="ADEA5D3C">
      <w:start w:val="1"/>
      <w:numFmt w:val="decimal"/>
      <w:lvlText w:val="%7"/>
      <w:lvlJc w:val="left"/>
      <w:pPr>
        <w:ind w:left="504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7" w:tplc="2976F400">
      <w:start w:val="1"/>
      <w:numFmt w:val="lowerLetter"/>
      <w:lvlText w:val="%8"/>
      <w:lvlJc w:val="left"/>
      <w:pPr>
        <w:ind w:left="576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lvl w:ilvl="8" w:tplc="6742A82E">
      <w:start w:val="1"/>
      <w:numFmt w:val="lowerRoman"/>
      <w:lvlText w:val="%9"/>
      <w:lvlJc w:val="left"/>
      <w:pPr>
        <w:ind w:left="6480"/>
      </w:pPr>
      <w:rPr>
        <w:rFonts w:ascii="Palatino Linotype" w:eastAsia="Palatino Linotype" w:hAnsi="Palatino Linotype" w:cs="Palatino Linotype"/>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76806E78"/>
    <w:multiLevelType w:val="hybridMultilevel"/>
    <w:tmpl w:val="72A0DD38"/>
    <w:lvl w:ilvl="0" w:tplc="5E28B61E">
      <w:start w:val="1"/>
      <w:numFmt w:val="lowerLetter"/>
      <w:lvlText w:val="%1)"/>
      <w:lvlJc w:val="left"/>
      <w:pPr>
        <w:ind w:left="70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0A582B90">
      <w:start w:val="1"/>
      <w:numFmt w:val="lowerLetter"/>
      <w:lvlText w:val="%2"/>
      <w:lvlJc w:val="left"/>
      <w:pPr>
        <w:ind w:left="14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B540D800">
      <w:start w:val="1"/>
      <w:numFmt w:val="lowerRoman"/>
      <w:lvlText w:val="%3"/>
      <w:lvlJc w:val="left"/>
      <w:pPr>
        <w:ind w:left="21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86C32A2">
      <w:start w:val="1"/>
      <w:numFmt w:val="decimal"/>
      <w:lvlText w:val="%4"/>
      <w:lvlJc w:val="left"/>
      <w:pPr>
        <w:ind w:left="28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E216F876">
      <w:start w:val="1"/>
      <w:numFmt w:val="lowerLetter"/>
      <w:lvlText w:val="%5"/>
      <w:lvlJc w:val="left"/>
      <w:pPr>
        <w:ind w:left="36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77D21BC8">
      <w:start w:val="1"/>
      <w:numFmt w:val="lowerRoman"/>
      <w:lvlText w:val="%6"/>
      <w:lvlJc w:val="left"/>
      <w:pPr>
        <w:ind w:left="43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46E2AC3E">
      <w:start w:val="1"/>
      <w:numFmt w:val="decimal"/>
      <w:lvlText w:val="%7"/>
      <w:lvlJc w:val="left"/>
      <w:pPr>
        <w:ind w:left="50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5AACF4E2">
      <w:start w:val="1"/>
      <w:numFmt w:val="lowerLetter"/>
      <w:lvlText w:val="%8"/>
      <w:lvlJc w:val="left"/>
      <w:pPr>
        <w:ind w:left="57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0E7E7422">
      <w:start w:val="1"/>
      <w:numFmt w:val="lowerRoman"/>
      <w:lvlText w:val="%9"/>
      <w:lvlJc w:val="left"/>
      <w:pPr>
        <w:ind w:left="64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3"/>
  </w:num>
  <w:num w:numId="3">
    <w:abstractNumId w:val="7"/>
  </w:num>
  <w:num w:numId="4">
    <w:abstractNumId w:val="12"/>
  </w:num>
  <w:num w:numId="5">
    <w:abstractNumId w:val="15"/>
  </w:num>
  <w:num w:numId="6">
    <w:abstractNumId w:val="8"/>
  </w:num>
  <w:num w:numId="7">
    <w:abstractNumId w:val="2"/>
  </w:num>
  <w:num w:numId="8">
    <w:abstractNumId w:val="4"/>
  </w:num>
  <w:num w:numId="9">
    <w:abstractNumId w:val="10"/>
  </w:num>
  <w:num w:numId="10">
    <w:abstractNumId w:val="14"/>
  </w:num>
  <w:num w:numId="11">
    <w:abstractNumId w:val="16"/>
  </w:num>
  <w:num w:numId="12">
    <w:abstractNumId w:val="9"/>
  </w:num>
  <w:num w:numId="13">
    <w:abstractNumId w:val="11"/>
  </w:num>
  <w:num w:numId="14">
    <w:abstractNumId w:val="5"/>
  </w:num>
  <w:num w:numId="15">
    <w:abstractNumId w:val="1"/>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C84"/>
    <w:rsid w:val="00216B3D"/>
    <w:rsid w:val="00335844"/>
    <w:rsid w:val="00462CE2"/>
    <w:rsid w:val="005D012D"/>
    <w:rsid w:val="00963AB4"/>
    <w:rsid w:val="00B93441"/>
    <w:rsid w:val="00D03A6F"/>
    <w:rsid w:val="00D36C84"/>
    <w:rsid w:val="00DF054C"/>
    <w:rsid w:val="00F1180C"/>
    <w:rsid w:val="00F610C3"/>
    <w:rsid w:val="00F7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9289F3-732B-4BDF-8B2D-1765C5F3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Palatino Linotype" w:eastAsia="Palatino Linotype" w:hAnsi="Palatino Linotype" w:cs="Palatino Linotype"/>
      <w:b/>
      <w:color w:val="000000"/>
      <w:sz w:val="23"/>
      <w:u w:val="single" w:color="000000"/>
    </w:rPr>
  </w:style>
  <w:style w:type="paragraph" w:styleId="Heading2">
    <w:name w:val="heading 2"/>
    <w:next w:val="Normal"/>
    <w:link w:val="Heading2Char"/>
    <w:uiPriority w:val="9"/>
    <w:unhideWhenUsed/>
    <w:qFormat/>
    <w:pPr>
      <w:keepNext/>
      <w:keepLines/>
      <w:spacing w:after="22" w:line="250" w:lineRule="auto"/>
      <w:ind w:left="10" w:hanging="10"/>
      <w:outlineLvl w:val="1"/>
    </w:pPr>
    <w:rPr>
      <w:rFonts w:ascii="Palatino Linotype" w:eastAsia="Palatino Linotype" w:hAnsi="Palatino Linotype" w:cs="Palatino Linotyp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latino Linotype" w:eastAsia="Palatino Linotype" w:hAnsi="Palatino Linotype" w:cs="Palatino Linotype"/>
      <w:b/>
      <w:color w:val="000000"/>
      <w:sz w:val="23"/>
      <w:u w:val="single" w:color="000000"/>
    </w:rPr>
  </w:style>
  <w:style w:type="character" w:customStyle="1" w:styleId="Heading2Char">
    <w:name w:val="Heading 2 Char"/>
    <w:link w:val="Heading2"/>
    <w:rPr>
      <w:rFonts w:ascii="Palatino Linotype" w:eastAsia="Palatino Linotype" w:hAnsi="Palatino Linotype" w:cs="Palatino Linotype"/>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35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4"/>
    <w:rPr>
      <w:rFonts w:ascii="Segoe UI" w:eastAsia="Calibri" w:hAnsi="Segoe UI" w:cs="Segoe UI"/>
      <w:color w:val="000000"/>
      <w:sz w:val="18"/>
      <w:szCs w:val="18"/>
    </w:rPr>
  </w:style>
  <w:style w:type="paragraph" w:styleId="ListParagraph">
    <w:name w:val="List Paragraph"/>
    <w:basedOn w:val="Normal"/>
    <w:uiPriority w:val="34"/>
    <w:qFormat/>
    <w:rsid w:val="00462CE2"/>
    <w:pPr>
      <w:ind w:left="720"/>
      <w:contextualSpacing/>
    </w:pPr>
  </w:style>
  <w:style w:type="paragraph" w:styleId="Revision">
    <w:name w:val="Revision"/>
    <w:hidden/>
    <w:uiPriority w:val="99"/>
    <w:semiHidden/>
    <w:rsid w:val="00963AB4"/>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20D90-5436-4398-A64E-84B98BA66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cp:lastModifiedBy>Fredd Wakimani</cp:lastModifiedBy>
  <cp:revision>2</cp:revision>
  <dcterms:created xsi:type="dcterms:W3CDTF">2022-03-30T07:53:00Z</dcterms:created>
  <dcterms:modified xsi:type="dcterms:W3CDTF">2022-03-30T07:53:00Z</dcterms:modified>
</cp:coreProperties>
</file>