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D414DD" w14:textId="134054E1" w:rsidR="00AC21AE" w:rsidRDefault="004F4B9E">
      <w:pPr>
        <w:rPr>
          <w:rFonts w:ascii="Times New Roman" w:hAnsi="Times New Roman" w:cs="Times New Roman"/>
          <w:b/>
          <w:sz w:val="24"/>
          <w:szCs w:val="24"/>
        </w:rPr>
      </w:pPr>
      <w:r>
        <w:rPr>
          <w:rFonts w:ascii="Times New Roman" w:hAnsi="Times New Roman" w:cs="Times New Roman"/>
          <w:b/>
          <w:sz w:val="24"/>
          <w:szCs w:val="24"/>
        </w:rPr>
        <w:t>Advice PESA MINGI Bank on how they can finance Jesse.</w:t>
      </w:r>
    </w:p>
    <w:p w14:paraId="2604E95F" w14:textId="2E3115A8" w:rsidR="004F4B9E" w:rsidRDefault="003D4BF8" w:rsidP="004D4EB2">
      <w:pPr>
        <w:spacing w:line="360" w:lineRule="auto"/>
        <w:rPr>
          <w:rFonts w:ascii="Times New Roman" w:hAnsi="Times New Roman" w:cs="Times New Roman"/>
          <w:sz w:val="24"/>
          <w:szCs w:val="24"/>
        </w:rPr>
      </w:pPr>
      <w:r>
        <w:rPr>
          <w:rFonts w:ascii="Times New Roman" w:hAnsi="Times New Roman" w:cs="Times New Roman"/>
          <w:sz w:val="24"/>
          <w:szCs w:val="24"/>
        </w:rPr>
        <w:t xml:space="preserve">Jesse </w:t>
      </w:r>
      <w:r w:rsidR="00586FDD">
        <w:rPr>
          <w:rFonts w:ascii="Times New Roman" w:hAnsi="Times New Roman" w:cs="Times New Roman"/>
          <w:sz w:val="24"/>
          <w:szCs w:val="24"/>
        </w:rPr>
        <w:t xml:space="preserve">Muriithi is the inventor of a solar backup gadget and is seeking to mass produce his invention and have it installed in every home in Kenya and eventually break into the international market. After carefully considering all the legally available funding options, Jesse has decided to approach PESA MINGI bank for financing. </w:t>
      </w:r>
    </w:p>
    <w:p w14:paraId="2C18A58D" w14:textId="102C8863" w:rsidR="00586FDD" w:rsidRDefault="00586FDD" w:rsidP="004D4EB2">
      <w:pPr>
        <w:spacing w:line="360" w:lineRule="auto"/>
        <w:rPr>
          <w:rFonts w:ascii="Times New Roman" w:hAnsi="Times New Roman" w:cs="Times New Roman"/>
          <w:sz w:val="24"/>
          <w:szCs w:val="24"/>
        </w:rPr>
      </w:pPr>
      <w:r>
        <w:rPr>
          <w:rFonts w:ascii="Times New Roman" w:hAnsi="Times New Roman" w:cs="Times New Roman"/>
          <w:sz w:val="24"/>
          <w:szCs w:val="24"/>
        </w:rPr>
        <w:t>In accordance with the Movable Property Security Rights Act</w:t>
      </w:r>
      <w:r w:rsidR="008555BA">
        <w:rPr>
          <w:rFonts w:ascii="Times New Roman" w:hAnsi="Times New Roman" w:cs="Times New Roman"/>
          <w:sz w:val="24"/>
          <w:szCs w:val="24"/>
        </w:rPr>
        <w:t xml:space="preserve"> (‘the Act)</w:t>
      </w:r>
      <w:r>
        <w:rPr>
          <w:rFonts w:ascii="Times New Roman" w:hAnsi="Times New Roman" w:cs="Times New Roman"/>
          <w:sz w:val="24"/>
          <w:szCs w:val="24"/>
        </w:rPr>
        <w:t xml:space="preserve"> 2017, movable property can now be used to secure credit from financial institutions. The Act seeks to promote consistency and certainty in secured financing relating</w:t>
      </w:r>
      <w:r w:rsidR="004D4EB2">
        <w:rPr>
          <w:rFonts w:ascii="Times New Roman" w:hAnsi="Times New Roman" w:cs="Times New Roman"/>
          <w:sz w:val="24"/>
          <w:szCs w:val="24"/>
        </w:rPr>
        <w:t xml:space="preserve"> to movable assets. It also creates two types of movable assets; tangible and intangible assets. Among intangible assets are receivables, choses in action, deposit accounts, electronic securities and intellectual property rights. In this case, Jesse can use his IP rights as security to secure funding from </w:t>
      </w:r>
      <w:r w:rsidR="002A3C9A">
        <w:rPr>
          <w:rFonts w:ascii="Times New Roman" w:hAnsi="Times New Roman" w:cs="Times New Roman"/>
          <w:sz w:val="24"/>
          <w:szCs w:val="24"/>
        </w:rPr>
        <w:t xml:space="preserve">PESA MINGI </w:t>
      </w:r>
      <w:r w:rsidR="004D4EB2">
        <w:rPr>
          <w:rFonts w:ascii="Times New Roman" w:hAnsi="Times New Roman" w:cs="Times New Roman"/>
          <w:sz w:val="24"/>
          <w:szCs w:val="24"/>
        </w:rPr>
        <w:t>bank. Section 2 of the Act provides the definition of a security as “a property right in a movable asset that is created by an agreement to secure payment or other performance of an obligation, regardless of whether th</w:t>
      </w:r>
      <w:r w:rsidR="002A3C9A">
        <w:rPr>
          <w:rFonts w:ascii="Times New Roman" w:hAnsi="Times New Roman" w:cs="Times New Roman"/>
          <w:sz w:val="24"/>
          <w:szCs w:val="24"/>
        </w:rPr>
        <w:t xml:space="preserve">e </w:t>
      </w:r>
      <w:r w:rsidR="004D4EB2">
        <w:rPr>
          <w:rFonts w:ascii="Times New Roman" w:hAnsi="Times New Roman" w:cs="Times New Roman"/>
          <w:sz w:val="24"/>
          <w:szCs w:val="24"/>
        </w:rPr>
        <w:t>parties</w:t>
      </w:r>
      <w:r w:rsidR="002A3C9A">
        <w:rPr>
          <w:rFonts w:ascii="Times New Roman" w:hAnsi="Times New Roman" w:cs="Times New Roman"/>
          <w:sz w:val="24"/>
          <w:szCs w:val="24"/>
        </w:rPr>
        <w:t xml:space="preserve"> have denominated it as a security right and regardless of the type of asset, the status of the grantor or secured creditor, or the nature of the secured obligation”. </w:t>
      </w:r>
    </w:p>
    <w:p w14:paraId="4D1DBEF3" w14:textId="0572AF42" w:rsidR="002A3C9A" w:rsidRDefault="002A3C9A" w:rsidP="004D4EB2">
      <w:pPr>
        <w:spacing w:line="360" w:lineRule="auto"/>
        <w:rPr>
          <w:rFonts w:ascii="Times New Roman" w:hAnsi="Times New Roman" w:cs="Times New Roman"/>
          <w:sz w:val="24"/>
          <w:szCs w:val="24"/>
        </w:rPr>
      </w:pPr>
      <w:r>
        <w:rPr>
          <w:rFonts w:ascii="Times New Roman" w:hAnsi="Times New Roman" w:cs="Times New Roman"/>
          <w:sz w:val="24"/>
          <w:szCs w:val="24"/>
        </w:rPr>
        <w:t>With Jesse using his IP as security, the bank can finance him in various ways provided they have a security agreement, which is defined in Section 2 of the Act</w:t>
      </w:r>
      <w:r>
        <w:rPr>
          <w:rStyle w:val="FootnoteReference"/>
          <w:rFonts w:ascii="Times New Roman" w:hAnsi="Times New Roman" w:cs="Times New Roman"/>
          <w:sz w:val="24"/>
          <w:szCs w:val="24"/>
        </w:rPr>
        <w:footnoteReference w:id="1"/>
      </w:r>
      <w:r w:rsidR="001D01D4">
        <w:rPr>
          <w:rFonts w:ascii="Times New Roman" w:hAnsi="Times New Roman" w:cs="Times New Roman"/>
          <w:sz w:val="24"/>
          <w:szCs w:val="24"/>
        </w:rPr>
        <w:t xml:space="preserve">. </w:t>
      </w:r>
      <w:r w:rsidR="0047787D">
        <w:rPr>
          <w:rFonts w:ascii="Times New Roman" w:hAnsi="Times New Roman" w:cs="Times New Roman"/>
          <w:sz w:val="24"/>
          <w:szCs w:val="24"/>
        </w:rPr>
        <w:t>The execution of the security agreement would bring about the creation of the security rights on the asset the grantor has rights in. To ensure that the security agreement is legally binding, both Jesse and the bank have to ensure that it is in writing and signed by Jesse as the grantor. The agreement should also identify both the grantor, in this Jesse and the secured creditor who is PESA MINGI bank. Further requirements that should be captured in a security agreement are outlined in Section 6(3) of the Act</w:t>
      </w:r>
      <w:r w:rsidR="0047787D">
        <w:rPr>
          <w:rStyle w:val="FootnoteReference"/>
          <w:rFonts w:ascii="Times New Roman" w:hAnsi="Times New Roman" w:cs="Times New Roman"/>
          <w:sz w:val="24"/>
          <w:szCs w:val="24"/>
        </w:rPr>
        <w:footnoteReference w:id="2"/>
      </w:r>
      <w:r w:rsidR="00F81903">
        <w:rPr>
          <w:rFonts w:ascii="Times New Roman" w:hAnsi="Times New Roman" w:cs="Times New Roman"/>
          <w:sz w:val="24"/>
          <w:szCs w:val="24"/>
        </w:rPr>
        <w:t>.</w:t>
      </w:r>
    </w:p>
    <w:p w14:paraId="2B34012C" w14:textId="39F6EF35" w:rsidR="0099421A" w:rsidRDefault="0099421A" w:rsidP="004D4EB2">
      <w:pPr>
        <w:spacing w:line="360" w:lineRule="auto"/>
        <w:rPr>
          <w:rFonts w:ascii="Times New Roman" w:hAnsi="Times New Roman" w:cs="Times New Roman"/>
          <w:sz w:val="24"/>
          <w:szCs w:val="24"/>
        </w:rPr>
      </w:pPr>
      <w:r>
        <w:rPr>
          <w:rFonts w:ascii="Times New Roman" w:hAnsi="Times New Roman" w:cs="Times New Roman"/>
          <w:sz w:val="24"/>
          <w:szCs w:val="24"/>
        </w:rPr>
        <w:t xml:space="preserve">The bank </w:t>
      </w:r>
      <w:r w:rsidR="007B56F6">
        <w:rPr>
          <w:rFonts w:ascii="Times New Roman" w:hAnsi="Times New Roman" w:cs="Times New Roman"/>
          <w:sz w:val="24"/>
          <w:szCs w:val="24"/>
        </w:rPr>
        <w:t>can finance Jesse through various ways. These include possessing his patent document as collateral</w:t>
      </w:r>
      <w:r w:rsidR="004E5EDA">
        <w:rPr>
          <w:rFonts w:ascii="Times New Roman" w:hAnsi="Times New Roman" w:cs="Times New Roman"/>
          <w:sz w:val="24"/>
          <w:szCs w:val="24"/>
        </w:rPr>
        <w:t xml:space="preserve"> and</w:t>
      </w:r>
      <w:r w:rsidR="0089022B">
        <w:rPr>
          <w:rFonts w:ascii="Times New Roman" w:hAnsi="Times New Roman" w:cs="Times New Roman"/>
          <w:sz w:val="24"/>
          <w:szCs w:val="24"/>
        </w:rPr>
        <w:t xml:space="preserve"> tak</w:t>
      </w:r>
      <w:r w:rsidR="004E5EDA">
        <w:rPr>
          <w:rFonts w:ascii="Times New Roman" w:hAnsi="Times New Roman" w:cs="Times New Roman"/>
          <w:sz w:val="24"/>
          <w:szCs w:val="24"/>
        </w:rPr>
        <w:t>ing</w:t>
      </w:r>
      <w:r w:rsidR="0089022B">
        <w:rPr>
          <w:rFonts w:ascii="Times New Roman" w:hAnsi="Times New Roman" w:cs="Times New Roman"/>
          <w:sz w:val="24"/>
          <w:szCs w:val="24"/>
        </w:rPr>
        <w:t xml:space="preserve"> ownership of the patent and then licens</w:t>
      </w:r>
      <w:r w:rsidR="004E5EDA">
        <w:rPr>
          <w:rFonts w:ascii="Times New Roman" w:hAnsi="Times New Roman" w:cs="Times New Roman"/>
          <w:sz w:val="24"/>
          <w:szCs w:val="24"/>
        </w:rPr>
        <w:t>ing</w:t>
      </w:r>
      <w:r w:rsidR="0089022B">
        <w:rPr>
          <w:rFonts w:ascii="Times New Roman" w:hAnsi="Times New Roman" w:cs="Times New Roman"/>
          <w:sz w:val="24"/>
          <w:szCs w:val="24"/>
        </w:rPr>
        <w:t xml:space="preserve"> it to Jesse. Jesse can also retain ownership of the IP and grant an interest of the IP to the bank. </w:t>
      </w:r>
      <w:r w:rsidR="004E5EDA">
        <w:rPr>
          <w:rFonts w:ascii="Times New Roman" w:hAnsi="Times New Roman" w:cs="Times New Roman"/>
          <w:sz w:val="24"/>
          <w:szCs w:val="24"/>
        </w:rPr>
        <w:t xml:space="preserve">The revenue received from the mass </w:t>
      </w:r>
      <w:r w:rsidR="0030050F">
        <w:rPr>
          <w:rFonts w:ascii="Times New Roman" w:hAnsi="Times New Roman" w:cs="Times New Roman"/>
          <w:sz w:val="24"/>
          <w:szCs w:val="24"/>
        </w:rPr>
        <w:t>production of the solar backup gadget, can also be used as security on a loan.</w:t>
      </w:r>
    </w:p>
    <w:p w14:paraId="37FF3FDC" w14:textId="27294E12" w:rsidR="00E21650" w:rsidRDefault="008B2B14" w:rsidP="004D4EB2">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When the </w:t>
      </w:r>
      <w:r w:rsidR="00E21650">
        <w:rPr>
          <w:rFonts w:ascii="Times New Roman" w:hAnsi="Times New Roman" w:cs="Times New Roman"/>
          <w:sz w:val="24"/>
          <w:szCs w:val="24"/>
        </w:rPr>
        <w:t>bank gains security rights through the security agreement, these rights extend to the asset’s identifiable proceeds. Both Jesse and the bank can decide to open a joint deposit account</w:t>
      </w:r>
      <w:r w:rsidR="00E21650">
        <w:rPr>
          <w:rStyle w:val="FootnoteReference"/>
          <w:rFonts w:ascii="Times New Roman" w:hAnsi="Times New Roman" w:cs="Times New Roman"/>
          <w:sz w:val="24"/>
          <w:szCs w:val="24"/>
        </w:rPr>
        <w:footnoteReference w:id="3"/>
      </w:r>
      <w:r w:rsidR="00E21650">
        <w:rPr>
          <w:rFonts w:ascii="Times New Roman" w:hAnsi="Times New Roman" w:cs="Times New Roman"/>
          <w:sz w:val="24"/>
          <w:szCs w:val="24"/>
        </w:rPr>
        <w:t xml:space="preserve">, where the bank will only take its share of the proceeds that was agreed upon before the proceeds comingled with other proceeds. This ensures that both the creditor and the borrower get their agreed share of the proceeds. </w:t>
      </w:r>
    </w:p>
    <w:p w14:paraId="72B913CF" w14:textId="77777777" w:rsidR="009B2071" w:rsidRDefault="00E21650" w:rsidP="004D4EB2">
      <w:pPr>
        <w:spacing w:line="360" w:lineRule="auto"/>
        <w:rPr>
          <w:rFonts w:ascii="Times New Roman" w:hAnsi="Times New Roman" w:cs="Times New Roman"/>
          <w:sz w:val="24"/>
          <w:szCs w:val="24"/>
        </w:rPr>
      </w:pPr>
      <w:r>
        <w:rPr>
          <w:rFonts w:ascii="Times New Roman" w:hAnsi="Times New Roman" w:cs="Times New Roman"/>
          <w:sz w:val="24"/>
          <w:szCs w:val="24"/>
        </w:rPr>
        <w:t xml:space="preserve">The bank can also possess Jesse’s patent document as collateral, provided that it is reasonably described in the security agreement. </w:t>
      </w:r>
      <w:r w:rsidR="00511ED1">
        <w:rPr>
          <w:rFonts w:ascii="Times New Roman" w:hAnsi="Times New Roman" w:cs="Times New Roman"/>
          <w:sz w:val="24"/>
          <w:szCs w:val="24"/>
        </w:rPr>
        <w:t>The description should at least be able to identify the collateral by category or even specific listing</w:t>
      </w:r>
      <w:r w:rsidR="00511ED1">
        <w:rPr>
          <w:rStyle w:val="FootnoteReference"/>
          <w:rFonts w:ascii="Times New Roman" w:hAnsi="Times New Roman" w:cs="Times New Roman"/>
          <w:sz w:val="24"/>
          <w:szCs w:val="24"/>
        </w:rPr>
        <w:footnoteReference w:id="4"/>
      </w:r>
      <w:r w:rsidR="00511ED1">
        <w:rPr>
          <w:rFonts w:ascii="Times New Roman" w:hAnsi="Times New Roman" w:cs="Times New Roman"/>
          <w:sz w:val="24"/>
          <w:szCs w:val="24"/>
        </w:rPr>
        <w:t>.</w:t>
      </w:r>
      <w:r w:rsidR="009B2071">
        <w:rPr>
          <w:rFonts w:ascii="Times New Roman" w:hAnsi="Times New Roman" w:cs="Times New Roman"/>
          <w:sz w:val="24"/>
          <w:szCs w:val="24"/>
        </w:rPr>
        <w:t xml:space="preserve"> This method of financing the loan, provides the bank with the option of licensing the patent to a third party in case of a default by Jesse, so that it may recoup its finances. </w:t>
      </w:r>
    </w:p>
    <w:p w14:paraId="76A4BFD5" w14:textId="72EB7A7F" w:rsidR="00E21650" w:rsidRDefault="009B2071" w:rsidP="004D4EB2">
      <w:pPr>
        <w:spacing w:line="360" w:lineRule="auto"/>
        <w:rPr>
          <w:rFonts w:ascii="Times New Roman" w:hAnsi="Times New Roman" w:cs="Times New Roman"/>
          <w:sz w:val="24"/>
          <w:szCs w:val="24"/>
        </w:rPr>
      </w:pPr>
      <w:r>
        <w:rPr>
          <w:rFonts w:ascii="Times New Roman" w:hAnsi="Times New Roman" w:cs="Times New Roman"/>
          <w:sz w:val="24"/>
          <w:szCs w:val="24"/>
        </w:rPr>
        <w:t xml:space="preserve"> When Jesse sets up the production of his gadget, the revenue received can be used to secure a loan from the bank. This is therefore to mean that, should Jesse default on his loan, the bank can seize the revenue gotten from the production of the solar backup gadget to pay back their loan.</w:t>
      </w:r>
    </w:p>
    <w:p w14:paraId="4EC73EFD" w14:textId="04E5A336" w:rsidR="007A1E59" w:rsidRDefault="007A1E59" w:rsidP="004D4EB2">
      <w:pPr>
        <w:spacing w:line="360" w:lineRule="auto"/>
        <w:rPr>
          <w:rFonts w:ascii="Times New Roman" w:hAnsi="Times New Roman" w:cs="Times New Roman"/>
          <w:sz w:val="24"/>
          <w:szCs w:val="24"/>
        </w:rPr>
      </w:pPr>
      <w:r>
        <w:rPr>
          <w:rFonts w:ascii="Times New Roman" w:hAnsi="Times New Roman" w:cs="Times New Roman"/>
          <w:sz w:val="24"/>
          <w:szCs w:val="24"/>
        </w:rPr>
        <w:t>These are just a few of the ways among which PESA MINGI bank can finance Jesse on his endeavor to mass produce his gadget for use in Kenyan homes and also the international market</w:t>
      </w:r>
      <w:r w:rsidR="00345CF8">
        <w:rPr>
          <w:rFonts w:ascii="Times New Roman" w:hAnsi="Times New Roman" w:cs="Times New Roman"/>
          <w:sz w:val="24"/>
          <w:szCs w:val="24"/>
        </w:rPr>
        <w:t>.</w:t>
      </w:r>
      <w:r w:rsidR="00FA2E75">
        <w:rPr>
          <w:rFonts w:ascii="Times New Roman" w:hAnsi="Times New Roman" w:cs="Times New Roman"/>
          <w:sz w:val="24"/>
          <w:szCs w:val="24"/>
        </w:rPr>
        <w:t xml:space="preserve"> Once the bank has gained security rights, the next step is registering a notice </w:t>
      </w:r>
      <w:r w:rsidR="008555BA">
        <w:rPr>
          <w:rFonts w:ascii="Times New Roman" w:hAnsi="Times New Roman" w:cs="Times New Roman"/>
          <w:sz w:val="24"/>
          <w:szCs w:val="24"/>
        </w:rPr>
        <w:t>on the e-registry.</w:t>
      </w:r>
    </w:p>
    <w:p w14:paraId="442BF1E7" w14:textId="177900F4" w:rsidR="00FA2E75" w:rsidRPr="00803FC3" w:rsidRDefault="00FA2E75" w:rsidP="00FA2E75">
      <w:pPr>
        <w:spacing w:line="360" w:lineRule="auto"/>
        <w:rPr>
          <w:rFonts w:ascii="Times New Roman" w:hAnsi="Times New Roman" w:cs="Times New Roman"/>
          <w:sz w:val="24"/>
          <w:szCs w:val="24"/>
        </w:rPr>
      </w:pPr>
      <w:r w:rsidRPr="00803FC3">
        <w:rPr>
          <w:rFonts w:ascii="Times New Roman" w:hAnsi="Times New Roman" w:cs="Times New Roman"/>
          <w:sz w:val="24"/>
          <w:szCs w:val="24"/>
        </w:rPr>
        <w:t xml:space="preserve">The </w:t>
      </w:r>
      <w:r>
        <w:rPr>
          <w:rFonts w:ascii="Times New Roman" w:hAnsi="Times New Roman" w:cs="Times New Roman"/>
          <w:sz w:val="24"/>
          <w:szCs w:val="24"/>
        </w:rPr>
        <w:t>M</w:t>
      </w:r>
      <w:r w:rsidRPr="00803FC3">
        <w:rPr>
          <w:rFonts w:ascii="Times New Roman" w:hAnsi="Times New Roman" w:cs="Times New Roman"/>
          <w:sz w:val="24"/>
          <w:szCs w:val="24"/>
        </w:rPr>
        <w:t>ovable Property Security Rights Act 2017</w:t>
      </w:r>
      <w:r>
        <w:rPr>
          <w:rFonts w:ascii="Times New Roman" w:hAnsi="Times New Roman" w:cs="Times New Roman"/>
          <w:sz w:val="24"/>
          <w:szCs w:val="24"/>
        </w:rPr>
        <w:t xml:space="preserve"> </w:t>
      </w:r>
      <w:r w:rsidRPr="00803FC3">
        <w:rPr>
          <w:rFonts w:ascii="Times New Roman" w:hAnsi="Times New Roman" w:cs="Times New Roman"/>
          <w:sz w:val="24"/>
          <w:szCs w:val="24"/>
        </w:rPr>
        <w:t xml:space="preserve">provides for the registration of security rights in movable properties. This is a crucial step that follows after a security right has been created pursuant to Section 6(1) of the Act. Perfection entails the process of registration of notices </w:t>
      </w:r>
      <w:r>
        <w:rPr>
          <w:rFonts w:ascii="Times New Roman" w:hAnsi="Times New Roman" w:cs="Times New Roman"/>
          <w:sz w:val="24"/>
          <w:szCs w:val="24"/>
        </w:rPr>
        <w:t>r</w:t>
      </w:r>
      <w:r w:rsidRPr="00803FC3">
        <w:rPr>
          <w:rFonts w:ascii="Times New Roman" w:hAnsi="Times New Roman" w:cs="Times New Roman"/>
          <w:sz w:val="24"/>
          <w:szCs w:val="24"/>
        </w:rPr>
        <w:t>elating to security rights.</w:t>
      </w:r>
    </w:p>
    <w:p w14:paraId="64EBFF23" w14:textId="77777777" w:rsidR="00FA2E75" w:rsidRPr="00803FC3" w:rsidRDefault="00FA2E75" w:rsidP="00FA2E75">
      <w:pPr>
        <w:spacing w:line="360" w:lineRule="auto"/>
        <w:rPr>
          <w:rFonts w:ascii="Times New Roman" w:hAnsi="Times New Roman" w:cs="Times New Roman"/>
          <w:sz w:val="24"/>
          <w:szCs w:val="24"/>
        </w:rPr>
      </w:pPr>
      <w:r w:rsidRPr="00803FC3">
        <w:rPr>
          <w:rFonts w:ascii="Times New Roman" w:hAnsi="Times New Roman" w:cs="Times New Roman"/>
          <w:sz w:val="24"/>
          <w:szCs w:val="24"/>
        </w:rPr>
        <w:t xml:space="preserve">The Act under Section 19, establishes the Office of the Register for purposes of receiving, storing and making accessible to the public information on registered notices with respect to security rights and the general running of the registry. Additionally, Section 20 has further adopted a regime of notice filing, under which a single initial notice can be registered, and under which many individual transactions will fall. In the case of </w:t>
      </w:r>
      <w:r w:rsidRPr="00803FC3">
        <w:rPr>
          <w:rFonts w:ascii="Times New Roman" w:hAnsi="Times New Roman" w:cs="Times New Roman"/>
          <w:i/>
          <w:iCs/>
          <w:sz w:val="24"/>
          <w:szCs w:val="24"/>
        </w:rPr>
        <w:t xml:space="preserve">Meshack </w:t>
      </w:r>
      <w:proofErr w:type="spellStart"/>
      <w:r w:rsidRPr="00803FC3">
        <w:rPr>
          <w:rFonts w:ascii="Times New Roman" w:hAnsi="Times New Roman" w:cs="Times New Roman"/>
          <w:i/>
          <w:iCs/>
          <w:sz w:val="24"/>
          <w:szCs w:val="24"/>
        </w:rPr>
        <w:t>Maariers</w:t>
      </w:r>
      <w:proofErr w:type="spellEnd"/>
      <w:r w:rsidRPr="00803FC3">
        <w:rPr>
          <w:rFonts w:ascii="Times New Roman" w:hAnsi="Times New Roman" w:cs="Times New Roman"/>
          <w:i/>
          <w:iCs/>
          <w:sz w:val="24"/>
          <w:szCs w:val="24"/>
        </w:rPr>
        <w:t xml:space="preserve"> </w:t>
      </w:r>
      <w:proofErr w:type="spellStart"/>
      <w:r w:rsidRPr="00803FC3">
        <w:rPr>
          <w:rFonts w:ascii="Times New Roman" w:hAnsi="Times New Roman" w:cs="Times New Roman"/>
          <w:i/>
          <w:iCs/>
          <w:sz w:val="24"/>
          <w:szCs w:val="24"/>
        </w:rPr>
        <w:t>Ongeri</w:t>
      </w:r>
      <w:proofErr w:type="spellEnd"/>
      <w:r w:rsidRPr="00803FC3">
        <w:rPr>
          <w:rFonts w:ascii="Times New Roman" w:hAnsi="Times New Roman" w:cs="Times New Roman"/>
          <w:i/>
          <w:iCs/>
          <w:sz w:val="24"/>
          <w:szCs w:val="24"/>
        </w:rPr>
        <w:t xml:space="preserve"> v Credit Bank Limited</w:t>
      </w:r>
      <w:r w:rsidRPr="00803FC3">
        <w:rPr>
          <w:rFonts w:ascii="Times New Roman" w:hAnsi="Times New Roman" w:cs="Times New Roman"/>
          <w:sz w:val="24"/>
          <w:szCs w:val="24"/>
        </w:rPr>
        <w:t>,</w:t>
      </w:r>
      <w:r w:rsidRPr="00803FC3">
        <w:rPr>
          <w:rStyle w:val="FootnoteReference"/>
          <w:rFonts w:ascii="Times New Roman" w:hAnsi="Times New Roman" w:cs="Times New Roman"/>
          <w:sz w:val="24"/>
          <w:szCs w:val="24"/>
        </w:rPr>
        <w:footnoteReference w:id="5"/>
      </w:r>
      <w:r w:rsidRPr="00803FC3">
        <w:rPr>
          <w:rFonts w:ascii="Times New Roman" w:hAnsi="Times New Roman" w:cs="Times New Roman"/>
          <w:sz w:val="24"/>
          <w:szCs w:val="24"/>
        </w:rPr>
        <w:t xml:space="preserve"> the court opined that,</w:t>
      </w:r>
    </w:p>
    <w:p w14:paraId="4CA7C1D9" w14:textId="77777777" w:rsidR="00FA2E75" w:rsidRPr="00803FC3" w:rsidRDefault="00FA2E75" w:rsidP="00FA2E75">
      <w:pPr>
        <w:spacing w:line="360" w:lineRule="auto"/>
        <w:ind w:left="720"/>
        <w:rPr>
          <w:rFonts w:ascii="Times New Roman" w:hAnsi="Times New Roman" w:cs="Times New Roman"/>
          <w:sz w:val="24"/>
          <w:szCs w:val="24"/>
        </w:rPr>
      </w:pPr>
      <w:r w:rsidRPr="00803FC3">
        <w:rPr>
          <w:rFonts w:ascii="Times New Roman" w:hAnsi="Times New Roman" w:cs="Times New Roman"/>
          <w:sz w:val="24"/>
          <w:szCs w:val="24"/>
        </w:rPr>
        <w:lastRenderedPageBreak/>
        <w:t>‘…. unregister instrument shall be deemed fraudulent and void against the person seizing the instrument thereof.’’</w:t>
      </w:r>
    </w:p>
    <w:p w14:paraId="5AC47D65" w14:textId="793B4E47" w:rsidR="00FA2E75" w:rsidRPr="00803FC3" w:rsidRDefault="00FA2E75" w:rsidP="00FA2E75">
      <w:pPr>
        <w:spacing w:line="360" w:lineRule="auto"/>
        <w:rPr>
          <w:rFonts w:ascii="Times New Roman" w:hAnsi="Times New Roman" w:cs="Times New Roman"/>
          <w:sz w:val="24"/>
          <w:szCs w:val="24"/>
        </w:rPr>
      </w:pPr>
      <w:r w:rsidRPr="00803FC3">
        <w:rPr>
          <w:rFonts w:ascii="Times New Roman" w:hAnsi="Times New Roman" w:cs="Times New Roman"/>
          <w:sz w:val="24"/>
          <w:szCs w:val="24"/>
        </w:rPr>
        <w:t>The initial notice should contains, the identifier and address o</w:t>
      </w:r>
      <w:r>
        <w:rPr>
          <w:rFonts w:ascii="Times New Roman" w:hAnsi="Times New Roman" w:cs="Times New Roman"/>
          <w:sz w:val="24"/>
          <w:szCs w:val="24"/>
        </w:rPr>
        <w:t>f</w:t>
      </w:r>
      <w:r w:rsidRPr="00803FC3">
        <w:rPr>
          <w:rFonts w:ascii="Times New Roman" w:hAnsi="Times New Roman" w:cs="Times New Roman"/>
          <w:sz w:val="24"/>
          <w:szCs w:val="24"/>
        </w:rPr>
        <w:t xml:space="preserve"> the grantor, the identifier and notice of secured creditor ( in this case PESA MINGI ) Bank, a description of the collateral{Patent KE/IP/2022/4203(22) } and the period of effectiveness of the registration.</w:t>
      </w:r>
      <w:r w:rsidRPr="00803FC3">
        <w:rPr>
          <w:rStyle w:val="FootnoteReference"/>
          <w:rFonts w:ascii="Times New Roman" w:hAnsi="Times New Roman" w:cs="Times New Roman"/>
          <w:sz w:val="24"/>
          <w:szCs w:val="24"/>
        </w:rPr>
        <w:footnoteReference w:id="6"/>
      </w:r>
      <w:r w:rsidRPr="00803FC3">
        <w:rPr>
          <w:rFonts w:ascii="Times New Roman" w:hAnsi="Times New Roman" w:cs="Times New Roman"/>
          <w:sz w:val="24"/>
          <w:szCs w:val="24"/>
        </w:rPr>
        <w:t xml:space="preserve"> Additionally, The Registrar shall assign a unique registration number to a registered initial notice and associate all registered amendment and cancellation notices that contain that number with the registered initial notice.</w:t>
      </w:r>
      <w:r w:rsidRPr="00803FC3">
        <w:rPr>
          <w:rStyle w:val="FootnoteReference"/>
          <w:rFonts w:ascii="Times New Roman" w:hAnsi="Times New Roman" w:cs="Times New Roman"/>
          <w:sz w:val="24"/>
          <w:szCs w:val="24"/>
        </w:rPr>
        <w:footnoteReference w:id="7"/>
      </w:r>
      <w:r w:rsidRPr="00803FC3">
        <w:rPr>
          <w:rFonts w:ascii="Times New Roman" w:hAnsi="Times New Roman" w:cs="Times New Roman"/>
          <w:sz w:val="24"/>
          <w:szCs w:val="24"/>
        </w:rPr>
        <w:t>Therefore , the registration will be effective from the date and time when the information in the notice is entered into the records in the Registry.</w:t>
      </w:r>
      <w:r w:rsidRPr="00803FC3">
        <w:rPr>
          <w:rStyle w:val="FootnoteReference"/>
          <w:rFonts w:ascii="Times New Roman" w:hAnsi="Times New Roman" w:cs="Times New Roman"/>
          <w:sz w:val="24"/>
          <w:szCs w:val="24"/>
        </w:rPr>
        <w:footnoteReference w:id="8"/>
      </w:r>
    </w:p>
    <w:p w14:paraId="3F0B642F" w14:textId="77777777" w:rsidR="00FA2E75" w:rsidRPr="00803FC3" w:rsidRDefault="00FA2E75" w:rsidP="00FA2E75">
      <w:pPr>
        <w:spacing w:line="360" w:lineRule="auto"/>
        <w:rPr>
          <w:rFonts w:ascii="Times New Roman" w:hAnsi="Times New Roman" w:cs="Times New Roman"/>
          <w:sz w:val="24"/>
          <w:szCs w:val="24"/>
        </w:rPr>
      </w:pPr>
      <w:r w:rsidRPr="00803FC3">
        <w:rPr>
          <w:rFonts w:ascii="Times New Roman" w:hAnsi="Times New Roman" w:cs="Times New Roman"/>
          <w:sz w:val="24"/>
          <w:szCs w:val="24"/>
        </w:rPr>
        <w:t>Thus, Section 34 of the Act provides that a public registry will be established, permitting search both by the identifier of the grantor of security, and the serial number of the collateral. Priorities will then fall to be determined generally by the time of registration.</w:t>
      </w:r>
      <w:r w:rsidRPr="00803FC3">
        <w:rPr>
          <w:rStyle w:val="FootnoteReference"/>
          <w:rFonts w:ascii="Times New Roman" w:hAnsi="Times New Roman" w:cs="Times New Roman"/>
          <w:sz w:val="24"/>
          <w:szCs w:val="24"/>
        </w:rPr>
        <w:footnoteReference w:id="9"/>
      </w:r>
      <w:r w:rsidRPr="00803FC3">
        <w:rPr>
          <w:rFonts w:ascii="Times New Roman" w:hAnsi="Times New Roman" w:cs="Times New Roman"/>
          <w:sz w:val="24"/>
          <w:szCs w:val="24"/>
        </w:rPr>
        <w:t>Further, it is important to note that, a security right will only be effective against third parties if a notice is registered with the public registry under section 15 of the Act. Further, the Act provides that, no other mechanism shall be available for perfection of security other than the one under its provisions.</w:t>
      </w:r>
    </w:p>
    <w:p w14:paraId="330F2668" w14:textId="14096A82" w:rsidR="00FA2E75" w:rsidRDefault="00FA2E75" w:rsidP="00FA2E75">
      <w:pPr>
        <w:spacing w:line="360" w:lineRule="auto"/>
        <w:rPr>
          <w:rFonts w:ascii="Times New Roman" w:hAnsi="Times New Roman" w:cs="Times New Roman"/>
          <w:sz w:val="24"/>
          <w:szCs w:val="24"/>
        </w:rPr>
      </w:pPr>
      <w:r w:rsidRPr="00803FC3">
        <w:rPr>
          <w:rFonts w:ascii="Times New Roman" w:hAnsi="Times New Roman" w:cs="Times New Roman"/>
          <w:sz w:val="24"/>
          <w:szCs w:val="24"/>
        </w:rPr>
        <w:t>Thus, it is advantageous for PESA MINGI to perfect the security right in order to enjoy the benefits attached therein under Section 40 of the Act. In that, if a security right in proceeds of the collateral is effective against third parties as provided in section 16, the priority of the security right in the proceeds is determined using the same date used to determine the priority of the security right in the collateral</w:t>
      </w:r>
      <w:r>
        <w:rPr>
          <w:rFonts w:ascii="Times New Roman" w:hAnsi="Times New Roman" w:cs="Times New Roman"/>
          <w:sz w:val="24"/>
          <w:szCs w:val="24"/>
        </w:rPr>
        <w:t xml:space="preserve">, </w:t>
      </w:r>
      <w:r w:rsidRPr="00803FC3">
        <w:rPr>
          <w:rFonts w:ascii="Times New Roman" w:hAnsi="Times New Roman" w:cs="Times New Roman"/>
          <w:sz w:val="24"/>
          <w:szCs w:val="24"/>
        </w:rPr>
        <w:t>therefore it is paramount for you as a creditor (PESA MINGI Bank) in order to enjoy the benefits assigned thereto.</w:t>
      </w:r>
    </w:p>
    <w:p w14:paraId="1C6F47BF" w14:textId="6685438C" w:rsidR="008555BA" w:rsidRPr="008555BA" w:rsidRDefault="008555BA" w:rsidP="00C24EBD">
      <w:pPr>
        <w:spacing w:line="360" w:lineRule="auto"/>
        <w:rPr>
          <w:rFonts w:ascii="Times New Roman" w:hAnsi="Times New Roman" w:cs="Times New Roman"/>
          <w:sz w:val="24"/>
          <w:szCs w:val="24"/>
        </w:rPr>
      </w:pPr>
      <w:r w:rsidRPr="008555BA">
        <w:rPr>
          <w:rFonts w:ascii="Times New Roman" w:hAnsi="Times New Roman" w:cs="Times New Roman"/>
          <w:sz w:val="24"/>
          <w:szCs w:val="24"/>
        </w:rPr>
        <w:t xml:space="preserve">PESA MINGI bank as the secured creditor, as defined under section 2 of the </w:t>
      </w:r>
      <w:r>
        <w:rPr>
          <w:rFonts w:ascii="Times New Roman" w:hAnsi="Times New Roman" w:cs="Times New Roman"/>
          <w:sz w:val="24"/>
          <w:szCs w:val="24"/>
        </w:rPr>
        <w:t xml:space="preserve">Act, </w:t>
      </w:r>
      <w:r w:rsidRPr="008555BA">
        <w:rPr>
          <w:rFonts w:ascii="Times New Roman" w:hAnsi="Times New Roman" w:cs="Times New Roman"/>
          <w:sz w:val="24"/>
          <w:szCs w:val="24"/>
        </w:rPr>
        <w:t xml:space="preserve">is a person or entity that has a security right and a transferee in an outright transfer of a receivable. The bank can use Jesse's invention as collateral so that he can be able to secure a loan for his mass produce. A collateral can be defined as a movable asset that is subject to a security right or a </w:t>
      </w:r>
      <w:r w:rsidRPr="008555BA">
        <w:rPr>
          <w:rFonts w:ascii="Times New Roman" w:hAnsi="Times New Roman" w:cs="Times New Roman"/>
          <w:sz w:val="24"/>
          <w:szCs w:val="24"/>
        </w:rPr>
        <w:lastRenderedPageBreak/>
        <w:t xml:space="preserve">receivable that is subject to an outright transfer. In this case the </w:t>
      </w:r>
      <w:r>
        <w:rPr>
          <w:rFonts w:ascii="Times New Roman" w:hAnsi="Times New Roman" w:cs="Times New Roman"/>
          <w:sz w:val="24"/>
          <w:szCs w:val="24"/>
        </w:rPr>
        <w:t>m</w:t>
      </w:r>
      <w:r w:rsidRPr="008555BA">
        <w:rPr>
          <w:rFonts w:ascii="Times New Roman" w:hAnsi="Times New Roman" w:cs="Times New Roman"/>
          <w:sz w:val="24"/>
          <w:szCs w:val="24"/>
        </w:rPr>
        <w:t xml:space="preserve">ovable asset is Jesse's solar back up gadget. </w:t>
      </w:r>
    </w:p>
    <w:p w14:paraId="0F7F94F4" w14:textId="00DD9D9C" w:rsidR="008555BA" w:rsidRPr="008555BA" w:rsidRDefault="008555BA" w:rsidP="008555BA">
      <w:pPr>
        <w:spacing w:line="360" w:lineRule="auto"/>
        <w:rPr>
          <w:rFonts w:ascii="Times New Roman" w:hAnsi="Times New Roman" w:cs="Times New Roman"/>
          <w:sz w:val="24"/>
          <w:szCs w:val="24"/>
        </w:rPr>
      </w:pPr>
      <w:r w:rsidRPr="008555BA">
        <w:rPr>
          <w:rFonts w:ascii="Times New Roman" w:hAnsi="Times New Roman" w:cs="Times New Roman"/>
          <w:sz w:val="24"/>
          <w:szCs w:val="24"/>
        </w:rPr>
        <w:t xml:space="preserve">In the circumstance </w:t>
      </w:r>
      <w:r w:rsidR="00C24EBD">
        <w:rPr>
          <w:rFonts w:ascii="Times New Roman" w:hAnsi="Times New Roman" w:cs="Times New Roman"/>
          <w:sz w:val="24"/>
          <w:szCs w:val="24"/>
        </w:rPr>
        <w:t xml:space="preserve">of </w:t>
      </w:r>
      <w:r w:rsidRPr="008555BA">
        <w:rPr>
          <w:rFonts w:ascii="Times New Roman" w:hAnsi="Times New Roman" w:cs="Times New Roman"/>
          <w:sz w:val="24"/>
          <w:szCs w:val="24"/>
        </w:rPr>
        <w:t xml:space="preserve">a default </w:t>
      </w:r>
      <w:r w:rsidR="00C24EBD">
        <w:rPr>
          <w:rFonts w:ascii="Times New Roman" w:hAnsi="Times New Roman" w:cs="Times New Roman"/>
          <w:sz w:val="24"/>
          <w:szCs w:val="24"/>
        </w:rPr>
        <w:t xml:space="preserve">occurring </w:t>
      </w:r>
      <w:r w:rsidRPr="008555BA">
        <w:rPr>
          <w:rFonts w:ascii="Times New Roman" w:hAnsi="Times New Roman" w:cs="Times New Roman"/>
          <w:sz w:val="24"/>
          <w:szCs w:val="24"/>
        </w:rPr>
        <w:t>with respect to a secured obligation, PESA MINGI bank should notify Jesse in writing to pay money owing</w:t>
      </w:r>
      <w:r w:rsidR="006635F1">
        <w:rPr>
          <w:rStyle w:val="FootnoteReference"/>
          <w:rFonts w:ascii="Times New Roman" w:hAnsi="Times New Roman" w:cs="Times New Roman"/>
          <w:sz w:val="24"/>
          <w:szCs w:val="24"/>
        </w:rPr>
        <w:footnoteReference w:id="10"/>
      </w:r>
      <w:r w:rsidRPr="008555BA">
        <w:rPr>
          <w:rFonts w:ascii="Times New Roman" w:hAnsi="Times New Roman" w:cs="Times New Roman"/>
          <w:sz w:val="24"/>
          <w:szCs w:val="24"/>
        </w:rPr>
        <w:t xml:space="preserve"> or perform as stipulated in the security agreement under section 65(1) of the Act. If Jesse Muriithi does not comply within the period indicated in the notification after date of service of the said notification</w:t>
      </w:r>
      <w:r>
        <w:rPr>
          <w:rFonts w:ascii="Times New Roman" w:hAnsi="Times New Roman" w:cs="Times New Roman"/>
          <w:sz w:val="24"/>
          <w:szCs w:val="24"/>
        </w:rPr>
        <w:t>, t</w:t>
      </w:r>
      <w:r w:rsidRPr="008555BA">
        <w:rPr>
          <w:rFonts w:ascii="Times New Roman" w:hAnsi="Times New Roman" w:cs="Times New Roman"/>
          <w:sz w:val="24"/>
          <w:szCs w:val="24"/>
        </w:rPr>
        <w:t>he bank has a right to</w:t>
      </w:r>
      <w:r w:rsidR="006635F1">
        <w:rPr>
          <w:rStyle w:val="FootnoteReference"/>
          <w:rFonts w:ascii="Times New Roman" w:hAnsi="Times New Roman" w:cs="Times New Roman"/>
          <w:sz w:val="24"/>
          <w:szCs w:val="24"/>
        </w:rPr>
        <w:footnoteReference w:id="11"/>
      </w:r>
      <w:r>
        <w:rPr>
          <w:rFonts w:ascii="Times New Roman" w:hAnsi="Times New Roman" w:cs="Times New Roman"/>
          <w:sz w:val="24"/>
          <w:szCs w:val="24"/>
        </w:rPr>
        <w:t>;</w:t>
      </w:r>
      <w:r w:rsidRPr="008555BA">
        <w:rPr>
          <w:rFonts w:ascii="Times New Roman" w:hAnsi="Times New Roman" w:cs="Times New Roman"/>
          <w:sz w:val="24"/>
          <w:szCs w:val="24"/>
        </w:rPr>
        <w:t xml:space="preserve"> </w:t>
      </w:r>
    </w:p>
    <w:p w14:paraId="2C81FB15" w14:textId="0F74F798" w:rsidR="008555BA" w:rsidRPr="008555BA" w:rsidRDefault="008555BA" w:rsidP="008555BA">
      <w:pPr>
        <w:spacing w:line="360" w:lineRule="auto"/>
        <w:rPr>
          <w:rFonts w:ascii="Times New Roman" w:hAnsi="Times New Roman" w:cs="Times New Roman"/>
          <w:sz w:val="24"/>
          <w:szCs w:val="24"/>
        </w:rPr>
      </w:pPr>
      <w:r w:rsidRPr="008555BA">
        <w:rPr>
          <w:rFonts w:ascii="Times New Roman" w:hAnsi="Times New Roman" w:cs="Times New Roman"/>
          <w:sz w:val="24"/>
          <w:szCs w:val="24"/>
        </w:rPr>
        <w:t>(a)right to sue for any money due or owing under the security agreement</w:t>
      </w:r>
      <w:r w:rsidR="003711C2">
        <w:rPr>
          <w:rFonts w:ascii="Times New Roman" w:hAnsi="Times New Roman" w:cs="Times New Roman"/>
          <w:sz w:val="24"/>
          <w:szCs w:val="24"/>
        </w:rPr>
        <w:t>,</w:t>
      </w:r>
    </w:p>
    <w:p w14:paraId="118A0F13" w14:textId="154B4356" w:rsidR="008555BA" w:rsidRPr="008555BA" w:rsidRDefault="008555BA" w:rsidP="008555BA">
      <w:pPr>
        <w:spacing w:line="360" w:lineRule="auto"/>
        <w:rPr>
          <w:rFonts w:ascii="Times New Roman" w:hAnsi="Times New Roman" w:cs="Times New Roman"/>
          <w:sz w:val="24"/>
          <w:szCs w:val="24"/>
        </w:rPr>
      </w:pPr>
      <w:r w:rsidRPr="008555BA">
        <w:rPr>
          <w:rFonts w:ascii="Times New Roman" w:hAnsi="Times New Roman" w:cs="Times New Roman"/>
          <w:sz w:val="24"/>
          <w:szCs w:val="24"/>
        </w:rPr>
        <w:t xml:space="preserve">(b) </w:t>
      </w:r>
      <w:r>
        <w:rPr>
          <w:rFonts w:ascii="Times New Roman" w:hAnsi="Times New Roman" w:cs="Times New Roman"/>
          <w:sz w:val="24"/>
          <w:szCs w:val="24"/>
        </w:rPr>
        <w:t>a</w:t>
      </w:r>
      <w:r w:rsidRPr="008555BA">
        <w:rPr>
          <w:rFonts w:ascii="Times New Roman" w:hAnsi="Times New Roman" w:cs="Times New Roman"/>
          <w:sz w:val="24"/>
          <w:szCs w:val="24"/>
        </w:rPr>
        <w:t xml:space="preserve">ppoint a receiver of the income of the </w:t>
      </w:r>
      <w:r>
        <w:rPr>
          <w:rFonts w:ascii="Times New Roman" w:hAnsi="Times New Roman" w:cs="Times New Roman"/>
          <w:sz w:val="24"/>
          <w:szCs w:val="24"/>
        </w:rPr>
        <w:t>m</w:t>
      </w:r>
      <w:r w:rsidRPr="008555BA">
        <w:rPr>
          <w:rFonts w:ascii="Times New Roman" w:hAnsi="Times New Roman" w:cs="Times New Roman"/>
          <w:sz w:val="24"/>
          <w:szCs w:val="24"/>
        </w:rPr>
        <w:t>ovable assets</w:t>
      </w:r>
      <w:r w:rsidR="003711C2">
        <w:rPr>
          <w:rFonts w:ascii="Times New Roman" w:hAnsi="Times New Roman" w:cs="Times New Roman"/>
          <w:sz w:val="24"/>
          <w:szCs w:val="24"/>
        </w:rPr>
        <w:t>,</w:t>
      </w:r>
    </w:p>
    <w:p w14:paraId="78711973" w14:textId="0362E7CD" w:rsidR="008555BA" w:rsidRPr="008555BA" w:rsidRDefault="008555BA" w:rsidP="008555BA">
      <w:pPr>
        <w:spacing w:line="360" w:lineRule="auto"/>
        <w:rPr>
          <w:rFonts w:ascii="Times New Roman" w:hAnsi="Times New Roman" w:cs="Times New Roman"/>
          <w:sz w:val="24"/>
          <w:szCs w:val="24"/>
        </w:rPr>
      </w:pPr>
      <w:r w:rsidRPr="008555BA">
        <w:rPr>
          <w:rFonts w:ascii="Times New Roman" w:hAnsi="Times New Roman" w:cs="Times New Roman"/>
          <w:sz w:val="24"/>
          <w:szCs w:val="24"/>
        </w:rPr>
        <w:t xml:space="preserve">(c) lease the </w:t>
      </w:r>
      <w:r>
        <w:rPr>
          <w:rFonts w:ascii="Times New Roman" w:hAnsi="Times New Roman" w:cs="Times New Roman"/>
          <w:sz w:val="24"/>
          <w:szCs w:val="24"/>
        </w:rPr>
        <w:t>m</w:t>
      </w:r>
      <w:r w:rsidRPr="008555BA">
        <w:rPr>
          <w:rFonts w:ascii="Times New Roman" w:hAnsi="Times New Roman" w:cs="Times New Roman"/>
          <w:sz w:val="24"/>
          <w:szCs w:val="24"/>
        </w:rPr>
        <w:t>ovable assets</w:t>
      </w:r>
      <w:r w:rsidR="003711C2">
        <w:rPr>
          <w:rFonts w:ascii="Times New Roman" w:hAnsi="Times New Roman" w:cs="Times New Roman"/>
          <w:sz w:val="24"/>
          <w:szCs w:val="24"/>
        </w:rPr>
        <w:t>,</w:t>
      </w:r>
    </w:p>
    <w:p w14:paraId="25EA50E8" w14:textId="046367BC" w:rsidR="008555BA" w:rsidRPr="008555BA" w:rsidRDefault="008555BA" w:rsidP="008555BA">
      <w:pPr>
        <w:spacing w:line="360" w:lineRule="auto"/>
        <w:rPr>
          <w:rFonts w:ascii="Times New Roman" w:hAnsi="Times New Roman" w:cs="Times New Roman"/>
          <w:sz w:val="24"/>
          <w:szCs w:val="24"/>
        </w:rPr>
      </w:pPr>
      <w:r w:rsidRPr="008555BA">
        <w:rPr>
          <w:rFonts w:ascii="Times New Roman" w:hAnsi="Times New Roman" w:cs="Times New Roman"/>
          <w:sz w:val="24"/>
          <w:szCs w:val="24"/>
        </w:rPr>
        <w:t xml:space="preserve">(d) take possession of the </w:t>
      </w:r>
      <w:r>
        <w:rPr>
          <w:rFonts w:ascii="Times New Roman" w:hAnsi="Times New Roman" w:cs="Times New Roman"/>
          <w:sz w:val="24"/>
          <w:szCs w:val="24"/>
        </w:rPr>
        <w:t>m</w:t>
      </w:r>
      <w:r w:rsidRPr="008555BA">
        <w:rPr>
          <w:rFonts w:ascii="Times New Roman" w:hAnsi="Times New Roman" w:cs="Times New Roman"/>
          <w:sz w:val="24"/>
          <w:szCs w:val="24"/>
        </w:rPr>
        <w:t>ovable assets</w:t>
      </w:r>
      <w:r w:rsidR="003711C2">
        <w:rPr>
          <w:rFonts w:ascii="Times New Roman" w:hAnsi="Times New Roman" w:cs="Times New Roman"/>
          <w:sz w:val="24"/>
          <w:szCs w:val="24"/>
        </w:rPr>
        <w:t>,</w:t>
      </w:r>
    </w:p>
    <w:p w14:paraId="292E9F23" w14:textId="748F5CFA" w:rsidR="008555BA" w:rsidRPr="008555BA" w:rsidRDefault="008555BA" w:rsidP="008555BA">
      <w:pPr>
        <w:spacing w:line="360" w:lineRule="auto"/>
        <w:rPr>
          <w:rFonts w:ascii="Times New Roman" w:hAnsi="Times New Roman" w:cs="Times New Roman"/>
          <w:sz w:val="24"/>
          <w:szCs w:val="24"/>
        </w:rPr>
      </w:pPr>
      <w:r w:rsidRPr="008555BA">
        <w:rPr>
          <w:rFonts w:ascii="Times New Roman" w:hAnsi="Times New Roman" w:cs="Times New Roman"/>
          <w:sz w:val="24"/>
          <w:szCs w:val="24"/>
        </w:rPr>
        <w:t xml:space="preserve">(e) sell the </w:t>
      </w:r>
      <w:r>
        <w:rPr>
          <w:rFonts w:ascii="Times New Roman" w:hAnsi="Times New Roman" w:cs="Times New Roman"/>
          <w:sz w:val="24"/>
          <w:szCs w:val="24"/>
        </w:rPr>
        <w:t>m</w:t>
      </w:r>
      <w:r w:rsidRPr="008555BA">
        <w:rPr>
          <w:rFonts w:ascii="Times New Roman" w:hAnsi="Times New Roman" w:cs="Times New Roman"/>
          <w:sz w:val="24"/>
          <w:szCs w:val="24"/>
        </w:rPr>
        <w:t>ovable asset</w:t>
      </w:r>
      <w:r w:rsidR="003711C2">
        <w:rPr>
          <w:rFonts w:ascii="Times New Roman" w:hAnsi="Times New Roman" w:cs="Times New Roman"/>
          <w:sz w:val="24"/>
          <w:szCs w:val="24"/>
        </w:rPr>
        <w:t>,</w:t>
      </w:r>
    </w:p>
    <w:p w14:paraId="7C9BC6CC" w14:textId="27C01867" w:rsidR="008555BA" w:rsidRPr="008555BA" w:rsidRDefault="008555BA" w:rsidP="008555BA">
      <w:pPr>
        <w:spacing w:line="360" w:lineRule="auto"/>
        <w:rPr>
          <w:rFonts w:ascii="Times New Roman" w:hAnsi="Times New Roman" w:cs="Times New Roman"/>
          <w:sz w:val="24"/>
          <w:szCs w:val="24"/>
        </w:rPr>
      </w:pPr>
      <w:r w:rsidRPr="008555BA">
        <w:rPr>
          <w:rFonts w:ascii="Times New Roman" w:hAnsi="Times New Roman" w:cs="Times New Roman"/>
          <w:sz w:val="24"/>
          <w:szCs w:val="24"/>
        </w:rPr>
        <w:t>(f)</w:t>
      </w:r>
      <w:r w:rsidR="003711C2">
        <w:rPr>
          <w:rFonts w:ascii="Times New Roman" w:hAnsi="Times New Roman" w:cs="Times New Roman"/>
          <w:sz w:val="24"/>
          <w:szCs w:val="24"/>
        </w:rPr>
        <w:t xml:space="preserve"> pursue</w:t>
      </w:r>
      <w:r w:rsidRPr="008555BA">
        <w:rPr>
          <w:rFonts w:ascii="Times New Roman" w:hAnsi="Times New Roman" w:cs="Times New Roman"/>
          <w:sz w:val="24"/>
          <w:szCs w:val="24"/>
        </w:rPr>
        <w:t xml:space="preserve"> any other lawful contractual remedy provided for in the security agreement</w:t>
      </w:r>
      <w:r w:rsidR="003711C2">
        <w:rPr>
          <w:rFonts w:ascii="Times New Roman" w:hAnsi="Times New Roman" w:cs="Times New Roman"/>
          <w:sz w:val="24"/>
          <w:szCs w:val="24"/>
        </w:rPr>
        <w:t>.</w:t>
      </w:r>
    </w:p>
    <w:p w14:paraId="4847C2D6" w14:textId="2CB14C71" w:rsidR="008555BA" w:rsidRDefault="003711C2" w:rsidP="002C5DFE">
      <w:pPr>
        <w:spacing w:line="360" w:lineRule="auto"/>
        <w:rPr>
          <w:rFonts w:ascii="Times New Roman" w:hAnsi="Times New Roman" w:cs="Times New Roman"/>
          <w:sz w:val="24"/>
          <w:szCs w:val="24"/>
        </w:rPr>
      </w:pPr>
      <w:r>
        <w:rPr>
          <w:rFonts w:ascii="Times New Roman" w:hAnsi="Times New Roman" w:cs="Times New Roman"/>
          <w:sz w:val="24"/>
          <w:szCs w:val="24"/>
        </w:rPr>
        <w:t>In accordance with Section 68 of the Act, “</w:t>
      </w:r>
      <w:r w:rsidR="002C5DFE" w:rsidRPr="002C5DFE">
        <w:rPr>
          <w:rFonts w:ascii="Times New Roman" w:hAnsi="Times New Roman" w:cs="Times New Roman"/>
          <w:sz w:val="24"/>
          <w:szCs w:val="24"/>
        </w:rPr>
        <w:t>(1) The secured creditor may sue for the performance of the secured obligation only if</w:t>
      </w:r>
      <w:r w:rsidR="002C5DFE">
        <w:rPr>
          <w:rFonts w:ascii="Times New Roman" w:hAnsi="Times New Roman" w:cs="Times New Roman"/>
          <w:sz w:val="24"/>
          <w:szCs w:val="24"/>
        </w:rPr>
        <w:t>;</w:t>
      </w:r>
      <w:r w:rsidR="002C5DFE" w:rsidRPr="002C5DFE">
        <w:rPr>
          <w:rFonts w:ascii="Times New Roman" w:hAnsi="Times New Roman" w:cs="Times New Roman"/>
          <w:sz w:val="24"/>
          <w:szCs w:val="24"/>
        </w:rPr>
        <w:t xml:space="preserve"> (a) the grantor is personally bound to satisfy the secured obligation; (b) by any cause other than the wrongful act of the secured creditor or grantor, the collateral is rendered insufficient to fully satisfy the secured obligation and the secured creditor has given the grantor a reasonable opportunity to provide additional sufficient security and the grantor has failed to provide that additional security; or (c) the secured creditor is deprived of the whole or part of the security right through or in consequence of, a wrongful act or default of the grantor or the debtor</w:t>
      </w:r>
      <w:r w:rsidR="002C5DFE">
        <w:rPr>
          <w:rFonts w:ascii="Times New Roman" w:hAnsi="Times New Roman" w:cs="Times New Roman"/>
          <w:sz w:val="24"/>
          <w:szCs w:val="24"/>
        </w:rPr>
        <w:t>”. This provides that the bank can sue Jesse for the performance of a secured obligation. However, the bank should attempt to exhaust all other remedies relating to the collateral and even other alternate dispute resolution mechanisms, before filing a suit in court.</w:t>
      </w:r>
    </w:p>
    <w:p w14:paraId="28CE4C2A" w14:textId="032ECEA8" w:rsidR="009C2575" w:rsidRPr="00803FC3" w:rsidRDefault="009C2575" w:rsidP="002C5DFE">
      <w:pPr>
        <w:spacing w:line="360" w:lineRule="auto"/>
        <w:rPr>
          <w:rFonts w:ascii="Times New Roman" w:hAnsi="Times New Roman" w:cs="Times New Roman"/>
          <w:sz w:val="24"/>
          <w:szCs w:val="24"/>
        </w:rPr>
      </w:pPr>
      <w:r>
        <w:rPr>
          <w:rFonts w:ascii="Times New Roman" w:hAnsi="Times New Roman" w:cs="Times New Roman"/>
          <w:sz w:val="24"/>
          <w:szCs w:val="24"/>
        </w:rPr>
        <w:t>In the case where Jesse, the grantor, had listed the patent document as collateral but had not transferred possession to the bank, the secured creditor has a right to possession of the collateral as provided for in Section 71 of the Act, subject to a few conditions</w:t>
      </w:r>
      <w:r>
        <w:rPr>
          <w:rStyle w:val="FootnoteReference"/>
          <w:rFonts w:ascii="Times New Roman" w:hAnsi="Times New Roman" w:cs="Times New Roman"/>
          <w:sz w:val="24"/>
          <w:szCs w:val="24"/>
        </w:rPr>
        <w:footnoteReference w:id="12"/>
      </w:r>
      <w:r>
        <w:rPr>
          <w:rFonts w:ascii="Times New Roman" w:hAnsi="Times New Roman" w:cs="Times New Roman"/>
          <w:sz w:val="24"/>
          <w:szCs w:val="24"/>
        </w:rPr>
        <w:t>.</w:t>
      </w:r>
    </w:p>
    <w:p w14:paraId="3429D70E" w14:textId="77777777" w:rsidR="00FA2E75" w:rsidRDefault="00FA2E75" w:rsidP="004D4EB2">
      <w:pPr>
        <w:spacing w:line="360" w:lineRule="auto"/>
        <w:rPr>
          <w:rFonts w:ascii="Times New Roman" w:hAnsi="Times New Roman" w:cs="Times New Roman"/>
          <w:sz w:val="24"/>
          <w:szCs w:val="24"/>
        </w:rPr>
      </w:pPr>
    </w:p>
    <w:p w14:paraId="2C233D04" w14:textId="77777777" w:rsidR="00CB453A" w:rsidRPr="004F4B9E" w:rsidRDefault="00CB453A" w:rsidP="004D4EB2">
      <w:pPr>
        <w:spacing w:line="360" w:lineRule="auto"/>
        <w:rPr>
          <w:rFonts w:ascii="Times New Roman" w:hAnsi="Times New Roman" w:cs="Times New Roman"/>
          <w:sz w:val="24"/>
          <w:szCs w:val="24"/>
        </w:rPr>
      </w:pPr>
    </w:p>
    <w:sectPr w:rsidR="00CB453A" w:rsidRPr="004F4B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830922" w14:textId="77777777" w:rsidR="00661D57" w:rsidRDefault="00661D57" w:rsidP="002A3C9A">
      <w:pPr>
        <w:spacing w:after="0" w:line="240" w:lineRule="auto"/>
      </w:pPr>
      <w:r>
        <w:separator/>
      </w:r>
    </w:p>
  </w:endnote>
  <w:endnote w:type="continuationSeparator" w:id="0">
    <w:p w14:paraId="5717FAF9" w14:textId="77777777" w:rsidR="00661D57" w:rsidRDefault="00661D57" w:rsidP="002A3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5DD307" w14:textId="77777777" w:rsidR="00661D57" w:rsidRDefault="00661D57" w:rsidP="002A3C9A">
      <w:pPr>
        <w:spacing w:after="0" w:line="240" w:lineRule="auto"/>
      </w:pPr>
      <w:r>
        <w:separator/>
      </w:r>
    </w:p>
  </w:footnote>
  <w:footnote w:type="continuationSeparator" w:id="0">
    <w:p w14:paraId="1756136C" w14:textId="77777777" w:rsidR="00661D57" w:rsidRDefault="00661D57" w:rsidP="002A3C9A">
      <w:pPr>
        <w:spacing w:after="0" w:line="240" w:lineRule="auto"/>
      </w:pPr>
      <w:r>
        <w:continuationSeparator/>
      </w:r>
    </w:p>
  </w:footnote>
  <w:footnote w:id="1">
    <w:p w14:paraId="059FE9FD" w14:textId="7D6C4B99" w:rsidR="002A3C9A" w:rsidRPr="002A3C9A" w:rsidRDefault="002A3C9A">
      <w:pPr>
        <w:pStyle w:val="FootnoteText"/>
        <w:rPr>
          <w:rFonts w:ascii="Times New Roman" w:hAnsi="Times New Roman" w:cs="Times New Roman"/>
        </w:rPr>
      </w:pPr>
      <w:r>
        <w:rPr>
          <w:rStyle w:val="FootnoteReference"/>
        </w:rPr>
        <w:footnoteRef/>
      </w:r>
      <w:r>
        <w:t xml:space="preserve"> </w:t>
      </w:r>
      <w:r w:rsidR="00F81903">
        <w:rPr>
          <w:rFonts w:ascii="Times New Roman" w:hAnsi="Times New Roman" w:cs="Times New Roman"/>
        </w:rPr>
        <w:t>MPSR Act 2017, s2</w:t>
      </w:r>
    </w:p>
  </w:footnote>
  <w:footnote w:id="2">
    <w:p w14:paraId="57CB659A" w14:textId="364FA72E" w:rsidR="0047787D" w:rsidRPr="0047787D" w:rsidRDefault="0047787D">
      <w:pPr>
        <w:pStyle w:val="FootnoteText"/>
        <w:rPr>
          <w:rFonts w:ascii="Times New Roman" w:hAnsi="Times New Roman" w:cs="Times New Roman"/>
        </w:rPr>
      </w:pPr>
      <w:r>
        <w:rPr>
          <w:rStyle w:val="FootnoteReference"/>
        </w:rPr>
        <w:footnoteRef/>
      </w:r>
      <w:r>
        <w:t xml:space="preserve"> </w:t>
      </w:r>
      <w:r w:rsidR="00F81903">
        <w:rPr>
          <w:rFonts w:ascii="Times New Roman" w:hAnsi="Times New Roman" w:cs="Times New Roman"/>
        </w:rPr>
        <w:t>MPSR Act 2017, s6(3)</w:t>
      </w:r>
    </w:p>
  </w:footnote>
  <w:footnote w:id="3">
    <w:p w14:paraId="3FA96BD0" w14:textId="580ACCEE" w:rsidR="00E21650" w:rsidRDefault="00E21650">
      <w:pPr>
        <w:pStyle w:val="FootnoteText"/>
      </w:pPr>
      <w:r>
        <w:rPr>
          <w:rStyle w:val="FootnoteReference"/>
        </w:rPr>
        <w:footnoteRef/>
      </w:r>
      <w:r>
        <w:t xml:space="preserve"> </w:t>
      </w:r>
      <w:r w:rsidRPr="00E21650">
        <w:rPr>
          <w:rFonts w:ascii="Times New Roman" w:hAnsi="Times New Roman" w:cs="Times New Roman"/>
        </w:rPr>
        <w:t>MPSR Act 2017, s9(2)</w:t>
      </w:r>
    </w:p>
  </w:footnote>
  <w:footnote w:id="4">
    <w:p w14:paraId="019CD75D" w14:textId="67E1441D" w:rsidR="00511ED1" w:rsidRPr="00511ED1" w:rsidRDefault="00511ED1">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rPr>
        <w:t>MPSR Act 2017, s8(3)</w:t>
      </w:r>
    </w:p>
  </w:footnote>
  <w:footnote w:id="5">
    <w:p w14:paraId="67413A9F" w14:textId="77777777" w:rsidR="00FA2E75" w:rsidRPr="00D132BF" w:rsidRDefault="00FA2E75" w:rsidP="00FA2E75">
      <w:pPr>
        <w:pStyle w:val="FootnoteText"/>
      </w:pPr>
      <w:r>
        <w:rPr>
          <w:rStyle w:val="FootnoteReference"/>
        </w:rPr>
        <w:footnoteRef/>
      </w:r>
      <w:r>
        <w:t xml:space="preserve"> (2018) </w:t>
      </w:r>
      <w:proofErr w:type="spellStart"/>
      <w:r>
        <w:t>eKLR</w:t>
      </w:r>
      <w:proofErr w:type="spellEnd"/>
      <w:r>
        <w:t>.</w:t>
      </w:r>
    </w:p>
  </w:footnote>
  <w:footnote w:id="6">
    <w:p w14:paraId="4C72D39B" w14:textId="77777777" w:rsidR="00FA2E75" w:rsidRPr="00C9714F" w:rsidRDefault="00FA2E75" w:rsidP="00FA2E75">
      <w:pPr>
        <w:pStyle w:val="FootnoteText"/>
      </w:pPr>
      <w:r>
        <w:rPr>
          <w:rStyle w:val="FootnoteReference"/>
        </w:rPr>
        <w:footnoteRef/>
      </w:r>
      <w:r>
        <w:t xml:space="preserve"> MPSR Act 2017, s29.</w:t>
      </w:r>
    </w:p>
  </w:footnote>
  <w:footnote w:id="7">
    <w:p w14:paraId="6C2CC616" w14:textId="77777777" w:rsidR="00FA2E75" w:rsidRPr="00C9714F" w:rsidRDefault="00FA2E75" w:rsidP="00FA2E75">
      <w:pPr>
        <w:pStyle w:val="FootnoteText"/>
      </w:pPr>
      <w:r>
        <w:rPr>
          <w:rStyle w:val="FootnoteReference"/>
        </w:rPr>
        <w:footnoteRef/>
      </w:r>
      <w:r>
        <w:t xml:space="preserve"> Ibid, s29(1).</w:t>
      </w:r>
    </w:p>
  </w:footnote>
  <w:footnote w:id="8">
    <w:p w14:paraId="0CB81F99" w14:textId="77777777" w:rsidR="00FA2E75" w:rsidRPr="00C9714F" w:rsidRDefault="00FA2E75" w:rsidP="00FA2E75">
      <w:pPr>
        <w:pStyle w:val="FootnoteText"/>
      </w:pPr>
      <w:r>
        <w:rPr>
          <w:rStyle w:val="FootnoteReference"/>
        </w:rPr>
        <w:footnoteRef/>
      </w:r>
      <w:r>
        <w:t xml:space="preserve"> Ibid, s29(2).</w:t>
      </w:r>
    </w:p>
  </w:footnote>
  <w:footnote w:id="9">
    <w:p w14:paraId="0EA0EFC0" w14:textId="77777777" w:rsidR="00FA2E75" w:rsidRPr="0096534B" w:rsidRDefault="00FA2E75" w:rsidP="00FA2E75">
      <w:pPr>
        <w:pStyle w:val="FootnoteText"/>
      </w:pPr>
      <w:r>
        <w:rPr>
          <w:rStyle w:val="FootnoteReference"/>
        </w:rPr>
        <w:footnoteRef/>
      </w:r>
      <w:r>
        <w:t xml:space="preserve"> Ibid, s38.</w:t>
      </w:r>
    </w:p>
  </w:footnote>
  <w:footnote w:id="10">
    <w:p w14:paraId="0BCEB1A9" w14:textId="00F9A1C9" w:rsidR="006635F1" w:rsidRPr="006635F1" w:rsidRDefault="006635F1">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rPr>
        <w:t>MPSR Act 2017, s67(1)</w:t>
      </w:r>
    </w:p>
  </w:footnote>
  <w:footnote w:id="11">
    <w:p w14:paraId="3AD8E524" w14:textId="6DD71116" w:rsidR="006635F1" w:rsidRPr="006635F1" w:rsidRDefault="006635F1">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rPr>
        <w:t>MPSR Act 2017, s67(3)</w:t>
      </w:r>
    </w:p>
  </w:footnote>
  <w:footnote w:id="12">
    <w:p w14:paraId="35BAC32C" w14:textId="710A264C" w:rsidR="009C2575" w:rsidRPr="009C2575" w:rsidRDefault="009C2575">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rPr>
        <w:t xml:space="preserve">MPSR Act 2017, </w:t>
      </w:r>
      <w:r>
        <w:rPr>
          <w:rFonts w:ascii="Times New Roman" w:hAnsi="Times New Roman" w:cs="Times New Roman"/>
        </w:rPr>
        <w:t>s71</w:t>
      </w:r>
      <w:bookmarkStart w:id="0" w:name="_GoBack"/>
      <w:bookmarkEnd w:id="0"/>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B9E"/>
    <w:rsid w:val="001D01D4"/>
    <w:rsid w:val="002A3C9A"/>
    <w:rsid w:val="002B219E"/>
    <w:rsid w:val="002C5DFE"/>
    <w:rsid w:val="0030050F"/>
    <w:rsid w:val="00345CF8"/>
    <w:rsid w:val="003711C2"/>
    <w:rsid w:val="003D4BF8"/>
    <w:rsid w:val="0047787D"/>
    <w:rsid w:val="004D4EB2"/>
    <w:rsid w:val="004E5EDA"/>
    <w:rsid w:val="004F4B9E"/>
    <w:rsid w:val="00511ED1"/>
    <w:rsid w:val="00586FDD"/>
    <w:rsid w:val="00661D57"/>
    <w:rsid w:val="006635F1"/>
    <w:rsid w:val="007315C7"/>
    <w:rsid w:val="007A1E59"/>
    <w:rsid w:val="007B56F6"/>
    <w:rsid w:val="008555BA"/>
    <w:rsid w:val="0089022B"/>
    <w:rsid w:val="008B2B14"/>
    <w:rsid w:val="0099421A"/>
    <w:rsid w:val="009B2071"/>
    <w:rsid w:val="009C2575"/>
    <w:rsid w:val="00AC21AE"/>
    <w:rsid w:val="00B77665"/>
    <w:rsid w:val="00C24EBD"/>
    <w:rsid w:val="00CB453A"/>
    <w:rsid w:val="00E21650"/>
    <w:rsid w:val="00F81903"/>
    <w:rsid w:val="00FA2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FF736"/>
  <w15:chartTrackingRefBased/>
  <w15:docId w15:val="{1DA0F9A1-4978-4B5F-9F8E-C1D506AA6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2A3C9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3C9A"/>
    <w:rPr>
      <w:sz w:val="20"/>
      <w:szCs w:val="20"/>
    </w:rPr>
  </w:style>
  <w:style w:type="character" w:styleId="FootnoteReference">
    <w:name w:val="footnote reference"/>
    <w:basedOn w:val="DefaultParagraphFont"/>
    <w:uiPriority w:val="99"/>
    <w:semiHidden/>
    <w:unhideWhenUsed/>
    <w:rsid w:val="002A3C9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5</Pages>
  <Words>1339</Words>
  <Characters>7637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dcterms:created xsi:type="dcterms:W3CDTF">2023-02-26T09:07:00Z</dcterms:created>
  <dcterms:modified xsi:type="dcterms:W3CDTF">2023-02-26T14:02:00Z</dcterms:modified>
</cp:coreProperties>
</file>