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81d2df58444f6d" /><Relationship Type="http://schemas.openxmlformats.org/package/2006/relationships/metadata/core-properties" Target="/package/services/metadata/core-properties/84cfe75a4be24415b79295247aba9143.psmdcp" Id="R45cc6b2bfda44d7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83" w:lineRule="auto"/>
        <w:ind w:firstLine="6740"/>
        <w:jc w:val="righ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KM</w:t>
      </w:r>
      <w:r>
        <w:rPr>
          <w:rFonts w:hint="eastAsia" w:ascii="Calibri" w:hAnsi="Calibri" w:eastAsia="Calibri"/>
          <w:color w:val="FF0000"/>
          <w:sz w:val="22"/>
        </w:rPr>
        <w:t xml:space="preserve">T</w:t>
      </w:r>
      <w:r>
        <w:rPr>
          <w:rFonts w:hint="eastAsia" w:ascii="Calibri" w:hAnsi="Calibri" w:eastAsia="Calibri"/>
          <w:color w:val="000000"/>
          <w:sz w:val="22"/>
        </w:rPr>
        <w:t xml:space="preserve">C/QP-09/CUR/D-MLS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1219200</wp:posOffset>
            </wp:positionV>
            <wp:extent cx="1003300" cy="622300"/>
            <wp:effectExtent l="0" t="0" r="2540" b="4445"/>
            <wp:wrapNone/>
            <wp:docPr id="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c4cfd6307f346f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line="240" w:lineRule="auto"/>
        <w:ind w:firstLine="7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Module 20:Clinical Chemistry II</w:t>
      </w:r>
    </w:p>
    <w:p>
      <w:pPr>
        <w:spacing w:line="220" w:lineRule="auto"/>
        <w:ind w:firstLine="7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Code:      CLC 2104</w:t>
      </w:r>
    </w:p>
    <w:p>
      <w:pPr>
        <w:spacing w:line="220" w:lineRule="auto"/>
        <w:ind w:firstLine="7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Hours:     40</w:t>
      </w:r>
    </w:p>
    <w:p>
      <w:pPr>
        <w:spacing w:line="201" w:lineRule="auto"/>
        <w:ind w:firstLine="7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Credit:     4</w:t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0" w:line="240" w:lineRule="auto"/>
        <w:ind w:firstLine="68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Pre-requisites: Clinical chemistry I</w:t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line="191" w:lineRule="auto"/>
        <w:ind w:firstLine="6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Module Competence</w:t>
      </w:r>
    </w:p>
    <w:p>
      <w:pPr>
        <w:spacing w:before="10" w:line="244" w:lineRule="auto"/>
        <w:ind w:left="600" w:right="920" w:firstLine="1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module is designed to enable the learner diagnose liver, heart, gastrointestinal and </w:t>
      </w:r>
      <w:r>
        <w:rPr>
          <w:rFonts w:hint="eastAsia" w:ascii="Calibri" w:hAnsi="Calibri" w:eastAsia="Calibri"/>
          <w:color w:val="000000"/>
          <w:sz w:val="23"/>
        </w:rPr>
        <w:t xml:space="preserve">pancreatic disorders</w:t>
      </w:r>
    </w:p>
    <w:p>
      <w:pPr>
        <w:spacing w:before="243" w:line="240" w:lineRule="auto"/>
        <w:ind w:firstLine="58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Module Outcomes</w:t>
      </w:r>
    </w:p>
    <w:p>
      <w:pPr>
        <w:spacing w:line="201" w:lineRule="auto"/>
        <w:ind w:firstLine="58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By the end of this module, the learner should;</w:t>
      </w:r>
    </w:p>
    <w:p>
      <w:pPr>
        <w:spacing w:before="23" w:line="254" w:lineRule="auto"/>
        <w:ind w:firstLine="58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1. Explain the main functions of the liver in the body</w:t>
      </w:r>
    </w:p>
    <w:p>
      <w:pPr>
        <w:spacing w:line="235" w:lineRule="auto"/>
        <w:ind w:firstLine="5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2. Explain the main functions of the heart</w:t>
      </w:r>
    </w:p>
    <w:p>
      <w:pPr>
        <w:spacing w:before="3" w:line="240" w:lineRule="auto"/>
        <w:ind w:firstLine="5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3. Explain themain functions of the pancreas</w:t>
      </w:r>
    </w:p>
    <w:p>
      <w:pPr>
        <w:spacing w:line="254" w:lineRule="auto"/>
        <w:ind w:firstLine="5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4. Explain the main functions of the gastrointestinal tract.</w:t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line="168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4880"/>
        <w:gridCol w:w="3380"/>
        <w:gridCol w:w="1160"/>
      </w:tblGrid>
      <w:tr w:rsidR="00A23914" w:rsidTr="00A23914">
        <w:trPr>
          <w:trHeight w:val="280"/>
        </w:trPr>
        <w:tc>
          <w:tcPr>
            <w:tcW w:w="4880" w:type="dxa"/>
            <w:tcBorders/>
            <w:vAlign w:val="top"/>
          </w:tcPr>
          <w:p>
            <w:pPr>
              <w:spacing w:before="20" w:line="220" w:lineRule="auto"/>
              <w:ind w:firstLine="26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oulens</w:t>
            </w:r>
          </w:p>
        </w:tc>
        <w:tc>
          <w:tcPr>
            <w:gridSpan w:val="2"/>
            <w:tcW w:w="4540" w:type="dxa"/>
            <w:tcBorders/>
            <w:vAlign w:val="top"/>
          </w:tcPr>
          <w:p>
            <w:pPr>
              <w:spacing w:before="20" w:line="220" w:lineRule="auto"/>
              <w:ind w:firstLine="316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Hours</w:t>
            </w:r>
          </w:p>
        </w:tc>
      </w:tr>
      <w:tr w:rsidR="00A23914" w:rsidTr="00A23914">
        <w:trPr>
          <w:trHeight w:val="360"/>
        </w:trPr>
        <w:tc>
          <w:tcPr>
            <w:tcW w:w="4880" w:type="dxa"/>
            <w:tcBorders/>
            <w:vAlign w:val="top"/>
          </w:tcPr>
          <w:p>
            <w:pPr>
              <w:spacing w:before="3" w:line="302" w:lineRule="auto"/>
              <w:ind w:firstLine="1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Number Unit Name</w:t>
            </w:r>
          </w:p>
        </w:tc>
        <w:tc>
          <w:tcPr>
            <w:tcW w:w="3380" w:type="dxa"/>
            <w:tcBorders/>
            <w:vAlign w:val="top"/>
          </w:tcPr>
          <w:p>
            <w:pPr>
              <w:spacing w:before="3" w:line="302" w:lineRule="auto"/>
              <w:ind w:firstLine="246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Theory</w:t>
            </w:r>
          </w:p>
        </w:tc>
        <w:tc>
          <w:tcPr>
            <w:tcW w:w="1160" w:type="dxa"/>
            <w:tcBorders/>
            <w:vAlign w:val="top"/>
          </w:tcPr>
          <w:p>
            <w:pPr>
              <w:spacing w:before="3" w:line="302" w:lineRule="auto"/>
              <w:ind w:firstLine="24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Practical</w:t>
            </w:r>
          </w:p>
        </w:tc>
      </w:tr>
      <w:tr w:rsidR="00A23914" w:rsidTr="00A23914">
        <w:trPr>
          <w:trHeight w:val="280"/>
        </w:trPr>
        <w:tc>
          <w:tcPr>
            <w:tcW w:w="4880" w:type="dxa"/>
            <w:tcBorders/>
            <w:vAlign w:val="top"/>
          </w:tcPr>
          <w:p>
            <w:pPr>
              <w:spacing w:before="22" w:line="220" w:lineRule="auto"/>
              <w:ind w:firstLine="1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1. Liver functions</w:t>
            </w:r>
          </w:p>
        </w:tc>
        <w:tc>
          <w:tcPr>
            <w:tcW w:w="3380" w:type="dxa"/>
            <w:tcBorders/>
            <w:vAlign w:val="top"/>
          </w:tcPr>
          <w:p>
            <w:pPr>
              <w:spacing w:before="28" w:line="215" w:lineRule="auto"/>
              <w:ind w:firstLine="244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8</w:t>
            </w:r>
          </w:p>
        </w:tc>
        <w:tc>
          <w:tcPr>
            <w:tcW w:w="1160" w:type="dxa"/>
            <w:tcBorders/>
            <w:vAlign w:val="top"/>
          </w:tcPr>
          <w:p>
            <w:pPr>
              <w:spacing w:before="28" w:line="215" w:lineRule="auto"/>
              <w:ind w:firstLine="24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340"/>
        </w:trPr>
        <w:tc>
          <w:tcPr>
            <w:tcW w:w="4880" w:type="dxa"/>
            <w:tcBorders/>
            <w:vAlign w:val="top"/>
          </w:tcPr>
          <w:p>
            <w:pPr>
              <w:spacing w:before="5" w:line="220" w:lineRule="auto"/>
              <w:ind w:firstLine="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2. Heart functions</w:t>
            </w:r>
          </w:p>
        </w:tc>
        <w:tc>
          <w:tcPr>
            <w:tcW w:w="3380" w:type="dxa"/>
            <w:tcBorders/>
            <w:vAlign w:val="top"/>
          </w:tcPr>
          <w:p>
            <w:pPr>
              <w:spacing w:before="32" w:line="215" w:lineRule="auto"/>
              <w:ind w:firstLine="246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8</w:t>
            </w:r>
          </w:p>
        </w:tc>
        <w:tc>
          <w:tcPr>
            <w:tcW w:w="1160" w:type="dxa"/>
            <w:tcBorders/>
            <w:vAlign w:val="top"/>
          </w:tcPr>
          <w:p>
            <w:pPr>
              <w:spacing w:before="32" w:line="215" w:lineRule="auto"/>
              <w:ind w:firstLine="2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400"/>
        </w:trPr>
        <w:tc>
          <w:tcPr>
            <w:tcW w:w="4880" w:type="dxa"/>
            <w:tcBorders/>
            <w:vAlign w:val="top"/>
          </w:tcPr>
          <w:p>
            <w:pPr>
              <w:spacing w:before="25" w:line="235" w:lineRule="auto"/>
              <w:ind w:firstLine="6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3. Pancreas functions</w:t>
            </w:r>
          </w:p>
        </w:tc>
        <w:tc>
          <w:tcPr>
            <w:tcW w:w="3380" w:type="dxa"/>
            <w:tcBorders/>
            <w:vAlign w:val="top"/>
          </w:tcPr>
          <w:p>
            <w:pPr>
              <w:spacing w:before="52" w:line="215" w:lineRule="auto"/>
              <w:ind w:firstLine="244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8</w:t>
            </w:r>
          </w:p>
        </w:tc>
        <w:tc>
          <w:tcPr>
            <w:tcW w:w="1160" w:type="dxa"/>
            <w:tcBorders/>
            <w:vAlign w:val="top"/>
          </w:tcPr>
          <w:p>
            <w:pPr>
              <w:spacing w:before="72" w:line="215" w:lineRule="auto"/>
              <w:ind w:firstLine="2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380"/>
        </w:trPr>
        <w:tc>
          <w:tcPr>
            <w:tcW w:w="4880" w:type="dxa"/>
            <w:tcBorders/>
            <w:vAlign w:val="top"/>
          </w:tcPr>
          <w:p>
            <w:pPr>
              <w:spacing w:before="2" w:line="335" w:lineRule="auto"/>
              <w:ind w:firstLine="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4. Gastro-intestinal tract</w:t>
            </w:r>
          </w:p>
        </w:tc>
        <w:tc>
          <w:tcPr>
            <w:tcW w:w="3380" w:type="dxa"/>
            <w:tcBorders/>
            <w:vAlign w:val="top"/>
          </w:tcPr>
          <w:p>
            <w:pPr>
              <w:spacing w:before="28" w:line="215" w:lineRule="auto"/>
              <w:ind w:firstLine="2440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8</w:t>
            </w:r>
          </w:p>
        </w:tc>
        <w:tc>
          <w:tcPr>
            <w:tcW w:w="1160" w:type="dxa"/>
            <w:tcBorders/>
            <w:vAlign w:val="top"/>
          </w:tcPr>
          <w:p>
            <w:pPr>
              <w:spacing w:before="28" w:line="215" w:lineRule="auto"/>
              <w:ind w:firstLine="2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</w:tbl>
    <w:p>
      <w:pPr>
        <w:spacing w:before="138" w:line="240" w:lineRule="auto"/>
        <w:ind w:firstLine="3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Module Content</w:t>
      </w:r>
    </w:p>
    <w:p>
      <w:pPr>
        <w:spacing w:line="283" w:lineRule="auto"/>
        <w:ind w:left="20" w:right="720" w:firstLine="320"/>
        <w:jc w:val="both"/>
        <w:rPr>
          <w:sz w:val="23"/>
        </w:rPr>
        <w:sectPr>
          <w:footerReference w:type="default" r:id="Rc6aaa3f4a1744972"/>
          <w:type w:val="continuous"/>
          <w:pgSz w:w="11900" w:h="17500" w:orient="portrait"/>
          <w:pgMar w:top="720" w:right="720" w:bottom="2160" w:left="720" w:header="360" w:footer="108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The Liver; functions of the liver, metabolic production and control of analytes associated with </w:t>
      </w:r>
      <w:r>
        <w:rPr>
          <w:rFonts w:hint="eastAsia" w:ascii="Calibri" w:hAnsi="Calibri" w:eastAsia="Calibri"/>
          <w:color w:val="000000"/>
          <w:sz w:val="23"/>
        </w:rPr>
        <w:t xml:space="preserve">pathological conditions, storage,synthesis,detoxification, excretion, glycogenesis,glycolysis,</w:t>
      </w:r>
      <w:r>
        <w:rPr>
          <w:rFonts w:hint="eastAsia" w:ascii="Calibri" w:hAnsi="Calibri" w:eastAsia="Calibri"/>
          <w:color w:val="000000"/>
          <w:sz w:val="23"/>
        </w:rPr>
        <w:t xml:space="preserve">gluconeogenesis, glycogenolysis, albumin synthesis, the formation of bilirubin and its </w:t>
      </w:r>
      <w:r>
        <w:rPr>
          <w:rFonts w:hint="eastAsia" w:ascii="Calibri" w:hAnsi="Calibri" w:eastAsia="Calibri"/>
          <w:color w:val="000000"/>
          <w:sz w:val="23"/>
        </w:rPr>
        <w:t xml:space="preserve">degradation,jaundice (prehepatic, hepatic, post hepatic, neonatal/physiological),kernicterus,</w:t>
      </w:r>
      <w:r>
        <w:rPr>
          <w:rFonts w:hint="eastAsia" w:ascii="Calibri" w:hAnsi="Calibri" w:eastAsia="Calibri"/>
          <w:color w:val="000000"/>
          <w:sz w:val="23"/>
        </w:rPr>
        <w:t xml:space="preserve">hepatitis,liver tumours, metabolic pathways of the common ARV drugs and toxic by-products </w:t>
      </w:r>
      <w:r>
        <w:rPr>
          <w:rFonts w:hint="eastAsia" w:ascii="Calibri" w:hAnsi="Calibri" w:eastAsia="Calibri"/>
          <w:color w:val="000000"/>
          <w:sz w:val="23"/>
        </w:rPr>
        <w:t xml:space="preserve">of ARVs metabolites, function tests in relation to ARV drugs monitoring. Function tests, serum </w:t>
      </w:r>
      <w:r>
        <w:rPr>
          <w:rFonts w:hint="eastAsia" w:ascii="Calibri" w:hAnsi="Calibri" w:eastAsia="Calibri"/>
          <w:color w:val="000000"/>
          <w:sz w:val="23"/>
        </w:rPr>
        <w:t xml:space="preserve">total bilirubin, direct bilirubin, serum total protein, serum albumin, serum electrophoresis,</w:t>
      </w:r>
      <w:r>
        <w:rPr>
          <w:rFonts w:hint="eastAsia" w:ascii="Calibri" w:hAnsi="Calibri" w:eastAsia="Calibri"/>
          <w:color w:val="000000"/>
          <w:sz w:val="23"/>
        </w:rPr>
        <w:t xml:space="preserve">alkaline phosphatase, acid phosphatase, gamma-glutamyl transferase (y-GT), aspartate </w:t>
      </w:r>
      <w:r>
        <w:rPr>
          <w:rFonts w:hint="eastAsia" w:ascii="Calibri" w:hAnsi="Calibri" w:eastAsia="Calibri"/>
          <w:color w:val="000000"/>
          <w:sz w:val="23"/>
        </w:rPr>
        <w:t xml:space="preserve">aminotransferase (AST), alanine aminotransferase (ALT), reference values.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The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Heart;</w:t>
      </w:r>
      <w:r>
        <w:rPr>
          <w:rFonts w:hint="eastAsia" w:ascii="Calibri" w:hAnsi="Calibri" w:eastAsia="Calibri"/>
          <w:color w:val="000000"/>
          <w:sz w:val="23"/>
        </w:rPr>
        <w:t xml:space="preserve">function tests, cardiovascular, cardiorespiratory, myocardial infarction, myocarditis,</w:t>
      </w:r>
      <w:r>
        <w:rPr>
          <w:rFonts w:hint="eastAsia" w:ascii="Calibri" w:hAnsi="Calibri" w:eastAsia="Calibri"/>
          <w:color w:val="000000"/>
          <w:sz w:val="23"/>
        </w:rPr>
        <w:t xml:space="preserve">atherosclerosis,coronary heart disease (CHD)/coronary artery disease(CAD), pericarditis,CK,</w:t>
      </w:r>
      <w:r>
        <w:rPr>
          <w:rFonts w:hint="eastAsia" w:ascii="Calibri" w:hAnsi="Calibri" w:eastAsia="Calibri"/>
          <w:color w:val="000000"/>
          <w:sz w:val="23"/>
        </w:rPr>
        <w:t xml:space="preserve">LDH, ALP, troponin, myoglobin, reference values.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The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Pancreas;</w:t>
      </w:r>
      <w:r>
        <w:rPr>
          <w:rFonts w:hint="eastAsia" w:ascii="Calibri" w:hAnsi="Calibri" w:eastAsia="Calibri"/>
          <w:color w:val="000000"/>
          <w:sz w:val="23"/>
        </w:rPr>
        <w:t xml:space="preserve"> functions, endocrine </w:t>
      </w:r>
      <w:r>
        <w:rPr>
          <w:rFonts w:hint="eastAsia" w:ascii="Calibri" w:hAnsi="Calibri" w:eastAsia="Calibri"/>
          <w:color w:val="000000"/>
          <w:sz w:val="23"/>
        </w:rPr>
        <w:t xml:space="preserve">physiology, exocrine physiology, diabetes mellitus, oral glucose tolerance test and </w:t>
      </w:r>
      <w:r>
        <w:rPr>
          <w:rFonts w:hint="eastAsia" w:ascii="Calibri" w:hAnsi="Calibri" w:eastAsia="Calibri"/>
          <w:color w:val="000000"/>
          <w:sz w:val="23"/>
        </w:rPr>
        <w:t xml:space="preserve">interpretation of results, pancreatic insufficiency and associated mal-absorption,acute and </w:t>
      </w:r>
      <w:r>
        <w:rPr>
          <w:rFonts w:hint="eastAsia" w:ascii="Calibri" w:hAnsi="Calibri" w:eastAsia="Calibri"/>
          <w:color w:val="000000"/>
          <w:sz w:val="23"/>
        </w:rPr>
        <w:t xml:space="preserve">chronic pancreatitis, bile duct head obstruction, Cystic fibrosis and its causes.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The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Gastrointestinal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tract;</w:t>
      </w:r>
      <w:r>
        <w:rPr>
          <w:rFonts w:hint="eastAsia" w:ascii="Calibri" w:hAnsi="Calibri" w:eastAsia="Calibri"/>
          <w:color w:val="000000"/>
          <w:sz w:val="23"/>
        </w:rPr>
        <w:t xml:space="preserve"> functions, secretion of hydrochloric acid, intrinsic factor, and </w:t>
      </w:r>
      <w:r>
        <w:rPr>
          <w:rFonts w:hint="eastAsia" w:ascii="Calibri" w:hAnsi="Calibri" w:eastAsia="Calibri"/>
          <w:color w:val="000000"/>
          <w:sz w:val="23"/>
        </w:rPr>
        <w:t xml:space="preserve">pepsinogen ulcers, cancer, Zollinger-Ellison syndrome, pernicious anaemia, achlorhydria,</w:t>
      </w:r>
      <w:r>
        <w:rPr>
          <w:rFonts w:hint="eastAsia" w:ascii="Calibri" w:hAnsi="Calibri" w:eastAsia="Calibri"/>
          <w:color w:val="000000"/>
          <w:sz w:val="23"/>
        </w:rPr>
        <w:t xml:space="preserve">intestines,digestion, absorption, maldigestion, malabsorption, steatorrhea, lactose intolerance,</w:t>
      </w:r>
      <w:r>
        <w:rPr>
          <w:rFonts w:hint="eastAsia" w:ascii="Calibri" w:hAnsi="Calibri" w:eastAsia="Calibri"/>
          <w:color w:val="000000"/>
          <w:sz w:val="23"/>
        </w:rPr>
        <w:t xml:space="preserve">diarrhoea., gastric stimulation tests (histamine, pentagastrin,insulin), gastric acid analysis,</w:t>
      </w:r>
      <w:br w:type="page"/>
    </w:p>
    <w:p>
      <w:pPr>
        <w:spacing w:line="211" w:lineRule="auto"/>
        <w:ind w:left="360" w:right="660" w:firstLine="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occult blood, reference values; Serum amylase, serum lipase, serum trypsin, tryptic activity,</w:t>
      </w:r>
      <w:r>
        <w:rPr>
          <w:rFonts w:hint="eastAsia" w:ascii="Calibri" w:hAnsi="Calibri" w:eastAsia="Calibri"/>
          <w:color w:val="000000"/>
          <w:sz w:val="25"/>
        </w:rPr>
        <w:t xml:space="preserve">reference values.</w:t>
      </w:r>
    </w:p>
    <w:p>
      <w:pPr>
        <w:spacing w:before="221" w:line="230" w:lineRule="auto"/>
        <w:ind w:firstLine="3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Teaching Strategies</w:t>
      </w:r>
    </w:p>
    <w:p>
      <w:pPr>
        <w:spacing w:before="6" w:line="225" w:lineRule="auto"/>
        <w:ind w:left="280" w:right="580"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Modified lectures, Interactive lectures, small groups discussions,group demonstrations,case </w:t>
      </w:r>
      <w:r>
        <w:rPr>
          <w:rFonts w:hint="eastAsia" w:ascii="Calibri" w:hAnsi="Calibri" w:eastAsia="Calibri"/>
          <w:color w:val="000000"/>
          <w:sz w:val="25"/>
        </w:rPr>
        <w:t xml:space="preserve">studies,simulations</w:t>
      </w:r>
    </w:p>
    <w:p>
      <w:pPr>
        <w:spacing w:before="204" w:line="249" w:lineRule="auto"/>
        <w:ind w:firstLine="260"/>
        <w:jc w:val="both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Teaching/Learning Resources</w:t>
      </w:r>
    </w:p>
    <w:p>
      <w:pPr>
        <w:spacing w:before="1" w:line="230" w:lineRule="auto"/>
        <w:ind w:firstLine="2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Whiteboard,Flip charts,Projector,Computer,micrographs,Videos</w:t>
      </w:r>
    </w:p>
    <w:p>
      <w:pPr>
        <w:spacing w:before="210" w:line="215" w:lineRule="auto"/>
        <w:ind w:firstLine="240"/>
        <w:jc w:val="both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Assessment Strategies</w:t>
      </w:r>
    </w:p>
    <w:p>
      <w:pPr>
        <w:spacing w:line="211" w:lineRule="auto"/>
        <w:ind w:left="200" w:right="960" w:firstLine="20"/>
        <w:jc w:val="both"/>
        <w:rPr>
          <w:sz w:val="25"/>
        </w:rPr>
      </w:pPr>
      <w:r>
        <w:rPr>
          <w:rFonts w:hint="eastAsia" w:ascii="Calibri" w:hAnsi="Calibri" w:eastAsia="Calibri"/>
          <w:i/>
          <w:color w:val="000000"/>
          <w:sz w:val="25"/>
        </w:rPr>
        <w:t xml:space="preserve">Formative</w:t>
      </w:r>
      <w:r>
        <w:rPr>
          <w:rFonts w:hint="eastAsia" w:ascii="Calibri" w:hAnsi="Calibri" w:eastAsia="Calibri"/>
          <w:color w:val="000000"/>
          <w:sz w:val="25"/>
        </w:rPr>
        <w:t xml:space="preserve">: Assignments, Continuous assessment tests, End of semester exams, End year </w:t>
      </w:r>
      <w:r>
        <w:rPr>
          <w:rFonts w:hint="eastAsia" w:ascii="Calibri" w:hAnsi="Calibri" w:eastAsia="Calibri"/>
          <w:color w:val="000000"/>
          <w:sz w:val="25"/>
        </w:rPr>
        <w:t xml:space="preserve">exams.</w:t>
      </w:r>
    </w:p>
    <w:p>
      <w:pPr>
        <w:spacing w:before="1" w:line="292" w:lineRule="auto"/>
        <w:ind w:firstLine="180"/>
        <w:jc w:val="both"/>
        <w:rPr>
          <w:sz w:val="25"/>
        </w:rPr>
      </w:pPr>
      <w:r>
        <w:rPr>
          <w:rFonts w:hint="eastAsia" w:ascii="Calibri" w:hAnsi="Calibri" w:eastAsia="Calibri"/>
          <w:i/>
          <w:color w:val="000000"/>
          <w:sz w:val="25"/>
        </w:rPr>
        <w:t xml:space="preserve">Summative</w:t>
      </w:r>
      <w:r>
        <w:rPr>
          <w:rFonts w:hint="eastAsia" w:ascii="Calibri" w:hAnsi="Calibri" w:eastAsia="Calibri"/>
          <w:color w:val="000000"/>
          <w:sz w:val="25"/>
        </w:rPr>
        <w:t xml:space="preserve">: Final qualifying examination,research report,Mock GPA)</w:t>
      </w:r>
    </w:p>
    <w:p>
      <w:pPr>
        <w:spacing w:before="230" w:line="215" w:lineRule="auto"/>
        <w:ind w:firstLine="180"/>
        <w:jc w:val="both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References/Further Readings</w:t>
      </w:r>
    </w:p>
    <w:p>
      <w:pPr>
        <w:spacing w:line="225" w:lineRule="auto"/>
        <w:ind w:left="560" w:right="340" w:hanging="38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I. Baker F.,J. Silverton. (2007). Introduction to Medical Laboratory Technology.7th edition.</w:t>
      </w:r>
      <w:r>
        <w:rPr>
          <w:rFonts w:hint="eastAsia" w:ascii="Calibri" w:hAnsi="Calibri" w:eastAsia="Calibri"/>
          <w:color w:val="000000"/>
          <w:sz w:val="25"/>
        </w:rPr>
        <w:t xml:space="preserve">Hodder education publishers. ISBN: 978-0750621908.</w:t>
      </w:r>
    </w:p>
    <w:p>
      <w:pPr>
        <w:spacing w:before="4" w:line="336" w:lineRule="auto"/>
        <w:ind w:left="560" w:right="260" w:hanging="40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2. Bishop M., L. Schoeff, E. Fody. (2010). Clinical Chemistry Principles, Procedures,</w:t>
      </w:r>
      <w:r>
        <w:rPr>
          <w:rFonts w:hint="eastAsia" w:ascii="Calibri" w:hAnsi="Calibri" w:eastAsia="Calibri"/>
          <w:color w:val="000000"/>
          <w:sz w:val="25"/>
        </w:rPr>
        <w:t xml:space="preserve">Correlations. 6th edition. Wolters Kluwer/Lippincott, Williams &amp; Wilkins. ISBN:</w:t>
      </w:r>
      <w:r>
        <w:rPr>
          <w:rFonts w:hint="eastAsia" w:ascii="Calibri" w:hAnsi="Calibri" w:eastAsia="Calibri"/>
          <w:color w:val="000000"/>
          <w:sz w:val="25"/>
        </w:rPr>
        <w:t xml:space="preserve">9780781746113</w:t>
      </w:r>
    </w:p>
    <w:p>
      <w:pPr>
        <w:spacing w:before="2" w:line="225" w:lineRule="auto"/>
        <w:ind w:left="520" w:right="200" w:hanging="42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3. Brunzel N.A. (2018). Fundamentals of Urine and Body Fluid Analysis. 3th edition. ISBN:</w:t>
      </w:r>
      <w:r>
        <w:rPr>
          <w:rFonts w:hint="eastAsia" w:ascii="Calibri" w:hAnsi="Calibri" w:eastAsia="Calibri"/>
          <w:color w:val="000000"/>
          <w:sz w:val="25"/>
        </w:rPr>
        <w:t xml:space="preserve">9780721601786</w:t>
      </w:r>
    </w:p>
    <w:p>
      <w:pPr>
        <w:spacing w:before="4" w:line="249" w:lineRule="auto"/>
        <w:ind w:left="480" w:right="160" w:hanging="40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4. Cheesbrough M. (2009). District Laboratory Practice in Tropical Countries. Part 1,2nd </w:t>
      </w:r>
      <w:r>
        <w:rPr>
          <w:rFonts w:hint="eastAsia" w:ascii="Calibri" w:hAnsi="Calibri" w:eastAsia="Calibri"/>
          <w:color w:val="000000"/>
          <w:sz w:val="25"/>
        </w:rPr>
        <w:t xml:space="preserve">edition. Cambridge university press. ISBN: 9780511581304.</w:t>
      </w:r>
    </w:p>
    <w:p>
      <w:pPr>
        <w:spacing w:before="3" w:line="230" w:lineRule="auto"/>
        <w:ind w:left="480" w:right="140" w:hanging="40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5. Sitati V. W. (1997). A Handbook of clinical chemistry for Laboratory Technicians.</w:t>
      </w:r>
      <w:r>
        <w:rPr>
          <w:rFonts w:hint="eastAsia" w:ascii="Calibri" w:hAnsi="Calibri" w:eastAsia="Calibri"/>
          <w:color w:val="000000"/>
          <w:sz w:val="25"/>
        </w:rPr>
        <w:t xml:space="preserve">University of Nairobi Press.</w:t>
      </w:r>
    </w:p>
    <w:p>
      <w:pPr>
        <w:spacing w:before="12" w:line="239" w:lineRule="auto"/>
        <w:ind w:left="420" w:right="80" w:hanging="38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6. Strasinger S. K. (2008). Urinalysis and Body Fluids. 5th edition. E.A Davis Company.</w:t>
      </w:r>
      <w:r>
        <w:rPr>
          <w:rFonts w:hint="eastAsia" w:ascii="Calibri" w:hAnsi="Calibri" w:eastAsia="Calibri"/>
          <w:color w:val="000000"/>
          <w:sz w:val="25"/>
        </w:rPr>
        <w:t xml:space="preserve">ISBN:9780803681033.</w:t>
      </w:r>
    </w:p>
    <w:p>
      <w:pPr>
        <w:spacing w:before="7" w:line="254" w:lineRule="auto"/>
        <w:ind w:left="380" w:right="20" w:hanging="38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7. Wu. Allan H.B. (2006).Tietz Clinical Guide to Laboratory Tests. Saunders. ISBN:</w:t>
      </w:r>
      <w:r>
        <w:rPr>
          <w:rFonts w:hint="eastAsia" w:ascii="Calibri" w:hAnsi="Calibri" w:eastAsia="Calibri"/>
          <w:color w:val="000000"/>
          <w:sz w:val="25"/>
        </w:rPr>
        <w:t xml:space="preserve">9780721679754</w:t>
      </w:r>
    </w:p>
    <w:sectPr>
      <w:footerReference w:type="default" r:id="R1c1f3af4cc03415f"/>
      <w:headerReference w:type="default" r:id="R5fb92a3657d84028"/>
      <w:type w:val="continuous"/>
      <w:pgSz w:w="11900" w:h="15680" w:orient="portrait"/>
      <w:pgMar w:top="720" w:right="720" w:bottom="2880" w:left="720" w:header="360" w:footer="1440"/>
      <w:cols w:equalWidth="true" w:num="1"/>
    </w:sectPr>
  </w:body>
</w:document>
</file>

<file path=word/footer1.xml><?xml version="1.0" encoding="utf-8"?>
<w:ftr xmlns:w="http://schemas.openxmlformats.org/wordprocessingml/2006/main">
  <w:p>
    <w:pPr>
      <w:spacing w:line="215" w:lineRule="auto"/>
      <w:ind/>
      <w:jc w:val="center"/>
    </w:pPr>
    <w:r>
      <w:rPr>
        <w:sz w:val="22"/>
        <w:color w:val="000000"/>
        <w:rFonts w:hint="eastAsia" w:ascii="Calibri" w:hAnsi="Calibri" w:eastAsia="Calibri"/>
      </w:rPr>
      <w:t xml:space="preserve">48</w:t>
    </w:r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3c4cfd6307f346f1" /><Relationship Type="http://schemas.openxmlformats.org/officeDocument/2006/relationships/footer" Target="/word/footer1.xml" Id="Rc6aaa3f4a1744972" /><Relationship Type="http://schemas.openxmlformats.org/officeDocument/2006/relationships/header" Target="/word/header1.xml" Id="R5fb92a3657d84028" /><Relationship Type="http://schemas.openxmlformats.org/officeDocument/2006/relationships/footer" Target="/word/footer2.xml" Id="R1c1f3af4cc03415f" /></Relationships>
</file>